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266" w:rsidRDefault="00A33266" w:rsidP="00A33266">
      <w:pPr>
        <w:ind w:firstLine="284"/>
        <w:jc w:val="both"/>
        <w:rPr>
          <w:sz w:val="24"/>
          <w:szCs w:val="24"/>
          <w:lang w:val="uk-UA"/>
        </w:rPr>
      </w:pPr>
    </w:p>
    <w:p w:rsidR="00A33266" w:rsidRDefault="00A33266" w:rsidP="00A33266">
      <w:pPr>
        <w:ind w:firstLine="284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ОСОБЛИВОСТІ ПЕРЕБІГУ БАКТЕРІАЛЬНИХ МЕНІНГІТІВ У ДІТЕЙ</w:t>
      </w:r>
    </w:p>
    <w:p w:rsidR="00A33266" w:rsidRDefault="00A33266" w:rsidP="00A33266">
      <w:pPr>
        <w:ind w:firstLine="284"/>
        <w:jc w:val="center"/>
        <w:rPr>
          <w:sz w:val="24"/>
          <w:szCs w:val="24"/>
        </w:rPr>
      </w:pPr>
      <w:r>
        <w:rPr>
          <w:sz w:val="24"/>
          <w:szCs w:val="24"/>
          <w:lang w:val="uk-UA"/>
        </w:rPr>
        <w:t>Попов С.В.</w:t>
      </w:r>
      <w:r>
        <w:rPr>
          <w:sz w:val="24"/>
          <w:szCs w:val="24"/>
        </w:rPr>
        <w:t>,</w:t>
      </w:r>
      <w:r>
        <w:rPr>
          <w:sz w:val="24"/>
          <w:szCs w:val="24"/>
          <w:lang w:val="uk-UA"/>
        </w:rPr>
        <w:t xml:space="preserve"> Касян С.М.</w:t>
      </w:r>
    </w:p>
    <w:p w:rsidR="00A33266" w:rsidRDefault="00A33266" w:rsidP="00A33266">
      <w:pPr>
        <w:ind w:firstLine="284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Сумський державний університет, кафедра сімейної медицини з курсом ендокринології</w:t>
      </w:r>
    </w:p>
    <w:p w:rsidR="00A33266" w:rsidRDefault="00A33266" w:rsidP="00A33266">
      <w:pPr>
        <w:ind w:firstLine="284"/>
        <w:jc w:val="both"/>
        <w:rPr>
          <w:sz w:val="24"/>
          <w:szCs w:val="24"/>
          <w:lang w:val="uk-UA"/>
        </w:rPr>
      </w:pPr>
    </w:p>
    <w:p w:rsidR="00A33266" w:rsidRDefault="00A33266" w:rsidP="00A33266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Враховуючи тяжкість процесу, частоту ускладнень та високу летальність, бактеріальні менінгіти залишаються актуальною проблемою інфекційної патології. В Україні щорічно на бактеріальні менінгіти хворіють від 800 до 1200 дітей, з яких близько 100 помирає. Летальність серед новонароджених складає 59 %, серед дітей віком до 5 років – 24 %. Після перенесеного захворювання несприятливі наслідки з боку нервової системи та психіки визначаються у 25-83,7 % дітей. </w:t>
      </w:r>
      <w:proofErr w:type="spellStart"/>
      <w:r>
        <w:rPr>
          <w:sz w:val="24"/>
          <w:szCs w:val="24"/>
          <w:lang w:val="uk-UA"/>
        </w:rPr>
        <w:t>Вираженість</w:t>
      </w:r>
      <w:proofErr w:type="spellEnd"/>
      <w:r>
        <w:rPr>
          <w:sz w:val="24"/>
          <w:szCs w:val="24"/>
          <w:lang w:val="uk-UA"/>
        </w:rPr>
        <w:t xml:space="preserve"> клінічних симптомів може коливатись від мінливих легких до довготривалих та тяжких , які призводять до зниження якості життя та </w:t>
      </w:r>
      <w:proofErr w:type="spellStart"/>
      <w:r>
        <w:rPr>
          <w:sz w:val="24"/>
          <w:szCs w:val="24"/>
          <w:lang w:val="uk-UA"/>
        </w:rPr>
        <w:t>інвалідизації</w:t>
      </w:r>
      <w:proofErr w:type="spellEnd"/>
      <w:r>
        <w:rPr>
          <w:sz w:val="24"/>
          <w:szCs w:val="24"/>
          <w:lang w:val="uk-UA"/>
        </w:rPr>
        <w:t xml:space="preserve"> дитини. Розвиток несприятливих наслідків бактеріальних менінгітів пояснюють безпосередньою дією патогенного чинника та продуктів його життєдіяльності на тканину мозку, ішемічним ушкодженням внаслідок порушень мозкової гемодинаміки, а також вегетативною </w:t>
      </w:r>
      <w:proofErr w:type="spellStart"/>
      <w:r>
        <w:rPr>
          <w:sz w:val="24"/>
          <w:szCs w:val="24"/>
          <w:lang w:val="uk-UA"/>
        </w:rPr>
        <w:t>дисфункцією</w:t>
      </w:r>
      <w:proofErr w:type="spellEnd"/>
      <w:r>
        <w:rPr>
          <w:sz w:val="24"/>
          <w:szCs w:val="24"/>
          <w:lang w:val="uk-UA"/>
        </w:rPr>
        <w:t>, яка є найбільш частою патологією дитячого віку і зустрічається більше, ніж у 20 % у загальній популяції дитячого населення.</w:t>
      </w:r>
    </w:p>
    <w:p w:rsidR="00A33266" w:rsidRDefault="00A33266" w:rsidP="00A33266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Таким чином, слід визначити вегетативний гомеостаз для забезпечення патогенетичного підходу при корекції вегетативних порушень у дітей.</w:t>
      </w:r>
    </w:p>
    <w:p w:rsidR="00A33266" w:rsidRDefault="00A33266" w:rsidP="00A33266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Метою дослідження було вивчення особливостей перебігу бактеріального менінгіту в залежності від ступеня напруги адаптивних процесів.</w:t>
      </w:r>
    </w:p>
    <w:p w:rsidR="00A33266" w:rsidRDefault="00A33266" w:rsidP="00A33266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Було обстежено 47 дітей віком від 1 місяця до 18 років, що знаходились на лікуванні у відділенні інтенсивної терапії та неврологічному відділенні з діагнозом бактеріальний менінгіт. Проводили та аналізували клінічні аналізи крові, на основі яких визначали наступні показники: лейкоцитарний індекс інтоксикації (</w:t>
      </w:r>
      <w:proofErr w:type="spellStart"/>
      <w:r>
        <w:rPr>
          <w:sz w:val="24"/>
          <w:szCs w:val="24"/>
          <w:lang w:val="uk-UA"/>
        </w:rPr>
        <w:t>ЛІІ</w:t>
      </w:r>
      <w:proofErr w:type="spellEnd"/>
      <w:r>
        <w:rPr>
          <w:sz w:val="24"/>
          <w:szCs w:val="24"/>
          <w:lang w:val="uk-UA"/>
        </w:rPr>
        <w:t xml:space="preserve">) та гематологічний показник інтоксикації (ГПІ). Для визначення ступеня напруги адаптивних процесів та особливостей вегетативного гомеостазу використовували метод </w:t>
      </w:r>
      <w:proofErr w:type="spellStart"/>
      <w:r>
        <w:rPr>
          <w:sz w:val="24"/>
          <w:szCs w:val="24"/>
          <w:lang w:val="uk-UA"/>
        </w:rPr>
        <w:t>кардіоінтервалографії</w:t>
      </w:r>
      <w:proofErr w:type="spellEnd"/>
      <w:r>
        <w:rPr>
          <w:sz w:val="24"/>
          <w:szCs w:val="24"/>
          <w:lang w:val="uk-UA"/>
        </w:rPr>
        <w:t xml:space="preserve"> (</w:t>
      </w:r>
      <w:proofErr w:type="spellStart"/>
      <w:r>
        <w:rPr>
          <w:sz w:val="24"/>
          <w:szCs w:val="24"/>
          <w:lang w:val="uk-UA"/>
        </w:rPr>
        <w:t>КІГ</w:t>
      </w:r>
      <w:proofErr w:type="spellEnd"/>
      <w:r>
        <w:rPr>
          <w:sz w:val="24"/>
          <w:szCs w:val="24"/>
          <w:lang w:val="uk-UA"/>
        </w:rPr>
        <w:t xml:space="preserve">), за допомогою якого розраховували вегетативний показник ритму (ВПР) та індекс напруги (ІН). Клінічне обстеження з дослідженням </w:t>
      </w:r>
      <w:proofErr w:type="spellStart"/>
      <w:r>
        <w:rPr>
          <w:sz w:val="24"/>
          <w:szCs w:val="24"/>
          <w:lang w:val="uk-UA"/>
        </w:rPr>
        <w:t>кардіоінтервалограм</w:t>
      </w:r>
      <w:proofErr w:type="spellEnd"/>
      <w:r>
        <w:rPr>
          <w:sz w:val="24"/>
          <w:szCs w:val="24"/>
          <w:lang w:val="uk-UA"/>
        </w:rPr>
        <w:t xml:space="preserve"> проводили в гострий, </w:t>
      </w:r>
      <w:proofErr w:type="spellStart"/>
      <w:r>
        <w:rPr>
          <w:sz w:val="24"/>
          <w:szCs w:val="24"/>
          <w:lang w:val="uk-UA"/>
        </w:rPr>
        <w:t>підгострий</w:t>
      </w:r>
      <w:proofErr w:type="spellEnd"/>
      <w:r>
        <w:rPr>
          <w:sz w:val="24"/>
          <w:szCs w:val="24"/>
          <w:lang w:val="uk-UA"/>
        </w:rPr>
        <w:t xml:space="preserve"> та період реконвалесценції. Запис </w:t>
      </w:r>
      <w:proofErr w:type="spellStart"/>
      <w:r>
        <w:rPr>
          <w:sz w:val="24"/>
          <w:szCs w:val="24"/>
          <w:lang w:val="uk-UA"/>
        </w:rPr>
        <w:t>кардіоінтервалограми</w:t>
      </w:r>
      <w:proofErr w:type="spellEnd"/>
      <w:r>
        <w:rPr>
          <w:sz w:val="24"/>
          <w:szCs w:val="24"/>
          <w:lang w:val="uk-UA"/>
        </w:rPr>
        <w:t xml:space="preserve"> здійснювався на електрокардіографі </w:t>
      </w:r>
      <w:r>
        <w:rPr>
          <w:sz w:val="24"/>
          <w:szCs w:val="24"/>
        </w:rPr>
        <w:t>ЭК1Т</w:t>
      </w:r>
      <w:r>
        <w:rPr>
          <w:sz w:val="24"/>
          <w:szCs w:val="24"/>
          <w:lang w:val="uk-UA"/>
        </w:rPr>
        <w:t xml:space="preserve">-02МП. Записували 100 </w:t>
      </w:r>
      <w:proofErr w:type="spellStart"/>
      <w:r>
        <w:rPr>
          <w:sz w:val="24"/>
          <w:szCs w:val="24"/>
          <w:lang w:val="uk-UA"/>
        </w:rPr>
        <w:t>кардіоциклів</w:t>
      </w:r>
      <w:proofErr w:type="spellEnd"/>
      <w:r>
        <w:rPr>
          <w:sz w:val="24"/>
          <w:szCs w:val="24"/>
          <w:lang w:val="uk-UA"/>
        </w:rPr>
        <w:t xml:space="preserve"> у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  <w:lang w:val="uk-UA"/>
        </w:rPr>
        <w:t xml:space="preserve">-му відведенні з наступним аналізом «вручну». Отримані дані були оброблені методами варіаційної статистики. </w:t>
      </w:r>
    </w:p>
    <w:p w:rsidR="00A33266" w:rsidRDefault="00A33266" w:rsidP="00A33266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 аналізі </w:t>
      </w:r>
      <w:proofErr w:type="spellStart"/>
      <w:r>
        <w:rPr>
          <w:sz w:val="24"/>
          <w:szCs w:val="24"/>
          <w:lang w:val="uk-UA"/>
        </w:rPr>
        <w:t>КІГ</w:t>
      </w:r>
      <w:proofErr w:type="spellEnd"/>
      <w:r>
        <w:rPr>
          <w:sz w:val="24"/>
          <w:szCs w:val="24"/>
          <w:lang w:val="uk-UA"/>
        </w:rPr>
        <w:t xml:space="preserve"> було виявлено 2 різних варіанта перебігу бактеріального менінгіту: для першого – характерні більш високі показники ВПР і ІН в гострий період захворювання, з поступовим зниженням параметрів до періоду реконвалесценції. Для другого варіанту були характерні низькі показники ВПР і ІН з самого початку, які в подальшому зросли. Враховуючи ці дані, всі досліджені були розподілені на 2 групи. Таким чином, ми оцінювали у хворих співвідношення активності симпатичного та парасимпатичного відділів ВНС, а також вегетативний гомеостаз і адаптивні можливості у дітей з бактеріальним менінгітом. Було виявлено, що у першій групі дітей визначалась значна напруга адаптивних процесів зі зсувом у регуляції ритмом серця в бік симпатичної ланки, а у дітей другої групи – напруга адаптивних процесів була знижена зі зсувом у регуляції ритмом серця в бік парасимпатичної ланки ВНС.</w:t>
      </w:r>
    </w:p>
    <w:p w:rsidR="00A33266" w:rsidRDefault="00A33266" w:rsidP="00A33266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 динаміці з покращенням стану дитини показники </w:t>
      </w:r>
      <w:proofErr w:type="spellStart"/>
      <w:r>
        <w:rPr>
          <w:sz w:val="24"/>
          <w:szCs w:val="24"/>
          <w:lang w:val="uk-UA"/>
        </w:rPr>
        <w:t>КІГ</w:t>
      </w:r>
      <w:proofErr w:type="spellEnd"/>
      <w:r>
        <w:rPr>
          <w:sz w:val="24"/>
          <w:szCs w:val="24"/>
          <w:lang w:val="uk-UA"/>
        </w:rPr>
        <w:t xml:space="preserve"> змінювались у бік децентралізації управління ритмом серця. В той же час, достовірних змін цих показників отримано не було. Подібний напрямок змін показників </w:t>
      </w:r>
      <w:proofErr w:type="spellStart"/>
      <w:r>
        <w:rPr>
          <w:sz w:val="24"/>
          <w:szCs w:val="24"/>
          <w:lang w:val="uk-UA"/>
        </w:rPr>
        <w:t>КІГ</w:t>
      </w:r>
      <w:proofErr w:type="spellEnd"/>
      <w:r>
        <w:rPr>
          <w:sz w:val="24"/>
          <w:szCs w:val="24"/>
          <w:lang w:val="uk-UA"/>
        </w:rPr>
        <w:t xml:space="preserve"> відмічався і по закінченню стаціонарного лікування дитини. Показники </w:t>
      </w:r>
      <w:proofErr w:type="spellStart"/>
      <w:r>
        <w:rPr>
          <w:sz w:val="24"/>
          <w:szCs w:val="24"/>
          <w:lang w:val="uk-UA"/>
        </w:rPr>
        <w:t>КІГ</w:t>
      </w:r>
      <w:proofErr w:type="spellEnd"/>
      <w:r>
        <w:rPr>
          <w:sz w:val="24"/>
          <w:szCs w:val="24"/>
          <w:lang w:val="uk-UA"/>
        </w:rPr>
        <w:t xml:space="preserve"> достовірно змінювались – ВПР та ІН збільшувались.</w:t>
      </w:r>
    </w:p>
    <w:p w:rsidR="00921DD4" w:rsidRDefault="00921DD4"/>
    <w:sectPr w:rsidR="00921DD4" w:rsidSect="00921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33266"/>
    <w:rsid w:val="00921DD4"/>
    <w:rsid w:val="00A33266"/>
    <w:rsid w:val="00DF0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6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</Words>
  <Characters>3044</Characters>
  <Application>Microsoft Office Word</Application>
  <DocSecurity>0</DocSecurity>
  <Lines>25</Lines>
  <Paragraphs>7</Paragraphs>
  <ScaleCrop>false</ScaleCrop>
  <Company>library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2011-03-12T11:54:00Z</dcterms:created>
  <dcterms:modified xsi:type="dcterms:W3CDTF">2011-03-12T11:54:00Z</dcterms:modified>
</cp:coreProperties>
</file>