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D17" w:rsidRPr="00780CCC" w:rsidRDefault="00D51D17" w:rsidP="00D51D17">
      <w:pPr>
        <w:jc w:val="center"/>
        <w:rPr>
          <w:b/>
          <w:sz w:val="20"/>
          <w:szCs w:val="20"/>
          <w:lang w:val="uk-UA"/>
        </w:rPr>
      </w:pPr>
      <w:r w:rsidRPr="00780CCC">
        <w:rPr>
          <w:b/>
          <w:sz w:val="20"/>
          <w:szCs w:val="20"/>
          <w:lang w:val="uk-UA"/>
        </w:rPr>
        <w:t>ВАРІАНТИ АНАТОМІЧНОЇ БУДОВИ М’ЯЗІВ ПЕРЕДПЛІЧЧЯ</w:t>
      </w:r>
    </w:p>
    <w:p w:rsidR="00D51D17" w:rsidRPr="00D66216" w:rsidRDefault="00D51D17" w:rsidP="00D51D17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Устянський</w:t>
      </w:r>
      <w:proofErr w:type="spellEnd"/>
      <w:r>
        <w:rPr>
          <w:i/>
          <w:sz w:val="20"/>
          <w:szCs w:val="20"/>
          <w:lang w:val="uk-UA"/>
        </w:rPr>
        <w:t xml:space="preserve"> О.О.</w:t>
      </w:r>
      <w:r w:rsidRPr="00D66216">
        <w:rPr>
          <w:i/>
          <w:sz w:val="20"/>
          <w:szCs w:val="20"/>
          <w:lang w:val="uk-UA"/>
        </w:rPr>
        <w:t xml:space="preserve">, </w:t>
      </w:r>
      <w:proofErr w:type="spellStart"/>
      <w:r w:rsidRPr="00D66216">
        <w:rPr>
          <w:i/>
          <w:sz w:val="20"/>
          <w:szCs w:val="20"/>
          <w:lang w:val="uk-UA"/>
        </w:rPr>
        <w:t>Логвінова</w:t>
      </w:r>
      <w:proofErr w:type="spellEnd"/>
      <w:r w:rsidRPr="00D66216">
        <w:rPr>
          <w:i/>
          <w:sz w:val="20"/>
          <w:szCs w:val="20"/>
          <w:lang w:val="uk-UA"/>
        </w:rPr>
        <w:t xml:space="preserve"> О.В., </w:t>
      </w:r>
      <w:proofErr w:type="spellStart"/>
      <w:r w:rsidRPr="00D66216">
        <w:rPr>
          <w:i/>
          <w:sz w:val="20"/>
          <w:szCs w:val="20"/>
          <w:lang w:val="uk-UA"/>
        </w:rPr>
        <w:t>Проценко</w:t>
      </w:r>
      <w:proofErr w:type="spellEnd"/>
      <w:r w:rsidRPr="00D66216">
        <w:rPr>
          <w:i/>
          <w:sz w:val="20"/>
          <w:szCs w:val="20"/>
          <w:lang w:val="uk-UA"/>
        </w:rPr>
        <w:t xml:space="preserve"> О.В., </w:t>
      </w:r>
      <w:proofErr w:type="spellStart"/>
      <w:r>
        <w:rPr>
          <w:i/>
          <w:sz w:val="20"/>
          <w:szCs w:val="20"/>
          <w:lang w:val="uk-UA"/>
        </w:rPr>
        <w:t>Кривогуз</w:t>
      </w:r>
      <w:proofErr w:type="spellEnd"/>
      <w:r>
        <w:rPr>
          <w:i/>
          <w:sz w:val="20"/>
          <w:szCs w:val="20"/>
          <w:lang w:val="uk-UA"/>
        </w:rPr>
        <w:t xml:space="preserve"> А.А., </w:t>
      </w:r>
      <w:proofErr w:type="spellStart"/>
      <w:r w:rsidRPr="00D66216">
        <w:rPr>
          <w:i/>
          <w:sz w:val="20"/>
          <w:szCs w:val="20"/>
          <w:lang w:val="uk-UA"/>
        </w:rPr>
        <w:t>студ</w:t>
      </w:r>
      <w:proofErr w:type="spellEnd"/>
      <w:r w:rsidRPr="00D66216">
        <w:rPr>
          <w:i/>
          <w:sz w:val="20"/>
          <w:szCs w:val="20"/>
          <w:lang w:val="uk-UA"/>
        </w:rPr>
        <w:t xml:space="preserve">. 1-го курсу </w:t>
      </w:r>
    </w:p>
    <w:p w:rsidR="00D51D17" w:rsidRDefault="00D51D17" w:rsidP="00D51D17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 w:rsidRPr="00D66216">
        <w:rPr>
          <w:i/>
          <w:sz w:val="20"/>
          <w:szCs w:val="20"/>
          <w:lang w:val="uk-UA"/>
        </w:rPr>
        <w:t>, кафедра анатомії людини</w:t>
      </w:r>
    </w:p>
    <w:p w:rsidR="00D51D17" w:rsidRPr="00D66216" w:rsidRDefault="00D51D17" w:rsidP="00D51D17">
      <w:pPr>
        <w:jc w:val="center"/>
        <w:rPr>
          <w:i/>
          <w:sz w:val="20"/>
          <w:szCs w:val="20"/>
          <w:lang w:val="uk-UA"/>
        </w:rPr>
      </w:pPr>
    </w:p>
    <w:p w:rsidR="00D51D17" w:rsidRDefault="00D51D17" w:rsidP="00D51D17">
      <w:pPr>
        <w:ind w:firstLine="454"/>
        <w:jc w:val="both"/>
        <w:rPr>
          <w:sz w:val="20"/>
          <w:szCs w:val="20"/>
          <w:lang w:val="uk-UA"/>
        </w:rPr>
      </w:pPr>
      <w:r w:rsidRPr="00C56936">
        <w:rPr>
          <w:sz w:val="20"/>
          <w:szCs w:val="20"/>
          <w:lang w:val="uk-UA"/>
        </w:rPr>
        <w:t>Індивідуальна</w:t>
      </w:r>
      <w:r>
        <w:rPr>
          <w:sz w:val="20"/>
          <w:szCs w:val="20"/>
          <w:lang w:val="uk-UA"/>
        </w:rPr>
        <w:t xml:space="preserve"> анатомічна мінливість м’язових груп та окремих м’язів у людини, як і сутність розвитку м’язової системи в цілому,</w:t>
      </w:r>
      <w:r w:rsidRPr="00F26E48">
        <w:rPr>
          <w:sz w:val="20"/>
          <w:szCs w:val="20"/>
          <w:lang w:val="uk-UA"/>
        </w:rPr>
        <w:t xml:space="preserve"> з</w:t>
      </w:r>
      <w:r>
        <w:rPr>
          <w:sz w:val="20"/>
          <w:szCs w:val="20"/>
          <w:lang w:val="uk-UA"/>
        </w:rPr>
        <w:t xml:space="preserve">алежить від віку, статі, типу </w:t>
      </w:r>
      <w:proofErr w:type="spellStart"/>
      <w:r>
        <w:rPr>
          <w:sz w:val="20"/>
          <w:szCs w:val="20"/>
          <w:lang w:val="uk-UA"/>
        </w:rPr>
        <w:t>тілобудови</w:t>
      </w:r>
      <w:proofErr w:type="spellEnd"/>
      <w:r>
        <w:rPr>
          <w:sz w:val="20"/>
          <w:szCs w:val="20"/>
          <w:lang w:val="uk-UA"/>
        </w:rPr>
        <w:t xml:space="preserve">, професії, занять фізичною культурою та спортом. Поява різних варіантів анатомічної будови м’язів та їх мінливість пов’язані, головним чином, з індивідуальними особливостями розвитку м’язової системи в онтогенезі. До основних варіантів анатомічної будови м’язів відносять їх різні форми, розміри, топографію, початок та прикріплення м’яза, а також відсутність чи появу додаткових частин як окремого м’язу та </w:t>
      </w:r>
      <w:proofErr w:type="spellStart"/>
      <w:r>
        <w:rPr>
          <w:sz w:val="20"/>
          <w:szCs w:val="20"/>
          <w:lang w:val="uk-UA"/>
        </w:rPr>
        <w:t>м’язевої</w:t>
      </w:r>
      <w:proofErr w:type="spellEnd"/>
      <w:r>
        <w:rPr>
          <w:sz w:val="20"/>
          <w:szCs w:val="20"/>
          <w:lang w:val="uk-UA"/>
        </w:rPr>
        <w:t xml:space="preserve"> групи, наявність додаткових м’язів. Найбільш варіабельні у цьому відношенні мімічні м’язи, короткі м’язи кисті та стопи.</w:t>
      </w:r>
    </w:p>
    <w:p w:rsidR="00D51D17" w:rsidRDefault="00D51D17" w:rsidP="00D51D17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Вивчаючи будову м’язів задньої групи передпліччя на фізичному тілі із навчального фонду кафедри, ми звернули увагу на появу додаткового м’яза великого пальця. Як відомо, до цієї групи відноситься три м’язи: довгий відвідний м’яз великого пальця, короткий м’яз-розгинач великого пальця та довгий м’яз-розгинач великого пальця. У нашому варіанті існує четвертий м’яз, котрий починається від середньої третини і прямує донизу та </w:t>
      </w:r>
      <w:proofErr w:type="spellStart"/>
      <w:r>
        <w:rPr>
          <w:sz w:val="20"/>
          <w:szCs w:val="20"/>
          <w:lang w:val="uk-UA"/>
        </w:rPr>
        <w:t>латерально</w:t>
      </w:r>
      <w:proofErr w:type="spellEnd"/>
      <w:r>
        <w:rPr>
          <w:sz w:val="20"/>
          <w:szCs w:val="20"/>
          <w:lang w:val="uk-UA"/>
        </w:rPr>
        <w:t xml:space="preserve">, огинаючи променеву кістку і променеві розгиначі зап’ястка, до задньої поверхні основи І п’ясткової кістки. Разом із своїм "двійником" </w:t>
      </w:r>
      <w:proofErr w:type="spellStart"/>
      <w:r>
        <w:rPr>
          <w:sz w:val="20"/>
          <w:szCs w:val="20"/>
          <w:lang w:val="uk-UA"/>
        </w:rPr>
        <w:t>ций</w:t>
      </w:r>
      <w:proofErr w:type="spellEnd"/>
      <w:r>
        <w:rPr>
          <w:sz w:val="20"/>
          <w:szCs w:val="20"/>
          <w:lang w:val="uk-UA"/>
        </w:rPr>
        <w:t xml:space="preserve"> м’яз проходить в окремому кістково-фіброзному каналі. Сухожилки обох м’язів мають значну товщину в порівнянні з сухожилком короткого м’яза-розгинача великого пальця. Для сухожилка останнього існує додатковий кістково-фіброзний канал. Звертає на себе увагу і той факт, що у вивченого фізичного тіла має місце значний розвиток м’язів усіх груп, а також виявлені варіанти анатомічної мінливості нутрощів (подвійний лівий сечовід). Із лівої верхньої кінцівки даного фізичного тіла виготовлено музейний препарат.</w:t>
      </w:r>
    </w:p>
    <w:p w:rsidR="000B59A0" w:rsidRPr="000929B1" w:rsidRDefault="000B59A0" w:rsidP="00D51D17">
      <w:pPr>
        <w:rPr>
          <w:lang w:val="uk-UA"/>
        </w:rPr>
      </w:pPr>
    </w:p>
    <w:sectPr w:rsidR="000B59A0" w:rsidRPr="000929B1" w:rsidSect="000B59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327B"/>
    <w:multiLevelType w:val="hybridMultilevel"/>
    <w:tmpl w:val="B49EB092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0B49"/>
    <w:rsid w:val="000929B1"/>
    <w:rsid w:val="000B59A0"/>
    <w:rsid w:val="002E3676"/>
    <w:rsid w:val="00364A4A"/>
    <w:rsid w:val="005A3F09"/>
    <w:rsid w:val="00BE06F9"/>
    <w:rsid w:val="00D51D17"/>
    <w:rsid w:val="00E40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06F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BE06F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customStyle="1" w:styleId="textheader2">
    <w:name w:val="textheader2"/>
    <w:basedOn w:val="a"/>
    <w:rsid w:val="00BE06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1243</Words>
  <Characters>710</Characters>
  <Application>Microsoft Office Word</Application>
  <DocSecurity>0</DocSecurity>
  <Lines>5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2011-03-28T07:21:00Z</dcterms:created>
  <dcterms:modified xsi:type="dcterms:W3CDTF">2011-03-28T07:21:00Z</dcterms:modified>
</cp:coreProperties>
</file>