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0D" w:rsidRPr="00F56389" w:rsidRDefault="003D7A0D" w:rsidP="003D7A0D">
      <w:pPr>
        <w:jc w:val="center"/>
        <w:rPr>
          <w:b/>
          <w:sz w:val="20"/>
          <w:szCs w:val="20"/>
          <w:lang w:val="uk-UA"/>
        </w:rPr>
      </w:pPr>
      <w:r w:rsidRPr="00F56389">
        <w:rPr>
          <w:b/>
          <w:sz w:val="20"/>
          <w:szCs w:val="20"/>
        </w:rPr>
        <w:t xml:space="preserve">ВИВЧЕННЯ </w:t>
      </w:r>
      <w:r w:rsidRPr="00F56389">
        <w:rPr>
          <w:b/>
          <w:sz w:val="20"/>
          <w:szCs w:val="20"/>
          <w:lang w:val="uk-UA"/>
        </w:rPr>
        <w:t>Т</w:t>
      </w:r>
      <w:r w:rsidRPr="00F56389">
        <w:rPr>
          <w:b/>
          <w:sz w:val="20"/>
          <w:szCs w:val="20"/>
          <w:vertAlign w:val="superscript"/>
          <w:lang w:val="uk-UA"/>
        </w:rPr>
        <w:t>-138</w:t>
      </w:r>
      <w:r w:rsidRPr="00F56389">
        <w:rPr>
          <w:b/>
          <w:sz w:val="20"/>
          <w:szCs w:val="20"/>
          <w:lang w:val="uk-UA"/>
        </w:rPr>
        <w:sym w:font="Symbol" w:char="F0AE"/>
      </w:r>
      <w:r w:rsidRPr="00F56389">
        <w:rPr>
          <w:b/>
          <w:sz w:val="20"/>
          <w:szCs w:val="20"/>
          <w:lang w:val="uk-UA"/>
        </w:rPr>
        <w:t>С</w:t>
      </w:r>
      <w:r>
        <w:rPr>
          <w:b/>
          <w:sz w:val="20"/>
          <w:szCs w:val="20"/>
          <w:lang w:val="uk-UA"/>
        </w:rPr>
        <w:t>-</w:t>
      </w:r>
      <w:r>
        <w:rPr>
          <w:b/>
          <w:sz w:val="20"/>
          <w:szCs w:val="20"/>
        </w:rPr>
        <w:t>ПОЛІМОРФІЗМУ ПРОМОТОР</w:t>
      </w:r>
      <w:r>
        <w:rPr>
          <w:b/>
          <w:sz w:val="20"/>
          <w:szCs w:val="20"/>
          <w:lang w:val="uk-UA"/>
        </w:rPr>
        <w:t>У</w:t>
      </w:r>
      <w:r w:rsidRPr="00F56389">
        <w:rPr>
          <w:b/>
          <w:sz w:val="20"/>
          <w:szCs w:val="20"/>
        </w:rPr>
        <w:t xml:space="preserve"> </w:t>
      </w:r>
      <w:proofErr w:type="gramStart"/>
      <w:r w:rsidRPr="00F56389">
        <w:rPr>
          <w:b/>
          <w:sz w:val="20"/>
          <w:szCs w:val="20"/>
        </w:rPr>
        <w:t>МАТРИКСНОГО</w:t>
      </w:r>
      <w:proofErr w:type="gramEnd"/>
      <w:r w:rsidRPr="00F56389">
        <w:rPr>
          <w:b/>
          <w:sz w:val="20"/>
          <w:szCs w:val="20"/>
          <w:lang w:val="uk-UA"/>
        </w:rPr>
        <w:t xml:space="preserve"> </w:t>
      </w:r>
      <w:r w:rsidRPr="00F56389">
        <w:rPr>
          <w:b/>
          <w:sz w:val="20"/>
          <w:szCs w:val="20"/>
        </w:rPr>
        <w:t>GLA</w:t>
      </w:r>
      <w:r w:rsidRPr="00F56389">
        <w:rPr>
          <w:b/>
          <w:sz w:val="20"/>
          <w:szCs w:val="20"/>
          <w:lang w:val="uk-UA"/>
        </w:rPr>
        <w:t xml:space="preserve"> –ПРОТЕЇДУ</w:t>
      </w:r>
    </w:p>
    <w:p w:rsidR="003D7A0D" w:rsidRPr="00F56389" w:rsidRDefault="003D7A0D" w:rsidP="003D7A0D">
      <w:pPr>
        <w:jc w:val="center"/>
        <w:rPr>
          <w:b/>
          <w:sz w:val="20"/>
          <w:szCs w:val="20"/>
          <w:lang w:val="uk-UA"/>
        </w:rPr>
      </w:pPr>
      <w:r w:rsidRPr="00F56389">
        <w:rPr>
          <w:b/>
          <w:sz w:val="20"/>
          <w:szCs w:val="20"/>
          <w:lang w:val="uk-UA"/>
        </w:rPr>
        <w:t>У ХВОРИХ НА ГОСТРИЙ КОРОНАРНИЙ СИНДРОМ</w:t>
      </w:r>
    </w:p>
    <w:p w:rsidR="003D7A0D" w:rsidRPr="00F56389" w:rsidRDefault="003D7A0D" w:rsidP="003D7A0D">
      <w:pPr>
        <w:jc w:val="center"/>
        <w:rPr>
          <w:i/>
          <w:sz w:val="20"/>
          <w:szCs w:val="20"/>
          <w:lang w:val="uk-UA"/>
        </w:rPr>
      </w:pPr>
      <w:r w:rsidRPr="00F56389">
        <w:rPr>
          <w:i/>
          <w:sz w:val="20"/>
          <w:szCs w:val="20"/>
          <w:lang w:val="uk-UA"/>
        </w:rPr>
        <w:t xml:space="preserve">Гарбузова В.Ю., Дубовик Є., </w:t>
      </w:r>
      <w:proofErr w:type="spellStart"/>
      <w:r w:rsidRPr="00F56389">
        <w:rPr>
          <w:i/>
          <w:sz w:val="20"/>
          <w:szCs w:val="20"/>
          <w:lang w:val="uk-UA"/>
        </w:rPr>
        <w:t>студ</w:t>
      </w:r>
      <w:proofErr w:type="spellEnd"/>
      <w:r w:rsidRPr="00F56389">
        <w:rPr>
          <w:i/>
          <w:sz w:val="20"/>
          <w:szCs w:val="20"/>
          <w:lang w:val="uk-UA"/>
        </w:rPr>
        <w:t>. 3-го курсу</w:t>
      </w:r>
    </w:p>
    <w:p w:rsidR="003D7A0D" w:rsidRPr="00AA45C2" w:rsidRDefault="003D7A0D" w:rsidP="003D7A0D">
      <w:pPr>
        <w:jc w:val="center"/>
        <w:rPr>
          <w:i/>
          <w:sz w:val="20"/>
          <w:szCs w:val="20"/>
          <w:lang w:val="uk-UA"/>
        </w:rPr>
      </w:pPr>
      <w:proofErr w:type="spellStart"/>
      <w:r w:rsidRPr="00F56389">
        <w:rPr>
          <w:i/>
          <w:sz w:val="20"/>
          <w:szCs w:val="20"/>
          <w:lang w:val="uk-UA"/>
        </w:rPr>
        <w:t>СумДУ</w:t>
      </w:r>
      <w:proofErr w:type="spellEnd"/>
      <w:r w:rsidRPr="00F56389">
        <w:rPr>
          <w:i/>
          <w:sz w:val="20"/>
          <w:szCs w:val="20"/>
          <w:lang w:val="uk-UA"/>
        </w:rPr>
        <w:t>, кафедра фізіології і патофізіології з курсом медичної біології</w:t>
      </w:r>
    </w:p>
    <w:p w:rsidR="003D7A0D" w:rsidRPr="00F771E9" w:rsidRDefault="003D7A0D" w:rsidP="003D7A0D">
      <w:pPr>
        <w:ind w:firstLine="454"/>
        <w:jc w:val="both"/>
        <w:rPr>
          <w:b/>
          <w:i/>
          <w:sz w:val="20"/>
          <w:szCs w:val="20"/>
          <w:lang w:val="uk-UA"/>
        </w:rPr>
      </w:pPr>
    </w:p>
    <w:p w:rsidR="003D7A0D" w:rsidRPr="00213F9B" w:rsidRDefault="003D7A0D" w:rsidP="003D7A0D">
      <w:pPr>
        <w:pStyle w:val="a5"/>
        <w:ind w:firstLine="454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Матриксний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213F9B">
        <w:rPr>
          <w:rFonts w:ascii="Times New Roman" w:hAnsi="Times New Roman"/>
          <w:sz w:val="20"/>
          <w:szCs w:val="20"/>
        </w:rPr>
        <w:t>Gla</w:t>
      </w:r>
      <w:r>
        <w:rPr>
          <w:rFonts w:ascii="Times New Roman" w:hAnsi="Times New Roman"/>
          <w:sz w:val="20"/>
          <w:szCs w:val="20"/>
          <w:lang w:val="uk-UA"/>
        </w:rPr>
        <w:t>-протеїд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213F9B">
        <w:rPr>
          <w:rFonts w:ascii="Times New Roman" w:hAnsi="Times New Roman"/>
          <w:sz w:val="20"/>
          <w:szCs w:val="20"/>
          <w:lang w:val="uk-UA"/>
        </w:rPr>
        <w:t>(</w:t>
      </w:r>
      <w:r w:rsidRPr="00213F9B">
        <w:rPr>
          <w:rFonts w:ascii="Times New Roman" w:hAnsi="Times New Roman"/>
          <w:sz w:val="20"/>
          <w:szCs w:val="20"/>
        </w:rPr>
        <w:t>MGP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) – вітамін К-залежний пептид, що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складаеться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із 84 амінокислот, вперше був виділений із кісток. Сьогодні виявлений високий рівень експресії цього білка в серці, нирках, підшлунк</w:t>
      </w:r>
      <w:r>
        <w:rPr>
          <w:rFonts w:ascii="Times New Roman" w:hAnsi="Times New Roman"/>
          <w:sz w:val="20"/>
          <w:szCs w:val="20"/>
          <w:lang w:val="uk-UA"/>
        </w:rPr>
        <w:t xml:space="preserve">овій залозі, легенях, плаценті 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та ін. У судинах </w:t>
      </w:r>
      <w:r w:rsidRPr="00213F9B">
        <w:rPr>
          <w:rFonts w:ascii="Times New Roman" w:hAnsi="Times New Roman"/>
          <w:sz w:val="20"/>
          <w:szCs w:val="20"/>
        </w:rPr>
        <w:t>MGP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є одним із потужних інгібіторів судинної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кальцифікації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. Згідно сучасних даних поліморфізм гена </w:t>
      </w:r>
      <w:r w:rsidRPr="00213F9B">
        <w:rPr>
          <w:rFonts w:ascii="Times New Roman" w:hAnsi="Times New Roman"/>
          <w:sz w:val="20"/>
          <w:szCs w:val="20"/>
        </w:rPr>
        <w:t>MGP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асоційований з інфарктом міокарда і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кальцифікацією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атеросклеротичної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бляшки.У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просканованих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40 алелях було ідентифіковано  8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поліморфізмів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гену</w:t>
      </w:r>
      <w:r w:rsidRPr="00213F9B">
        <w:rPr>
          <w:rFonts w:ascii="Times New Roman" w:hAnsi="Times New Roman"/>
          <w:color w:val="231F20"/>
          <w:sz w:val="20"/>
          <w:szCs w:val="20"/>
          <w:lang w:val="uk-UA"/>
        </w:rPr>
        <w:t xml:space="preserve"> </w:t>
      </w:r>
      <w:r w:rsidRPr="00213F9B">
        <w:rPr>
          <w:rFonts w:ascii="Times New Roman" w:hAnsi="Times New Roman"/>
          <w:sz w:val="20"/>
          <w:szCs w:val="20"/>
        </w:rPr>
        <w:t>MGP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: 2 в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екзонах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(</w:t>
      </w:r>
      <w:r w:rsidRPr="00213F9B">
        <w:rPr>
          <w:rFonts w:ascii="Times New Roman" w:hAnsi="Times New Roman"/>
          <w:sz w:val="20"/>
          <w:szCs w:val="20"/>
        </w:rPr>
        <w:t>Lys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34 </w:t>
      </w:r>
      <w:proofErr w:type="spellStart"/>
      <w:r w:rsidRPr="00213F9B">
        <w:rPr>
          <w:rFonts w:ascii="Times New Roman" w:hAnsi="Times New Roman"/>
          <w:sz w:val="20"/>
          <w:szCs w:val="20"/>
        </w:rPr>
        <w:t>Glu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, </w:t>
      </w:r>
      <w:proofErr w:type="spellStart"/>
      <w:r w:rsidRPr="00213F9B">
        <w:rPr>
          <w:rFonts w:ascii="Times New Roman" w:hAnsi="Times New Roman"/>
          <w:sz w:val="20"/>
          <w:szCs w:val="20"/>
        </w:rPr>
        <w:t>Thr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83 </w:t>
      </w:r>
      <w:r w:rsidRPr="00213F9B">
        <w:rPr>
          <w:rFonts w:ascii="Times New Roman" w:hAnsi="Times New Roman"/>
          <w:sz w:val="20"/>
          <w:szCs w:val="20"/>
        </w:rPr>
        <w:t>Ala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) </w:t>
      </w:r>
      <w:proofErr w:type="spellStart"/>
      <w:r w:rsidRPr="00213F9B">
        <w:rPr>
          <w:rFonts w:ascii="Times New Roman" w:hAnsi="Times New Roman"/>
          <w:sz w:val="20"/>
          <w:szCs w:val="20"/>
        </w:rPr>
        <w:t>i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6 в </w:t>
      </w:r>
      <w:r w:rsidRPr="00213F9B">
        <w:rPr>
          <w:rFonts w:ascii="Times New Roman" w:hAnsi="Times New Roman"/>
          <w:sz w:val="20"/>
          <w:szCs w:val="20"/>
          <w:lang w:val="uk-UA"/>
        </w:rPr>
        <w:t>промоторі (</w:t>
      </w:r>
      <w:r w:rsidRPr="00213F9B">
        <w:rPr>
          <w:rFonts w:ascii="Times New Roman" w:hAnsi="Times New Roman"/>
          <w:sz w:val="20"/>
          <w:szCs w:val="20"/>
        </w:rPr>
        <w:t>G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</w:t>
      </w:r>
      <w:smartTag w:uri="urn:schemas-microsoft-com:office:smarttags" w:element="metricconverter">
        <w:smartTagPr>
          <w:attr w:name="ProductID" w:val="-7 A"/>
        </w:smartTagPr>
        <w:r w:rsidRPr="00213F9B">
          <w:rPr>
            <w:rFonts w:ascii="Times New Roman" w:hAnsi="Times New Roman"/>
            <w:sz w:val="20"/>
            <w:szCs w:val="20"/>
            <w:lang w:val="uk-UA"/>
          </w:rPr>
          <w:t xml:space="preserve">-7 </w:t>
        </w:r>
        <w:r w:rsidRPr="00213F9B">
          <w:rPr>
            <w:rFonts w:ascii="Times New Roman" w:hAnsi="Times New Roman"/>
            <w:sz w:val="20"/>
            <w:szCs w:val="20"/>
          </w:rPr>
          <w:t>A</w:t>
        </w:r>
      </w:smartTag>
      <w:r w:rsidRPr="00213F9B">
        <w:rPr>
          <w:rFonts w:ascii="Times New Roman" w:hAnsi="Times New Roman"/>
          <w:sz w:val="20"/>
          <w:szCs w:val="20"/>
          <w:lang w:val="uk-UA"/>
        </w:rPr>
        <w:t xml:space="preserve">, </w:t>
      </w:r>
      <w:r w:rsidRPr="00213F9B">
        <w:rPr>
          <w:rFonts w:ascii="Times New Roman" w:hAnsi="Times New Roman"/>
          <w:sz w:val="20"/>
          <w:szCs w:val="20"/>
        </w:rPr>
        <w:t>T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</w:t>
      </w:r>
      <w:smartTag w:uri="urn:schemas-microsoft-com:office:smarttags" w:element="metricconverter">
        <w:smartTagPr>
          <w:attr w:name="ProductID" w:val="-138 C"/>
        </w:smartTagPr>
        <w:r w:rsidRPr="00213F9B">
          <w:rPr>
            <w:rFonts w:ascii="Times New Roman" w:hAnsi="Times New Roman"/>
            <w:sz w:val="20"/>
            <w:szCs w:val="20"/>
            <w:lang w:val="uk-UA"/>
          </w:rPr>
          <w:t xml:space="preserve">-138 </w:t>
        </w:r>
        <w:r w:rsidRPr="00213F9B">
          <w:rPr>
            <w:rFonts w:ascii="Times New Roman" w:hAnsi="Times New Roman"/>
            <w:sz w:val="20"/>
            <w:szCs w:val="20"/>
          </w:rPr>
          <w:t>C</w:t>
        </w:r>
      </w:smartTag>
      <w:r w:rsidRPr="00213F9B">
        <w:rPr>
          <w:rFonts w:ascii="Times New Roman" w:hAnsi="Times New Roman"/>
          <w:sz w:val="20"/>
          <w:szCs w:val="20"/>
          <w:lang w:val="uk-UA"/>
        </w:rPr>
        <w:t xml:space="preserve">, </w:t>
      </w:r>
      <w:r w:rsidRPr="00213F9B">
        <w:rPr>
          <w:rFonts w:ascii="Times New Roman" w:hAnsi="Times New Roman"/>
          <w:sz w:val="20"/>
          <w:szCs w:val="20"/>
        </w:rPr>
        <w:t>C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-514 </w:t>
      </w:r>
      <w:r w:rsidRPr="00213F9B">
        <w:rPr>
          <w:rFonts w:ascii="Times New Roman" w:hAnsi="Times New Roman"/>
          <w:sz w:val="20"/>
          <w:szCs w:val="20"/>
        </w:rPr>
        <w:t>T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, </w:t>
      </w:r>
      <w:r w:rsidRPr="00213F9B">
        <w:rPr>
          <w:rFonts w:ascii="Times New Roman" w:hAnsi="Times New Roman"/>
          <w:sz w:val="20"/>
          <w:szCs w:val="20"/>
        </w:rPr>
        <w:t>A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-814</w:t>
      </w:r>
      <w:r w:rsidRPr="00213F9B">
        <w:rPr>
          <w:rFonts w:ascii="Times New Roman" w:hAnsi="Times New Roman"/>
          <w:sz w:val="20"/>
          <w:szCs w:val="20"/>
        </w:rPr>
        <w:t>G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, </w:t>
      </w:r>
      <w:r w:rsidRPr="00213F9B">
        <w:rPr>
          <w:rFonts w:ascii="Times New Roman" w:hAnsi="Times New Roman"/>
          <w:sz w:val="20"/>
          <w:szCs w:val="20"/>
        </w:rPr>
        <w:t>G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-2447</w:t>
      </w:r>
      <w:r w:rsidRPr="00213F9B">
        <w:rPr>
          <w:rFonts w:ascii="Times New Roman" w:hAnsi="Times New Roman"/>
          <w:sz w:val="20"/>
          <w:szCs w:val="20"/>
        </w:rPr>
        <w:t>A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, </w:t>
      </w:r>
      <w:r w:rsidRPr="00213F9B">
        <w:rPr>
          <w:rFonts w:ascii="Times New Roman" w:hAnsi="Times New Roman"/>
          <w:sz w:val="20"/>
          <w:szCs w:val="20"/>
        </w:rPr>
        <w:t>C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-2682</w:t>
      </w:r>
      <w:r w:rsidRPr="00213F9B">
        <w:rPr>
          <w:rFonts w:ascii="Times New Roman" w:hAnsi="Times New Roman"/>
          <w:sz w:val="20"/>
          <w:szCs w:val="20"/>
        </w:rPr>
        <w:t>T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). Найбільший ступінь кореляції з вказаними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патологіями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має </w:t>
      </w:r>
      <w:r w:rsidRPr="00213F9B">
        <w:rPr>
          <w:rFonts w:ascii="Times New Roman" w:hAnsi="Times New Roman"/>
          <w:sz w:val="20"/>
          <w:szCs w:val="20"/>
          <w:lang w:val="ru-RU"/>
        </w:rPr>
        <w:t xml:space="preserve">Т -138С </w:t>
      </w:r>
      <w:proofErr w:type="spellStart"/>
      <w:r w:rsidRPr="00213F9B">
        <w:rPr>
          <w:rFonts w:ascii="Times New Roman" w:hAnsi="Times New Roman"/>
          <w:sz w:val="20"/>
          <w:szCs w:val="20"/>
          <w:lang w:val="ru-RU"/>
        </w:rPr>
        <w:t>поліморфізм</w:t>
      </w:r>
      <w:proofErr w:type="spellEnd"/>
      <w:r w:rsidRPr="00213F9B">
        <w:rPr>
          <w:rFonts w:ascii="Times New Roman" w:hAnsi="Times New Roman"/>
          <w:sz w:val="20"/>
          <w:szCs w:val="20"/>
          <w:lang w:val="ru-RU"/>
        </w:rPr>
        <w:t xml:space="preserve"> (rs1800802). Б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уло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доведено, </w:t>
      </w:r>
      <w:r>
        <w:rPr>
          <w:rFonts w:ascii="Times New Roman" w:hAnsi="Times New Roman"/>
          <w:sz w:val="20"/>
          <w:szCs w:val="20"/>
          <w:lang w:val="uk-UA"/>
        </w:rPr>
        <w:t>що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поліморфний сайт</w:t>
      </w:r>
      <w:proofErr w:type="gramStart"/>
      <w:r w:rsidRPr="00213F9B">
        <w:rPr>
          <w:rFonts w:ascii="Times New Roman" w:hAnsi="Times New Roman"/>
          <w:sz w:val="20"/>
          <w:szCs w:val="20"/>
          <w:lang w:val="uk-UA"/>
        </w:rPr>
        <w:t xml:space="preserve"> Т</w:t>
      </w:r>
      <w:proofErr w:type="gramEnd"/>
      <w:r w:rsidRPr="00213F9B">
        <w:rPr>
          <w:rFonts w:ascii="Times New Roman" w:hAnsi="Times New Roman"/>
          <w:sz w:val="20"/>
          <w:szCs w:val="20"/>
          <w:lang w:val="uk-UA"/>
        </w:rPr>
        <w:t xml:space="preserve"> -138С знаходиться у тому регіоні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промотора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, де відбувається  приєднання ядерного білка, а заміна Т на С призводить до зменшення  ступеня зв'язування ядерного білка з промотором. С -138 знижує активність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промотора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на 20% у ГМК щурів і на 50% у фібробластах людини. Т</w:t>
      </w:r>
      <w:r w:rsidRPr="00213F9B">
        <w:rPr>
          <w:rFonts w:ascii="Times New Roman" w:hAnsi="Times New Roman"/>
          <w:sz w:val="20"/>
          <w:szCs w:val="20"/>
          <w:vertAlign w:val="superscript"/>
          <w:lang w:val="uk-UA"/>
        </w:rPr>
        <w:t>-138</w:t>
      </w:r>
      <w:r w:rsidRPr="00213F9B">
        <w:rPr>
          <w:rFonts w:ascii="Times New Roman" w:hAnsi="Times New Roman"/>
          <w:sz w:val="20"/>
          <w:szCs w:val="20"/>
          <w:lang w:val="uk-UA"/>
        </w:rPr>
        <w:sym w:font="Symbol" w:char="F0AE"/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С поліморфізм був вивчений для більшості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европейських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та японської популяції, проте для української популяції такі дані відсутні.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3D7A0D" w:rsidRPr="00213F9B" w:rsidRDefault="003D7A0D" w:rsidP="003D7A0D">
      <w:pPr>
        <w:pStyle w:val="a5"/>
        <w:ind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213F9B">
        <w:rPr>
          <w:rFonts w:ascii="Times New Roman" w:hAnsi="Times New Roman"/>
          <w:sz w:val="20"/>
          <w:szCs w:val="20"/>
          <w:lang w:val="uk-UA"/>
        </w:rPr>
        <w:t>Досл</w:t>
      </w:r>
      <w:r>
        <w:rPr>
          <w:rFonts w:ascii="Times New Roman" w:hAnsi="Times New Roman"/>
          <w:sz w:val="20"/>
          <w:szCs w:val="20"/>
          <w:lang w:val="uk-UA"/>
        </w:rPr>
        <w:t xml:space="preserve">ідження виконано на 120 хворих </w:t>
      </w:r>
      <w:r w:rsidRPr="00213F9B">
        <w:rPr>
          <w:rFonts w:ascii="Times New Roman" w:hAnsi="Times New Roman"/>
          <w:sz w:val="20"/>
          <w:szCs w:val="20"/>
          <w:lang w:val="uk-UA"/>
        </w:rPr>
        <w:t>на гострий коронарний синдром</w:t>
      </w:r>
      <w:r w:rsidRPr="00213F9B">
        <w:rPr>
          <w:rFonts w:ascii="Times New Roman" w:hAnsi="Times New Roman"/>
          <w:sz w:val="20"/>
          <w:szCs w:val="20"/>
          <w:lang w:val="ru-RU"/>
        </w:rPr>
        <w:t xml:space="preserve">. 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Венозну кров набирали в стерильних умовах у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моновети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об’ємом 2,7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мл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з калієвою сіллю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етилендіамінтетраоцтової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кислоти (</w:t>
      </w:r>
      <w:smartTag w:uri="urn:schemas-microsoft-com:office:smarttags" w:element="metricconverter">
        <w:smartTagPr>
          <w:attr w:name="ProductID" w:val="11.7 мМ"/>
        </w:smartTagPr>
        <w:r w:rsidRPr="00213F9B">
          <w:rPr>
            <w:rFonts w:ascii="Times New Roman" w:hAnsi="Times New Roman"/>
            <w:sz w:val="20"/>
            <w:szCs w:val="20"/>
            <w:lang w:val="uk-UA"/>
          </w:rPr>
          <w:t xml:space="preserve">11.7 </w:t>
        </w:r>
        <w:proofErr w:type="spellStart"/>
        <w:r w:rsidRPr="00213F9B">
          <w:rPr>
            <w:rFonts w:ascii="Times New Roman" w:hAnsi="Times New Roman"/>
            <w:sz w:val="20"/>
            <w:szCs w:val="20"/>
            <w:lang w:val="uk-UA"/>
          </w:rPr>
          <w:t>мМ</w:t>
        </w:r>
      </w:smartTag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>) в якості антикоагулянту (“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Sarstedt”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>, Німеччина), заморожували та зберігали при температурі -20</w:t>
      </w:r>
      <w:r w:rsidRPr="00213F9B">
        <w:rPr>
          <w:rFonts w:ascii="Times New Roman" w:hAnsi="Times New Roman"/>
          <w:sz w:val="20"/>
          <w:szCs w:val="20"/>
          <w:lang w:val="uk-UA"/>
        </w:rPr>
        <w:sym w:font="Symbol" w:char="F0B0"/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С. ДНК виділяли з цільної крові із використанням наборів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DIAtom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DNA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Prep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(«</w:t>
      </w:r>
      <w:proofErr w:type="spellStart"/>
      <w:r w:rsidRPr="00213F9B">
        <w:rPr>
          <w:rFonts w:ascii="Times New Roman" w:hAnsi="Times New Roman"/>
          <w:sz w:val="20"/>
          <w:szCs w:val="20"/>
          <w:lang w:val="en-GB"/>
        </w:rPr>
        <w:t>Isogene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>», Росія).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Т</w:t>
      </w:r>
      <w:r w:rsidRPr="00213F9B">
        <w:rPr>
          <w:rFonts w:ascii="Times New Roman" w:hAnsi="Times New Roman"/>
          <w:sz w:val="20"/>
          <w:szCs w:val="20"/>
          <w:vertAlign w:val="superscript"/>
          <w:lang w:val="uk-UA"/>
        </w:rPr>
        <w:t>-138</w:t>
      </w:r>
      <w:r w:rsidRPr="00213F9B">
        <w:rPr>
          <w:rFonts w:ascii="Times New Roman" w:hAnsi="Times New Roman"/>
          <w:sz w:val="20"/>
          <w:szCs w:val="20"/>
          <w:lang w:val="uk-UA"/>
        </w:rPr>
        <w:sym w:font="Symbol" w:char="F0AE"/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С поліморфізм промотору визначали методом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полімеразної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ланцюгової реакції (PCR) з наступним аналізом довжини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рестрикційних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фрагментів (PCR-RFLP) за </w:t>
      </w:r>
      <w:r w:rsidRPr="00213F9B">
        <w:rPr>
          <w:rFonts w:ascii="Times New Roman" w:hAnsi="Times New Roman"/>
          <w:sz w:val="20"/>
          <w:szCs w:val="20"/>
        </w:rPr>
        <w:t>N</w:t>
      </w:r>
      <w:r w:rsidRPr="00213F9B">
        <w:rPr>
          <w:rFonts w:ascii="Times New Roman" w:hAnsi="Times New Roman"/>
          <w:sz w:val="20"/>
          <w:szCs w:val="20"/>
          <w:lang w:val="uk-UA"/>
        </w:rPr>
        <w:t>.</w:t>
      </w:r>
      <w:r w:rsidRPr="00213F9B">
        <w:rPr>
          <w:rFonts w:ascii="Times New Roman" w:hAnsi="Times New Roman"/>
          <w:sz w:val="20"/>
          <w:szCs w:val="20"/>
        </w:rPr>
        <w:t>Kobayashi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et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al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. із модифікаціями. Для цього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ампліфікували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ділянку промотору гена </w:t>
      </w:r>
      <w:r w:rsidRPr="00213F9B">
        <w:rPr>
          <w:rFonts w:ascii="Times New Roman" w:hAnsi="Times New Roman"/>
          <w:sz w:val="20"/>
          <w:szCs w:val="20"/>
        </w:rPr>
        <w:t>MGP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за допомогою пари специфічних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праймерів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>. Ампліфікація фрагменту промотору складалася з 36 циклів: денатурація - 94</w:t>
      </w:r>
      <w:r w:rsidRPr="00213F9B">
        <w:rPr>
          <w:rFonts w:ascii="Times New Roman" w:hAnsi="Times New Roman"/>
          <w:sz w:val="20"/>
          <w:szCs w:val="20"/>
          <w:lang w:val="uk-UA"/>
        </w:rPr>
        <w:sym w:font="Symbol" w:char="F0B0"/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С (50 с), гібридизація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праймерів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- 57</w:t>
      </w:r>
      <w:r w:rsidRPr="00213F9B">
        <w:rPr>
          <w:rFonts w:ascii="Times New Roman" w:hAnsi="Times New Roman"/>
          <w:sz w:val="20"/>
          <w:szCs w:val="20"/>
          <w:lang w:val="uk-UA"/>
        </w:rPr>
        <w:sym w:font="Symbol" w:char="F0B0"/>
      </w:r>
      <w:r w:rsidRPr="00213F9B">
        <w:rPr>
          <w:rFonts w:ascii="Times New Roman" w:hAnsi="Times New Roman"/>
          <w:sz w:val="20"/>
          <w:szCs w:val="20"/>
          <w:lang w:val="uk-UA"/>
        </w:rPr>
        <w:t>С (1 хв.) та елонгація - 72</w:t>
      </w:r>
      <w:r w:rsidRPr="00213F9B">
        <w:rPr>
          <w:rFonts w:ascii="Times New Roman" w:hAnsi="Times New Roman"/>
          <w:sz w:val="20"/>
          <w:szCs w:val="20"/>
          <w:lang w:val="uk-UA"/>
        </w:rPr>
        <w:sym w:font="Symbol" w:char="F0B0"/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С (1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хв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>). 6 мкл продукту ампліфікації інкубували при 37</w:t>
      </w:r>
      <w:r w:rsidRPr="00213F9B">
        <w:rPr>
          <w:rFonts w:ascii="Times New Roman" w:hAnsi="Times New Roman"/>
          <w:sz w:val="20"/>
          <w:szCs w:val="20"/>
          <w:lang w:val="uk-UA"/>
        </w:rPr>
        <w:sym w:font="Symbol" w:char="F0B0"/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С протягом 18 годин з 5 ОД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рестриктази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213F9B">
        <w:rPr>
          <w:rFonts w:ascii="Times New Roman" w:hAnsi="Times New Roman"/>
          <w:sz w:val="20"/>
          <w:szCs w:val="20"/>
        </w:rPr>
        <w:t>BseN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>I (“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Ферментас”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, Литва) в буфері </w:t>
      </w:r>
      <w:r w:rsidRPr="00213F9B">
        <w:rPr>
          <w:rFonts w:ascii="Times New Roman" w:hAnsi="Times New Roman"/>
          <w:sz w:val="20"/>
          <w:szCs w:val="20"/>
        </w:rPr>
        <w:t>B</w:t>
      </w:r>
      <w:r w:rsidRPr="00213F9B">
        <w:rPr>
          <w:rFonts w:ascii="Times New Roman" w:hAnsi="Times New Roman"/>
          <w:sz w:val="20"/>
          <w:szCs w:val="20"/>
          <w:lang w:val="uk-UA"/>
        </w:rPr>
        <w:t xml:space="preserve"> наступного складу: </w:t>
      </w:r>
      <w:smartTag w:uri="urn:schemas-microsoft-com:office:smarttags" w:element="metricconverter">
        <w:smartTagPr>
          <w:attr w:name="ProductID" w:val="33 мМ"/>
        </w:smartTagPr>
        <w:r w:rsidRPr="00213F9B">
          <w:rPr>
            <w:rFonts w:ascii="Times New Roman" w:hAnsi="Times New Roman"/>
            <w:sz w:val="20"/>
            <w:szCs w:val="20"/>
            <w:lang w:val="uk-UA"/>
          </w:rPr>
          <w:t xml:space="preserve">33 </w:t>
        </w:r>
        <w:proofErr w:type="spellStart"/>
        <w:r w:rsidRPr="00213F9B">
          <w:rPr>
            <w:rFonts w:ascii="Times New Roman" w:hAnsi="Times New Roman"/>
            <w:sz w:val="20"/>
            <w:szCs w:val="20"/>
            <w:lang w:val="uk-UA"/>
          </w:rPr>
          <w:t>мМ</w:t>
        </w:r>
      </w:smartTag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трис-ацетату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(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рН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7.9), </w:t>
      </w:r>
      <w:smartTag w:uri="urn:schemas-microsoft-com:office:smarttags" w:element="metricconverter">
        <w:smartTagPr>
          <w:attr w:name="ProductID" w:val="10 мМ"/>
        </w:smartTagPr>
        <w:r w:rsidRPr="00213F9B">
          <w:rPr>
            <w:rFonts w:ascii="Times New Roman" w:hAnsi="Times New Roman"/>
            <w:sz w:val="20"/>
            <w:szCs w:val="20"/>
            <w:lang w:val="uk-UA"/>
          </w:rPr>
          <w:t xml:space="preserve">10 </w:t>
        </w:r>
        <w:proofErr w:type="spellStart"/>
        <w:r w:rsidRPr="00213F9B">
          <w:rPr>
            <w:rFonts w:ascii="Times New Roman" w:hAnsi="Times New Roman"/>
            <w:sz w:val="20"/>
            <w:szCs w:val="20"/>
            <w:lang w:val="uk-UA"/>
          </w:rPr>
          <w:t>мМ</w:t>
        </w:r>
      </w:smartTag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ацетату магнію, </w:t>
      </w:r>
      <w:smartTag w:uri="urn:schemas-microsoft-com:office:smarttags" w:element="metricconverter">
        <w:smartTagPr>
          <w:attr w:name="ProductID" w:val="66 мМ"/>
        </w:smartTagPr>
        <w:r w:rsidRPr="00213F9B">
          <w:rPr>
            <w:rFonts w:ascii="Times New Roman" w:hAnsi="Times New Roman"/>
            <w:sz w:val="20"/>
            <w:szCs w:val="20"/>
            <w:lang w:val="uk-UA"/>
          </w:rPr>
          <w:t xml:space="preserve">66 </w:t>
        </w:r>
        <w:proofErr w:type="spellStart"/>
        <w:r w:rsidRPr="00213F9B">
          <w:rPr>
            <w:rFonts w:ascii="Times New Roman" w:hAnsi="Times New Roman"/>
            <w:sz w:val="20"/>
            <w:szCs w:val="20"/>
            <w:lang w:val="uk-UA"/>
          </w:rPr>
          <w:t>мМ</w:t>
        </w:r>
      </w:smartTag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ацетату калію, 0.1 мг/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мл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альбуміну. За наявності в –138 положенні промотору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тимідину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213F9B">
        <w:rPr>
          <w:rFonts w:ascii="Times New Roman" w:hAnsi="Times New Roman"/>
          <w:sz w:val="20"/>
          <w:szCs w:val="20"/>
        </w:rPr>
        <w:t>BseN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I розщеплює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ампліфіковану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ділянку промотору (розмір 142 пари основ) на два фрагменти – 118 та 24 пар основ, а при заміні на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цитозин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рестрикція не відбувається.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Ампліфікати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після рестрикції розділяли в 2,5 %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агарозному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гелі, що містив 10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мкг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>/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мл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бромистого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етидію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. Візуалізація ДНК після горизонтального електрофорезу (140 V протягом 25 хв.) проводилася за допомогою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трансілюмінатору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(“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Біоком”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, Росія) та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відеосистеми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ViTran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(Росія).</w:t>
      </w:r>
    </w:p>
    <w:p w:rsidR="003D7A0D" w:rsidRDefault="003D7A0D" w:rsidP="003D7A0D">
      <w:pPr>
        <w:pStyle w:val="a5"/>
        <w:ind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213F9B">
        <w:rPr>
          <w:rFonts w:ascii="Times New Roman" w:hAnsi="Times New Roman"/>
          <w:sz w:val="20"/>
          <w:szCs w:val="20"/>
          <w:lang w:val="uk-UA"/>
        </w:rPr>
        <w:t xml:space="preserve">Співвідношення нормальних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гомозигот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, гетерозигот і рідких </w:t>
      </w:r>
      <w:proofErr w:type="spellStart"/>
      <w:r w:rsidRPr="00213F9B">
        <w:rPr>
          <w:rFonts w:ascii="Times New Roman" w:hAnsi="Times New Roman"/>
          <w:sz w:val="20"/>
          <w:szCs w:val="20"/>
          <w:lang w:val="uk-UA"/>
        </w:rPr>
        <w:t>гомозигот</w:t>
      </w:r>
      <w:proofErr w:type="spellEnd"/>
      <w:r w:rsidRPr="00213F9B">
        <w:rPr>
          <w:rFonts w:ascii="Times New Roman" w:hAnsi="Times New Roman"/>
          <w:sz w:val="20"/>
          <w:szCs w:val="20"/>
          <w:lang w:val="uk-UA"/>
        </w:rPr>
        <w:t xml:space="preserve"> при аналізі Т</w:t>
      </w:r>
      <w:r w:rsidRPr="00213F9B">
        <w:rPr>
          <w:rFonts w:ascii="Times New Roman" w:hAnsi="Times New Roman"/>
          <w:sz w:val="20"/>
          <w:szCs w:val="20"/>
          <w:vertAlign w:val="superscript"/>
          <w:lang w:val="uk-UA"/>
        </w:rPr>
        <w:t>-138</w:t>
      </w:r>
      <w:r w:rsidRPr="00213F9B">
        <w:rPr>
          <w:rFonts w:ascii="Times New Roman" w:hAnsi="Times New Roman"/>
          <w:sz w:val="20"/>
          <w:szCs w:val="20"/>
          <w:lang w:val="uk-UA"/>
        </w:rPr>
        <w:sym w:font="Symbol" w:char="F0AE"/>
      </w:r>
      <w:r w:rsidRPr="00213F9B">
        <w:rPr>
          <w:rFonts w:ascii="Times New Roman" w:hAnsi="Times New Roman"/>
          <w:sz w:val="20"/>
          <w:szCs w:val="20"/>
          <w:lang w:val="uk-UA"/>
        </w:rPr>
        <w:t>С поліморфізму промотору у хворих на гострий коронарний синдром складає 56,1%, 36,5% та 7,4% відповідно.  Для з'ясування кореляції між вивченим поліморфізмом і гострим коронарним синдромом, у наступній серії дослідів планується проаналізувати його частоту у контрольній групі.</w:t>
      </w:r>
    </w:p>
    <w:p w:rsidR="003D7A0D" w:rsidRPr="003D7A0D" w:rsidRDefault="003D7A0D" w:rsidP="003D7A0D">
      <w:pPr>
        <w:pStyle w:val="a5"/>
        <w:ind w:firstLine="45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3D7A0D" w:rsidRPr="003D7A0D" w:rsidRDefault="003D7A0D" w:rsidP="003D7A0D">
      <w:pPr>
        <w:pStyle w:val="a5"/>
        <w:ind w:firstLine="45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2777" w:rsidRPr="003D7A0D" w:rsidRDefault="00422777" w:rsidP="003D7A0D">
      <w:pPr>
        <w:rPr>
          <w:lang w:val="uk-UA"/>
        </w:rPr>
      </w:pPr>
    </w:p>
    <w:sectPr w:rsidR="00422777" w:rsidRPr="003D7A0D" w:rsidSect="004227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2B36"/>
    <w:rsid w:val="00070E1C"/>
    <w:rsid w:val="00176E36"/>
    <w:rsid w:val="001C5ED0"/>
    <w:rsid w:val="003D7A0D"/>
    <w:rsid w:val="00422777"/>
    <w:rsid w:val="00521CF9"/>
    <w:rsid w:val="007C527E"/>
    <w:rsid w:val="00867ACC"/>
    <w:rsid w:val="00890742"/>
    <w:rsid w:val="0099384B"/>
    <w:rsid w:val="00B62B36"/>
    <w:rsid w:val="00EE00B8"/>
    <w:rsid w:val="00EF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EE00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7ACC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867ACC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21">
    <w:name w:val="Body Text Indent 2"/>
    <w:basedOn w:val="a"/>
    <w:link w:val="22"/>
    <w:rsid w:val="00521CF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21C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EE00B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customStyle="1" w:styleId="a5">
    <w:name w:val="Без інтервалів"/>
    <w:basedOn w:val="a"/>
    <w:qFormat/>
    <w:rsid w:val="003D7A0D"/>
    <w:rPr>
      <w:rFonts w:ascii="Cambria" w:hAnsi="Cambria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2081</Words>
  <Characters>1187</Characters>
  <Application>Microsoft Office Word</Application>
  <DocSecurity>0</DocSecurity>
  <Lines>9</Lines>
  <Paragraphs>6</Paragraphs>
  <ScaleCrop>false</ScaleCrop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2011-03-30T12:16:00Z</dcterms:created>
  <dcterms:modified xsi:type="dcterms:W3CDTF">2011-03-30T12:16:00Z</dcterms:modified>
</cp:coreProperties>
</file>