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276" w:rsidRPr="00F56389" w:rsidRDefault="006C1276" w:rsidP="006C1276">
      <w:pPr>
        <w:jc w:val="center"/>
        <w:rPr>
          <w:b/>
          <w:sz w:val="20"/>
          <w:szCs w:val="20"/>
          <w:lang w:val="uk-UA"/>
        </w:rPr>
      </w:pPr>
      <w:r w:rsidRPr="00F56389">
        <w:rPr>
          <w:b/>
          <w:sz w:val="20"/>
          <w:szCs w:val="20"/>
          <w:lang w:val="uk-UA"/>
        </w:rPr>
        <w:t>ВИВЧЕННЯ ГЕНЕТИЧНОЇ СХИЛЬНОСТІ ЛЮДИНИ ДО РІЗНИХ ВИДІВ СПОРТУ</w:t>
      </w:r>
    </w:p>
    <w:p w:rsidR="006C1276" w:rsidRPr="00F56389" w:rsidRDefault="006C1276" w:rsidP="006C1276">
      <w:pPr>
        <w:jc w:val="center"/>
        <w:rPr>
          <w:i/>
          <w:sz w:val="20"/>
          <w:szCs w:val="20"/>
          <w:lang w:val="uk-UA"/>
        </w:rPr>
      </w:pPr>
      <w:proofErr w:type="spellStart"/>
      <w:r w:rsidRPr="00F56389">
        <w:rPr>
          <w:i/>
          <w:sz w:val="20"/>
          <w:szCs w:val="20"/>
          <w:lang w:val="uk-UA"/>
        </w:rPr>
        <w:t>Обухова</w:t>
      </w:r>
      <w:proofErr w:type="spellEnd"/>
      <w:r w:rsidRPr="00F56389">
        <w:rPr>
          <w:i/>
          <w:sz w:val="20"/>
          <w:szCs w:val="20"/>
          <w:lang w:val="uk-UA"/>
        </w:rPr>
        <w:t xml:space="preserve"> О.А.</w:t>
      </w:r>
    </w:p>
    <w:p w:rsidR="006C1276" w:rsidRPr="004A3676" w:rsidRDefault="006C1276" w:rsidP="006C1276">
      <w:pPr>
        <w:jc w:val="center"/>
        <w:rPr>
          <w:bCs/>
          <w:i/>
          <w:iCs/>
          <w:sz w:val="20"/>
          <w:szCs w:val="20"/>
          <w:lang w:val="uk-UA"/>
        </w:rPr>
      </w:pPr>
      <w:proofErr w:type="spellStart"/>
      <w:r w:rsidRPr="00F56389">
        <w:rPr>
          <w:bCs/>
          <w:i/>
          <w:iCs/>
          <w:sz w:val="20"/>
          <w:szCs w:val="20"/>
          <w:lang w:val="uk-UA"/>
        </w:rPr>
        <w:t>СумДУ</w:t>
      </w:r>
      <w:proofErr w:type="spellEnd"/>
      <w:r w:rsidRPr="00F56389">
        <w:rPr>
          <w:bCs/>
          <w:i/>
          <w:iCs/>
          <w:sz w:val="20"/>
          <w:szCs w:val="20"/>
          <w:lang w:val="uk-UA"/>
        </w:rPr>
        <w:t>, кафедра фізіології і патофізіології з курсом медичної біології</w:t>
      </w:r>
    </w:p>
    <w:p w:rsidR="006C1276" w:rsidRPr="004A3676" w:rsidRDefault="006C1276" w:rsidP="006C1276">
      <w:pPr>
        <w:jc w:val="both"/>
        <w:rPr>
          <w:bCs/>
          <w:i/>
          <w:iCs/>
          <w:sz w:val="20"/>
          <w:szCs w:val="20"/>
          <w:lang w:val="uk-UA"/>
        </w:rPr>
      </w:pPr>
    </w:p>
    <w:p w:rsidR="006C1276" w:rsidRDefault="006C1276" w:rsidP="006C1276">
      <w:pPr>
        <w:ind w:firstLine="454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Останнє десятиріччя спостерігається стрімкий розвиток такої науки як спортивна генетика. Даний факт сприяв появі нових високоефективних технологій в галузі молекулярної біології і генетики. Вважають, що індивідуальні розбіжності в розвитку тих чи інших фізичних чи психічних якостей людини в більшості обумовлені </w:t>
      </w:r>
      <w:proofErr w:type="spellStart"/>
      <w:r>
        <w:rPr>
          <w:sz w:val="20"/>
          <w:szCs w:val="20"/>
          <w:lang w:val="uk-UA"/>
        </w:rPr>
        <w:t>ДНК-поліморфізмами</w:t>
      </w:r>
      <w:proofErr w:type="spellEnd"/>
      <w:r>
        <w:rPr>
          <w:sz w:val="20"/>
          <w:szCs w:val="20"/>
          <w:lang w:val="uk-UA"/>
        </w:rPr>
        <w:t>, яких нараховується не менш 12 мільйонів.</w:t>
      </w:r>
    </w:p>
    <w:p w:rsidR="006C1276" w:rsidRDefault="006C1276" w:rsidP="006C1276">
      <w:pPr>
        <w:ind w:firstLine="454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Щорічно кількість нових виділених генетичних маркерів, пов’язаних зі спортивною діяльністю зростає в геометричній прогресії: 1997 рік – 5 генів, 2000 – 24 гени, 2004 -101 ген. В 2006 році чергова версія карти (</w:t>
      </w:r>
      <w:r>
        <w:rPr>
          <w:sz w:val="20"/>
          <w:szCs w:val="20"/>
          <w:lang w:val="en-US"/>
        </w:rPr>
        <w:t>The</w:t>
      </w:r>
      <w:r w:rsidRPr="006A12F1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en-US"/>
        </w:rPr>
        <w:t>human</w:t>
      </w:r>
      <w:r w:rsidRPr="006A12F1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en-US"/>
        </w:rPr>
        <w:t>Gene</w:t>
      </w:r>
      <w:r w:rsidRPr="006A12F1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en-US"/>
        </w:rPr>
        <w:t>Map</w:t>
      </w:r>
      <w:r w:rsidRPr="006A12F1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en-US"/>
        </w:rPr>
        <w:t>for</w:t>
      </w:r>
      <w:r w:rsidRPr="006A12F1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en-US"/>
        </w:rPr>
        <w:t>Performance</w:t>
      </w:r>
      <w:r w:rsidRPr="006A12F1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en-US"/>
        </w:rPr>
        <w:t>and</w:t>
      </w:r>
      <w:r w:rsidRPr="006A12F1">
        <w:rPr>
          <w:sz w:val="20"/>
          <w:szCs w:val="20"/>
          <w:lang w:val="uk-UA"/>
        </w:rPr>
        <w:t xml:space="preserve"> </w:t>
      </w:r>
      <w:proofErr w:type="spellStart"/>
      <w:r>
        <w:rPr>
          <w:sz w:val="20"/>
          <w:szCs w:val="20"/>
          <w:lang w:val="en-US"/>
        </w:rPr>
        <w:t>Helth</w:t>
      </w:r>
      <w:proofErr w:type="spellEnd"/>
      <w:r w:rsidRPr="006A12F1">
        <w:rPr>
          <w:sz w:val="20"/>
          <w:szCs w:val="20"/>
          <w:lang w:val="uk-UA"/>
        </w:rPr>
        <w:t xml:space="preserve"> – </w:t>
      </w:r>
      <w:r>
        <w:rPr>
          <w:sz w:val="20"/>
          <w:szCs w:val="20"/>
          <w:lang w:val="en-US"/>
        </w:rPr>
        <w:t>Related</w:t>
      </w:r>
      <w:r w:rsidRPr="006A12F1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en-US"/>
        </w:rPr>
        <w:t>fitness</w:t>
      </w:r>
      <w:r w:rsidRPr="006A12F1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en-US"/>
        </w:rPr>
        <w:t>Phenotypes</w:t>
      </w:r>
      <w:r w:rsidRPr="006A12F1">
        <w:rPr>
          <w:sz w:val="20"/>
          <w:szCs w:val="20"/>
          <w:lang w:val="uk-UA"/>
        </w:rPr>
        <w:t xml:space="preserve">) </w:t>
      </w:r>
      <w:r>
        <w:rPr>
          <w:sz w:val="20"/>
          <w:szCs w:val="20"/>
          <w:lang w:val="uk-UA"/>
        </w:rPr>
        <w:t xml:space="preserve">містила 187 генетичних маркерів людини, пов’язаних з фізичною активністю, з них виділяють 112 генів ( 95 ядерних і 17 </w:t>
      </w:r>
      <w:proofErr w:type="spellStart"/>
      <w:r>
        <w:rPr>
          <w:sz w:val="20"/>
          <w:szCs w:val="20"/>
          <w:lang w:val="uk-UA"/>
        </w:rPr>
        <w:t>мітохондріальних</w:t>
      </w:r>
      <w:proofErr w:type="spellEnd"/>
      <w:r>
        <w:rPr>
          <w:sz w:val="20"/>
          <w:szCs w:val="20"/>
          <w:lang w:val="uk-UA"/>
        </w:rPr>
        <w:t xml:space="preserve">), а також 75 локусів кількісних ознак. На даний час, гени, </w:t>
      </w:r>
      <w:proofErr w:type="spellStart"/>
      <w:r>
        <w:rPr>
          <w:sz w:val="20"/>
          <w:szCs w:val="20"/>
          <w:lang w:val="uk-UA"/>
        </w:rPr>
        <w:t>поліморфізми</w:t>
      </w:r>
      <w:proofErr w:type="spellEnd"/>
      <w:r>
        <w:rPr>
          <w:sz w:val="20"/>
          <w:szCs w:val="20"/>
          <w:lang w:val="uk-UA"/>
        </w:rPr>
        <w:t xml:space="preserve"> яких пов’язані з розвитком і проявою фізичних якостей людини і продукти яких відповідають за м’язове скорочення, гемодинаміку, енергетичний метаболізм, ріст і функціонування сполучної тканини, а також впливають на газообмінні функції крові. Послідовність одного і того ж гену може мати декілька варіантів. Деякі ж цих поліморфізмі пов’язані з проявою витривалості, швидкісно-силових якостей або з розвитком гіпертрофії скелетних м’язів. Існують також гени, що обмежують фізичну діяльність людини. В наслідок такого обмеження в кращому випадку стане припинення зросту спортивних результатів, а в гіршому – виникнення захворювань таких, наприклад, як надмірна гіпертрофія міокарду лівого шлуночка.</w:t>
      </w:r>
    </w:p>
    <w:p w:rsidR="006C1276" w:rsidRPr="002E2502" w:rsidRDefault="006C1276" w:rsidP="006C1276">
      <w:pPr>
        <w:ind w:firstLine="454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Серед генів, асоційованих зі спортивною діяльністю, виділяють гени першочергової (альфа рецептору, активованого </w:t>
      </w:r>
      <w:proofErr w:type="spellStart"/>
      <w:r>
        <w:rPr>
          <w:sz w:val="20"/>
          <w:szCs w:val="20"/>
          <w:lang w:val="uk-UA"/>
        </w:rPr>
        <w:t>проліфераторами</w:t>
      </w:r>
      <w:proofErr w:type="spellEnd"/>
      <w:r>
        <w:rPr>
          <w:sz w:val="20"/>
          <w:szCs w:val="20"/>
          <w:lang w:val="uk-UA"/>
        </w:rPr>
        <w:t xml:space="preserve"> </w:t>
      </w:r>
      <w:proofErr w:type="spellStart"/>
      <w:r>
        <w:rPr>
          <w:sz w:val="20"/>
          <w:szCs w:val="20"/>
          <w:lang w:val="uk-UA"/>
        </w:rPr>
        <w:t>пероксисом</w:t>
      </w:r>
      <w:proofErr w:type="spellEnd"/>
      <w:r>
        <w:rPr>
          <w:sz w:val="20"/>
          <w:szCs w:val="20"/>
          <w:lang w:val="uk-UA"/>
        </w:rPr>
        <w:t xml:space="preserve"> (</w:t>
      </w:r>
      <w:r>
        <w:rPr>
          <w:sz w:val="20"/>
          <w:szCs w:val="20"/>
          <w:lang w:val="en-US"/>
        </w:rPr>
        <w:t>PPARA</w:t>
      </w:r>
      <w:r>
        <w:rPr>
          <w:sz w:val="20"/>
          <w:szCs w:val="20"/>
          <w:lang w:val="uk-UA"/>
        </w:rPr>
        <w:t>)</w:t>
      </w:r>
      <w:r w:rsidRPr="002156E5">
        <w:rPr>
          <w:sz w:val="20"/>
          <w:szCs w:val="20"/>
          <w:lang w:val="uk-UA"/>
        </w:rPr>
        <w:t>,</w:t>
      </w:r>
      <w:r>
        <w:rPr>
          <w:sz w:val="20"/>
          <w:szCs w:val="20"/>
          <w:lang w:val="uk-UA"/>
        </w:rPr>
        <w:t xml:space="preserve"> дельта-рецептору, активованого ПП (</w:t>
      </w:r>
      <w:r>
        <w:rPr>
          <w:sz w:val="20"/>
          <w:szCs w:val="20"/>
          <w:lang w:val="en-US"/>
        </w:rPr>
        <w:t>PPARD</w:t>
      </w:r>
      <w:r>
        <w:rPr>
          <w:sz w:val="20"/>
          <w:szCs w:val="20"/>
          <w:lang w:val="uk-UA"/>
        </w:rPr>
        <w:t>)</w:t>
      </w:r>
      <w:r w:rsidRPr="002156E5">
        <w:rPr>
          <w:sz w:val="20"/>
          <w:szCs w:val="20"/>
          <w:lang w:val="uk-UA"/>
        </w:rPr>
        <w:t>,</w:t>
      </w:r>
      <w:r>
        <w:rPr>
          <w:sz w:val="20"/>
          <w:szCs w:val="20"/>
          <w:lang w:val="uk-UA"/>
        </w:rPr>
        <w:t xml:space="preserve"> </w:t>
      </w:r>
      <w:proofErr w:type="spellStart"/>
      <w:r>
        <w:rPr>
          <w:sz w:val="20"/>
          <w:szCs w:val="20"/>
          <w:lang w:val="uk-UA"/>
        </w:rPr>
        <w:t>ангеотензин-перетворюючий</w:t>
      </w:r>
      <w:proofErr w:type="spellEnd"/>
      <w:r>
        <w:rPr>
          <w:sz w:val="20"/>
          <w:szCs w:val="20"/>
          <w:lang w:val="uk-UA"/>
        </w:rPr>
        <w:t xml:space="preserve"> фермент (</w:t>
      </w:r>
      <w:r>
        <w:rPr>
          <w:sz w:val="20"/>
          <w:szCs w:val="20"/>
          <w:lang w:val="en-US"/>
        </w:rPr>
        <w:t>ACE</w:t>
      </w:r>
      <w:r>
        <w:rPr>
          <w:sz w:val="20"/>
          <w:szCs w:val="20"/>
          <w:lang w:val="uk-UA"/>
        </w:rPr>
        <w:t>)</w:t>
      </w:r>
      <w:r w:rsidRPr="002156E5">
        <w:rPr>
          <w:sz w:val="20"/>
          <w:szCs w:val="20"/>
          <w:lang w:val="uk-UA"/>
        </w:rPr>
        <w:t>,</w:t>
      </w:r>
      <w:r>
        <w:rPr>
          <w:sz w:val="20"/>
          <w:szCs w:val="20"/>
          <w:lang w:val="uk-UA"/>
        </w:rPr>
        <w:t xml:space="preserve"> </w:t>
      </w:r>
      <w:proofErr w:type="spellStart"/>
      <w:r>
        <w:rPr>
          <w:sz w:val="20"/>
          <w:szCs w:val="20"/>
          <w:lang w:val="uk-UA"/>
        </w:rPr>
        <w:t>альфа-актиніну</w:t>
      </w:r>
      <w:proofErr w:type="spellEnd"/>
      <w:r>
        <w:rPr>
          <w:sz w:val="20"/>
          <w:szCs w:val="20"/>
          <w:lang w:val="uk-UA"/>
        </w:rPr>
        <w:t xml:space="preserve"> 3</w:t>
      </w:r>
      <w:r w:rsidRPr="002156E5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(</w:t>
      </w:r>
      <w:r>
        <w:rPr>
          <w:sz w:val="20"/>
          <w:szCs w:val="20"/>
          <w:lang w:val="en-US"/>
        </w:rPr>
        <w:t>ACTN</w:t>
      </w:r>
      <w:r w:rsidRPr="002156E5">
        <w:rPr>
          <w:sz w:val="20"/>
          <w:szCs w:val="20"/>
          <w:lang w:val="uk-UA"/>
        </w:rPr>
        <w:t>3</w:t>
      </w:r>
      <w:r>
        <w:rPr>
          <w:sz w:val="20"/>
          <w:szCs w:val="20"/>
          <w:lang w:val="uk-UA"/>
        </w:rPr>
        <w:t>)</w:t>
      </w:r>
      <w:r w:rsidRPr="002156E5">
        <w:rPr>
          <w:sz w:val="20"/>
          <w:szCs w:val="20"/>
          <w:lang w:val="uk-UA"/>
        </w:rPr>
        <w:t xml:space="preserve">, </w:t>
      </w:r>
      <w:proofErr w:type="spellStart"/>
      <w:r>
        <w:rPr>
          <w:sz w:val="20"/>
          <w:szCs w:val="20"/>
          <w:lang w:val="uk-UA"/>
        </w:rPr>
        <w:t>аденозин-монофосфат-дезамінази</w:t>
      </w:r>
      <w:proofErr w:type="spellEnd"/>
      <w:r>
        <w:rPr>
          <w:sz w:val="20"/>
          <w:szCs w:val="20"/>
          <w:lang w:val="uk-UA"/>
        </w:rPr>
        <w:t xml:space="preserve"> (</w:t>
      </w:r>
      <w:r>
        <w:rPr>
          <w:sz w:val="20"/>
          <w:szCs w:val="20"/>
          <w:lang w:val="en-US"/>
        </w:rPr>
        <w:t>AMPD</w:t>
      </w:r>
      <w:r>
        <w:rPr>
          <w:sz w:val="20"/>
          <w:szCs w:val="20"/>
          <w:lang w:val="uk-UA"/>
        </w:rPr>
        <w:t>)</w:t>
      </w:r>
      <w:r w:rsidRPr="002156E5">
        <w:rPr>
          <w:sz w:val="20"/>
          <w:szCs w:val="20"/>
          <w:lang w:val="uk-UA"/>
        </w:rPr>
        <w:t>,</w:t>
      </w:r>
      <w:r>
        <w:rPr>
          <w:sz w:val="20"/>
          <w:szCs w:val="20"/>
          <w:lang w:val="uk-UA"/>
        </w:rPr>
        <w:t xml:space="preserve"> </w:t>
      </w:r>
      <w:proofErr w:type="spellStart"/>
      <w:r>
        <w:rPr>
          <w:sz w:val="20"/>
          <w:szCs w:val="20"/>
          <w:lang w:val="uk-UA"/>
        </w:rPr>
        <w:t>коактиватору</w:t>
      </w:r>
      <w:proofErr w:type="spellEnd"/>
      <w:r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en-US"/>
        </w:rPr>
        <w:t>PPARG</w:t>
      </w:r>
      <w:r w:rsidRPr="006A12F1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тип 1А</w:t>
      </w:r>
      <w:r w:rsidRPr="002156E5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(</w:t>
      </w:r>
      <w:r>
        <w:rPr>
          <w:sz w:val="20"/>
          <w:szCs w:val="20"/>
          <w:lang w:val="en-US"/>
        </w:rPr>
        <w:t>PGC</w:t>
      </w:r>
      <w:r w:rsidRPr="002156E5">
        <w:rPr>
          <w:sz w:val="20"/>
          <w:szCs w:val="20"/>
          <w:lang w:val="uk-UA"/>
        </w:rPr>
        <w:t>1</w:t>
      </w:r>
      <w:r>
        <w:rPr>
          <w:sz w:val="20"/>
          <w:szCs w:val="20"/>
          <w:lang w:val="en-US"/>
        </w:rPr>
        <w:t>A</w:t>
      </w:r>
      <w:r w:rsidRPr="002156E5">
        <w:rPr>
          <w:sz w:val="20"/>
          <w:szCs w:val="20"/>
          <w:lang w:val="uk-UA"/>
        </w:rPr>
        <w:t>)</w:t>
      </w:r>
      <w:r>
        <w:rPr>
          <w:sz w:val="20"/>
          <w:szCs w:val="20"/>
          <w:lang w:val="uk-UA"/>
        </w:rPr>
        <w:t>)</w:t>
      </w:r>
      <w:r w:rsidRPr="002156E5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і другорядної значущості (</w:t>
      </w:r>
      <w:proofErr w:type="spellStart"/>
      <w:r>
        <w:rPr>
          <w:sz w:val="20"/>
          <w:szCs w:val="20"/>
          <w:lang w:val="uk-UA"/>
        </w:rPr>
        <w:t>ангеотензиноген</w:t>
      </w:r>
      <w:proofErr w:type="spellEnd"/>
      <w:r>
        <w:rPr>
          <w:sz w:val="20"/>
          <w:szCs w:val="20"/>
          <w:lang w:val="uk-UA"/>
        </w:rPr>
        <w:t xml:space="preserve"> (</w:t>
      </w:r>
      <w:r>
        <w:rPr>
          <w:sz w:val="20"/>
          <w:szCs w:val="20"/>
          <w:lang w:val="en-US"/>
        </w:rPr>
        <w:t>AGT</w:t>
      </w:r>
      <w:r w:rsidRPr="002E2502">
        <w:rPr>
          <w:sz w:val="20"/>
          <w:szCs w:val="20"/>
          <w:lang w:val="uk-UA"/>
        </w:rPr>
        <w:t>)</w:t>
      </w:r>
      <w:r>
        <w:rPr>
          <w:sz w:val="20"/>
          <w:szCs w:val="20"/>
          <w:lang w:val="uk-UA"/>
        </w:rPr>
        <w:t xml:space="preserve">, </w:t>
      </w:r>
      <w:proofErr w:type="spellStart"/>
      <w:r>
        <w:rPr>
          <w:sz w:val="20"/>
          <w:szCs w:val="20"/>
          <w:lang w:val="uk-UA"/>
        </w:rPr>
        <w:t>ангеотензин-ІІ-рецептору</w:t>
      </w:r>
      <w:proofErr w:type="spellEnd"/>
      <w:r>
        <w:rPr>
          <w:sz w:val="20"/>
          <w:szCs w:val="20"/>
          <w:lang w:val="uk-UA"/>
        </w:rPr>
        <w:t xml:space="preserve"> 1-го типу (</w:t>
      </w:r>
      <w:r>
        <w:rPr>
          <w:sz w:val="20"/>
          <w:szCs w:val="20"/>
          <w:lang w:val="en-US"/>
        </w:rPr>
        <w:t>AGT</w:t>
      </w:r>
      <w:r w:rsidRPr="002E2502">
        <w:rPr>
          <w:sz w:val="20"/>
          <w:szCs w:val="20"/>
          <w:lang w:val="uk-UA"/>
        </w:rPr>
        <w:t>2</w:t>
      </w:r>
      <w:r>
        <w:rPr>
          <w:sz w:val="20"/>
          <w:szCs w:val="20"/>
          <w:lang w:val="en-US"/>
        </w:rPr>
        <w:t>R</w:t>
      </w:r>
      <w:r w:rsidRPr="002E2502">
        <w:rPr>
          <w:sz w:val="20"/>
          <w:szCs w:val="20"/>
          <w:lang w:val="uk-UA"/>
        </w:rPr>
        <w:t>1</w:t>
      </w:r>
      <w:r>
        <w:rPr>
          <w:sz w:val="20"/>
          <w:szCs w:val="20"/>
          <w:lang w:val="uk-UA"/>
        </w:rPr>
        <w:t xml:space="preserve">), </w:t>
      </w:r>
      <w:r>
        <w:rPr>
          <w:sz w:val="20"/>
          <w:szCs w:val="20"/>
          <w:lang w:val="en-US"/>
        </w:rPr>
        <w:t>b</w:t>
      </w:r>
      <w:r>
        <w:rPr>
          <w:sz w:val="20"/>
          <w:szCs w:val="20"/>
          <w:lang w:val="uk-UA"/>
        </w:rPr>
        <w:t xml:space="preserve">2-рецептору </w:t>
      </w:r>
      <w:proofErr w:type="spellStart"/>
      <w:r>
        <w:rPr>
          <w:sz w:val="20"/>
          <w:szCs w:val="20"/>
          <w:lang w:val="uk-UA"/>
        </w:rPr>
        <w:t>брадикініну</w:t>
      </w:r>
      <w:proofErr w:type="spellEnd"/>
      <w:r>
        <w:rPr>
          <w:sz w:val="20"/>
          <w:szCs w:val="20"/>
          <w:lang w:val="uk-UA"/>
        </w:rPr>
        <w:t xml:space="preserve"> (</w:t>
      </w:r>
      <w:r>
        <w:rPr>
          <w:sz w:val="20"/>
          <w:szCs w:val="20"/>
          <w:lang w:val="en-US"/>
        </w:rPr>
        <w:t>b</w:t>
      </w:r>
      <w:r w:rsidRPr="002E2502">
        <w:rPr>
          <w:sz w:val="20"/>
          <w:szCs w:val="20"/>
          <w:lang w:val="uk-UA"/>
        </w:rPr>
        <w:t>2</w:t>
      </w:r>
      <w:r>
        <w:rPr>
          <w:sz w:val="20"/>
          <w:szCs w:val="20"/>
          <w:lang w:val="en-US"/>
        </w:rPr>
        <w:t>BKR</w:t>
      </w:r>
      <w:r>
        <w:rPr>
          <w:sz w:val="20"/>
          <w:szCs w:val="20"/>
          <w:lang w:val="uk-UA"/>
        </w:rPr>
        <w:t xml:space="preserve">) і </w:t>
      </w:r>
      <w:proofErr w:type="spellStart"/>
      <w:r>
        <w:rPr>
          <w:sz w:val="20"/>
          <w:szCs w:val="20"/>
          <w:lang w:val="uk-UA"/>
        </w:rPr>
        <w:t>ендотеліальної</w:t>
      </w:r>
      <w:proofErr w:type="spellEnd"/>
      <w:r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en-US"/>
        </w:rPr>
        <w:t>NO</w:t>
      </w:r>
      <w:proofErr w:type="spellStart"/>
      <w:r w:rsidRPr="002E2502">
        <w:rPr>
          <w:sz w:val="20"/>
          <w:szCs w:val="20"/>
          <w:lang w:val="uk-UA"/>
        </w:rPr>
        <w:t>-</w:t>
      </w:r>
      <w:r>
        <w:rPr>
          <w:sz w:val="20"/>
          <w:szCs w:val="20"/>
          <w:lang w:val="uk-UA"/>
        </w:rPr>
        <w:t>синтази</w:t>
      </w:r>
      <w:proofErr w:type="spellEnd"/>
      <w:r>
        <w:rPr>
          <w:sz w:val="20"/>
          <w:szCs w:val="20"/>
          <w:lang w:val="uk-UA"/>
        </w:rPr>
        <w:t xml:space="preserve"> (</w:t>
      </w:r>
      <w:proofErr w:type="spellStart"/>
      <w:r>
        <w:rPr>
          <w:sz w:val="20"/>
          <w:szCs w:val="20"/>
          <w:lang w:val="en-US"/>
        </w:rPr>
        <w:t>eNOS</w:t>
      </w:r>
      <w:proofErr w:type="spellEnd"/>
      <w:r>
        <w:rPr>
          <w:sz w:val="20"/>
          <w:szCs w:val="20"/>
          <w:lang w:val="uk-UA"/>
        </w:rPr>
        <w:t>)).</w:t>
      </w:r>
    </w:p>
    <w:p w:rsidR="006C1276" w:rsidRDefault="006C1276" w:rsidP="006C1276">
      <w:pPr>
        <w:ind w:firstLine="454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Подальші дослідження в галузі спортивної генетики сприятимуть отриманню розгорнутої картини генетичної схильності людини до виконання швидкісно-силової спортивної праці та визначенню спектру генів, які можуть бути використані в діагностичному комплексі для відбору того чи іншого виду спорту. Використання отриманих даних в практичній роботі тренерів дозволить підвищувати результати в спортивних змаганнях і збереже здоров’я спортсменів.</w:t>
      </w:r>
    </w:p>
    <w:p w:rsidR="00B116CC" w:rsidRPr="006C1276" w:rsidRDefault="00B116CC" w:rsidP="006C1276">
      <w:pPr>
        <w:rPr>
          <w:lang w:val="uk-UA"/>
        </w:rPr>
      </w:pPr>
    </w:p>
    <w:sectPr w:rsidR="00B116CC" w:rsidRPr="006C1276" w:rsidSect="00B116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2396"/>
    <w:rsid w:val="00182396"/>
    <w:rsid w:val="00265882"/>
    <w:rsid w:val="00690549"/>
    <w:rsid w:val="006C1276"/>
    <w:rsid w:val="00B116CC"/>
    <w:rsid w:val="00B17DD4"/>
    <w:rsid w:val="00E62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5882"/>
    <w:pPr>
      <w:jc w:val="center"/>
    </w:pPr>
    <w:rPr>
      <w:b/>
      <w:bCs/>
      <w:sz w:val="20"/>
    </w:rPr>
  </w:style>
  <w:style w:type="character" w:customStyle="1" w:styleId="a4">
    <w:name w:val="Основной текст Знак"/>
    <w:basedOn w:val="a0"/>
    <w:link w:val="a3"/>
    <w:rsid w:val="00265882"/>
    <w:rPr>
      <w:rFonts w:ascii="Times New Roman" w:eastAsia="Times New Roman" w:hAnsi="Times New Roman" w:cs="Times New Roman"/>
      <w:b/>
      <w:bCs/>
      <w:sz w:val="20"/>
      <w:szCs w:val="24"/>
      <w:lang w:val="ru-RU" w:eastAsia="ru-RU"/>
    </w:rPr>
  </w:style>
  <w:style w:type="paragraph" w:styleId="a5">
    <w:name w:val="Title"/>
    <w:basedOn w:val="a"/>
    <w:link w:val="a6"/>
    <w:qFormat/>
    <w:rsid w:val="00B17DD4"/>
    <w:pPr>
      <w:jc w:val="center"/>
    </w:pPr>
    <w:rPr>
      <w:sz w:val="28"/>
      <w:szCs w:val="20"/>
      <w:lang w:val="uk-UA"/>
    </w:rPr>
  </w:style>
  <w:style w:type="character" w:customStyle="1" w:styleId="a6">
    <w:name w:val="Название Знак"/>
    <w:basedOn w:val="a0"/>
    <w:link w:val="a5"/>
    <w:rsid w:val="00B17D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B17DD4"/>
    <w:pPr>
      <w:jc w:val="center"/>
    </w:pPr>
    <w:rPr>
      <w:b/>
      <w:bCs/>
      <w:i/>
      <w:iCs/>
      <w:color w:val="000000"/>
      <w:sz w:val="20"/>
      <w:lang w:val="uk-UA"/>
    </w:rPr>
  </w:style>
  <w:style w:type="character" w:customStyle="1" w:styleId="a8">
    <w:name w:val="Подзаголовок Знак"/>
    <w:basedOn w:val="a0"/>
    <w:link w:val="a7"/>
    <w:rsid w:val="00B17DD4"/>
    <w:rPr>
      <w:rFonts w:ascii="Times New Roman" w:eastAsia="Times New Roman" w:hAnsi="Times New Roman" w:cs="Times New Roman"/>
      <w:b/>
      <w:bCs/>
      <w:i/>
      <w:iCs/>
      <w:color w:val="000000"/>
      <w:sz w:val="20"/>
      <w:szCs w:val="24"/>
      <w:lang w:eastAsia="ru-RU"/>
    </w:rPr>
  </w:style>
  <w:style w:type="paragraph" w:styleId="a9">
    <w:name w:val="Body Text Indent"/>
    <w:basedOn w:val="a"/>
    <w:link w:val="aa"/>
    <w:rsid w:val="00B17DD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B17DD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1683</Words>
  <Characters>960</Characters>
  <Application>Microsoft Office Word</Application>
  <DocSecurity>0</DocSecurity>
  <Lines>8</Lines>
  <Paragraphs>5</Paragraphs>
  <ScaleCrop>false</ScaleCrop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2011-03-31T07:47:00Z</dcterms:created>
  <dcterms:modified xsi:type="dcterms:W3CDTF">2011-03-31T07:47:00Z</dcterms:modified>
</cp:coreProperties>
</file>