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861" w:rsidRPr="00DB7B2A" w:rsidRDefault="00CA2861" w:rsidP="00CA2861">
      <w:pPr>
        <w:pStyle w:val="a4"/>
        <w:spacing w:before="0" w:beforeAutospacing="0" w:after="0" w:afterAutospacing="0"/>
        <w:jc w:val="center"/>
        <w:rPr>
          <w:color w:val="000000"/>
          <w:sz w:val="20"/>
          <w:szCs w:val="20"/>
          <w:lang w:val="uk-UA"/>
        </w:rPr>
      </w:pPr>
      <w:r w:rsidRPr="00DB7B2A">
        <w:rPr>
          <w:rStyle w:val="a5"/>
          <w:color w:val="000000"/>
          <w:sz w:val="20"/>
          <w:szCs w:val="20"/>
          <w:lang w:val="uk-UA"/>
        </w:rPr>
        <w:t>РОЛЬ НЕЙРОЦИРКУЛЯТОРНОЇ ДИСТОНІЇ В РОЗВИТКУ ПІЗНЬОГО ГЕСТОЗУ</w:t>
      </w:r>
    </w:p>
    <w:p w:rsidR="00CA2861" w:rsidRPr="00DB7B2A" w:rsidRDefault="00CA2861" w:rsidP="00CA2861">
      <w:pPr>
        <w:pStyle w:val="a4"/>
        <w:spacing w:before="0" w:beforeAutospacing="0" w:after="0" w:afterAutospacing="0"/>
        <w:jc w:val="center"/>
        <w:rPr>
          <w:i/>
          <w:color w:val="000000"/>
          <w:sz w:val="20"/>
          <w:szCs w:val="20"/>
          <w:lang w:val="uk-UA"/>
        </w:rPr>
      </w:pPr>
      <w:proofErr w:type="spellStart"/>
      <w:r>
        <w:rPr>
          <w:i/>
          <w:color w:val="000000"/>
          <w:sz w:val="20"/>
          <w:szCs w:val="20"/>
          <w:lang w:val="uk-UA"/>
        </w:rPr>
        <w:t>Сухарєв</w:t>
      </w:r>
      <w:proofErr w:type="spellEnd"/>
      <w:r>
        <w:rPr>
          <w:i/>
          <w:color w:val="000000"/>
          <w:sz w:val="20"/>
          <w:szCs w:val="20"/>
          <w:lang w:val="uk-UA"/>
        </w:rPr>
        <w:t xml:space="preserve"> А.Б.,</w:t>
      </w:r>
      <w:r w:rsidRPr="00DB7B2A">
        <w:rPr>
          <w:i/>
          <w:color w:val="000000"/>
          <w:sz w:val="20"/>
          <w:szCs w:val="20"/>
          <w:lang w:val="uk-UA"/>
        </w:rPr>
        <w:t xml:space="preserve"> </w:t>
      </w:r>
      <w:proofErr w:type="spellStart"/>
      <w:r w:rsidRPr="00DB7B2A">
        <w:rPr>
          <w:i/>
          <w:color w:val="000000"/>
          <w:sz w:val="20"/>
          <w:szCs w:val="20"/>
          <w:lang w:val="uk-UA"/>
        </w:rPr>
        <w:t>Філь</w:t>
      </w:r>
      <w:proofErr w:type="spellEnd"/>
      <w:r w:rsidRPr="00DB7B2A">
        <w:rPr>
          <w:i/>
          <w:color w:val="000000"/>
          <w:sz w:val="20"/>
          <w:szCs w:val="20"/>
          <w:lang w:val="uk-UA"/>
        </w:rPr>
        <w:t xml:space="preserve"> Ю.П., </w:t>
      </w:r>
      <w:proofErr w:type="spellStart"/>
      <w:r w:rsidRPr="00DB7B2A">
        <w:rPr>
          <w:i/>
          <w:color w:val="000000"/>
          <w:sz w:val="20"/>
          <w:szCs w:val="20"/>
          <w:lang w:val="uk-UA"/>
        </w:rPr>
        <w:t>студ</w:t>
      </w:r>
      <w:proofErr w:type="spellEnd"/>
      <w:r w:rsidRPr="00DB7B2A">
        <w:rPr>
          <w:i/>
          <w:color w:val="000000"/>
          <w:sz w:val="20"/>
          <w:szCs w:val="20"/>
          <w:lang w:val="uk-UA"/>
        </w:rPr>
        <w:t>. 2-го курсу</w:t>
      </w:r>
    </w:p>
    <w:p w:rsidR="00CA2861" w:rsidRPr="00DB7B2A" w:rsidRDefault="00CA2861" w:rsidP="00CA2861">
      <w:pPr>
        <w:tabs>
          <w:tab w:val="left" w:pos="1020"/>
        </w:tabs>
        <w:jc w:val="center"/>
        <w:rPr>
          <w:color w:val="000000"/>
          <w:sz w:val="20"/>
          <w:szCs w:val="20"/>
          <w:lang w:val="uk-UA"/>
        </w:rPr>
      </w:pPr>
      <w:proofErr w:type="spellStart"/>
      <w:r>
        <w:rPr>
          <w:i/>
          <w:color w:val="000000"/>
          <w:sz w:val="20"/>
          <w:szCs w:val="20"/>
          <w:lang w:val="uk-UA"/>
        </w:rPr>
        <w:t>СумДУ</w:t>
      </w:r>
      <w:proofErr w:type="spellEnd"/>
      <w:r>
        <w:rPr>
          <w:i/>
          <w:color w:val="000000"/>
          <w:sz w:val="20"/>
          <w:szCs w:val="20"/>
          <w:lang w:val="uk-UA"/>
        </w:rPr>
        <w:t>,</w:t>
      </w:r>
      <w:r w:rsidRPr="00DB7B2A">
        <w:rPr>
          <w:i/>
          <w:color w:val="000000"/>
          <w:sz w:val="20"/>
          <w:szCs w:val="20"/>
          <w:lang w:val="uk-UA"/>
        </w:rPr>
        <w:t xml:space="preserve"> кафедра акушерства та гінекології</w:t>
      </w:r>
    </w:p>
    <w:p w:rsidR="00CA2861" w:rsidRPr="00DB7B2A" w:rsidRDefault="00CA2861" w:rsidP="00CA2861">
      <w:pPr>
        <w:ind w:firstLine="708"/>
        <w:jc w:val="both"/>
        <w:rPr>
          <w:color w:val="000000"/>
          <w:sz w:val="20"/>
          <w:szCs w:val="20"/>
          <w:lang w:val="uk-UA"/>
        </w:rPr>
      </w:pPr>
    </w:p>
    <w:p w:rsidR="00CA2861" w:rsidRPr="00DB7B2A" w:rsidRDefault="00CA2861" w:rsidP="00CA2861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Вірогідність розвитку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і ступінь його тяжкості багато в чому визначається наявною </w:t>
      </w:r>
      <w:proofErr w:type="spellStart"/>
      <w:r w:rsidRPr="00DB7B2A">
        <w:rPr>
          <w:color w:val="000000"/>
          <w:sz w:val="20"/>
          <w:szCs w:val="20"/>
          <w:lang w:val="uk-UA"/>
        </w:rPr>
        <w:t>екстрагенітальною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патологією. Одним з таких фонових захворювань є </w:t>
      </w:r>
      <w:proofErr w:type="spellStart"/>
      <w:r w:rsidRPr="00DB7B2A">
        <w:rPr>
          <w:color w:val="000000"/>
          <w:sz w:val="20"/>
          <w:szCs w:val="20"/>
          <w:lang w:val="uk-UA"/>
        </w:rPr>
        <w:t>нейроциркуляторна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дистонія (НЦД). Провідним механізмом у розвитку судинних порушень при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гестозі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є гормональний дисбаланс. Тому ймовірно, що за наявності фону у вигляді базального порушення судинного тонусу вірогідність розвитку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значно зростає, а клінічний перебіг уже існуючого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посилюється, особливо при поєднанні з іншими </w:t>
      </w:r>
      <w:proofErr w:type="spellStart"/>
      <w:r w:rsidRPr="00DB7B2A">
        <w:rPr>
          <w:color w:val="000000"/>
          <w:sz w:val="20"/>
          <w:szCs w:val="20"/>
          <w:lang w:val="uk-UA"/>
        </w:rPr>
        <w:t>екстрагенітальними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захворюваннями.</w:t>
      </w:r>
    </w:p>
    <w:p w:rsidR="00CA2861" w:rsidRPr="00DB7B2A" w:rsidRDefault="00CA2861" w:rsidP="00CA2861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 xml:space="preserve">Мета даного </w:t>
      </w:r>
      <w:r w:rsidRPr="00DB7B2A">
        <w:rPr>
          <w:color w:val="000000"/>
          <w:sz w:val="20"/>
          <w:szCs w:val="20"/>
          <w:lang w:val="uk-UA"/>
        </w:rPr>
        <w:t xml:space="preserve">дослідження: виявлення взаємозв'язку між ступенем тяжкості пізнього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і наявністю НЦД.</w:t>
      </w:r>
    </w:p>
    <w:p w:rsidR="00CA2861" w:rsidRPr="00DB7B2A" w:rsidRDefault="00CA2861" w:rsidP="00CA2861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Матеріали і методи: дослідження проводилося в обласному відділенні </w:t>
      </w:r>
      <w:proofErr w:type="spellStart"/>
      <w:r w:rsidRPr="00DB7B2A">
        <w:rPr>
          <w:color w:val="000000"/>
          <w:sz w:val="20"/>
          <w:szCs w:val="20"/>
          <w:lang w:val="uk-UA"/>
        </w:rPr>
        <w:t>екстрагенітальної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патології вагітних. Проаналізовано 40 історій хвороби жінок з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гестозом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. Оцінці підлягали наступні показники: ступінь прояву набряків і їх локалізація; величина АТ; наявність супутніх </w:t>
      </w:r>
      <w:proofErr w:type="spellStart"/>
      <w:r w:rsidRPr="00DB7B2A">
        <w:rPr>
          <w:color w:val="000000"/>
          <w:sz w:val="20"/>
          <w:szCs w:val="20"/>
          <w:lang w:val="uk-UA"/>
        </w:rPr>
        <w:t>екстрагенітальних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захворювань, час їх маніфестації.</w:t>
      </w:r>
    </w:p>
    <w:p w:rsidR="00CA2861" w:rsidRPr="00DB7B2A" w:rsidRDefault="00CA2861" w:rsidP="00CA2861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Отримані результати: у 32% жінок - розвиток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з 27-28 тижнів вагітності; у 51% - з 31-32 тижнів; у 17% - з 21-22 тижнів. Підвищення АТ до 150-</w:t>
      </w:r>
      <w:smartTag w:uri="urn:schemas-microsoft-com:office:smarttags" w:element="metricconverter">
        <w:smartTagPr>
          <w:attr w:name="ProductID" w:val="160 мм"/>
        </w:smartTagPr>
        <w:r w:rsidRPr="00DB7B2A">
          <w:rPr>
            <w:color w:val="000000"/>
            <w:sz w:val="20"/>
            <w:szCs w:val="20"/>
            <w:lang w:val="uk-UA"/>
          </w:rPr>
          <w:t>160 мм</w:t>
        </w:r>
      </w:smartTag>
      <w:r w:rsidRPr="00DB7B2A">
        <w:rPr>
          <w:color w:val="000000"/>
          <w:sz w:val="20"/>
          <w:szCs w:val="20"/>
          <w:lang w:val="uk-UA"/>
        </w:rPr>
        <w:t xml:space="preserve">. </w:t>
      </w:r>
      <w:proofErr w:type="spellStart"/>
      <w:r w:rsidRPr="00DB7B2A">
        <w:rPr>
          <w:color w:val="000000"/>
          <w:sz w:val="20"/>
          <w:szCs w:val="20"/>
          <w:lang w:val="uk-UA"/>
        </w:rPr>
        <w:t>рт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. ст. відмічено в 64,2%  і стабілізація АТ після курсу </w:t>
      </w:r>
      <w:proofErr w:type="spellStart"/>
      <w:r w:rsidRPr="00DB7B2A">
        <w:rPr>
          <w:color w:val="000000"/>
          <w:sz w:val="20"/>
          <w:szCs w:val="20"/>
          <w:lang w:val="uk-UA"/>
        </w:rPr>
        <w:t>інфузійної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терапії сульфатом магнію, прийому </w:t>
      </w:r>
      <w:proofErr w:type="spellStart"/>
      <w:r w:rsidRPr="00DB7B2A">
        <w:rPr>
          <w:color w:val="000000"/>
          <w:sz w:val="20"/>
          <w:szCs w:val="20"/>
          <w:lang w:val="uk-UA"/>
        </w:rPr>
        <w:t>допегіта</w:t>
      </w:r>
      <w:proofErr w:type="spellEnd"/>
      <w:r w:rsidRPr="00DB7B2A">
        <w:rPr>
          <w:color w:val="000000"/>
          <w:sz w:val="20"/>
          <w:szCs w:val="20"/>
          <w:lang w:val="uk-UA"/>
        </w:rPr>
        <w:t>. У 33,4% – підйом АТ до 140-</w:t>
      </w:r>
      <w:smartTag w:uri="urn:schemas-microsoft-com:office:smarttags" w:element="metricconverter">
        <w:smartTagPr>
          <w:attr w:name="ProductID" w:val="150 мм"/>
        </w:smartTagPr>
        <w:r w:rsidRPr="00DB7B2A">
          <w:rPr>
            <w:color w:val="000000"/>
            <w:sz w:val="20"/>
            <w:szCs w:val="20"/>
            <w:lang w:val="uk-UA"/>
          </w:rPr>
          <w:t xml:space="preserve">150 </w:t>
        </w:r>
        <w:proofErr w:type="spellStart"/>
        <w:r w:rsidRPr="00DB7B2A">
          <w:rPr>
            <w:color w:val="000000"/>
            <w:sz w:val="20"/>
            <w:szCs w:val="20"/>
            <w:lang w:val="uk-UA"/>
          </w:rPr>
          <w:t>мм</w:t>
        </w:r>
      </w:smartTag>
      <w:r w:rsidRPr="00DB7B2A">
        <w:rPr>
          <w:color w:val="000000"/>
          <w:sz w:val="20"/>
          <w:szCs w:val="20"/>
          <w:lang w:val="uk-UA"/>
        </w:rPr>
        <w:t>.рт.ст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. і нормалізація АТ на тлі внутрішньовенного введення сульфату магнію; у 2,4% підвищення АТ до </w:t>
      </w:r>
      <w:smartTag w:uri="urn:schemas-microsoft-com:office:smarttags" w:element="metricconverter">
        <w:smartTagPr>
          <w:attr w:name="ProductID" w:val="180 мм"/>
        </w:smartTagPr>
        <w:r w:rsidRPr="00DB7B2A">
          <w:rPr>
            <w:color w:val="000000"/>
            <w:sz w:val="20"/>
            <w:szCs w:val="20"/>
            <w:lang w:val="uk-UA"/>
          </w:rPr>
          <w:t xml:space="preserve">180 </w:t>
        </w:r>
        <w:proofErr w:type="spellStart"/>
        <w:r w:rsidRPr="00DB7B2A">
          <w:rPr>
            <w:color w:val="000000"/>
            <w:sz w:val="20"/>
            <w:szCs w:val="20"/>
            <w:lang w:val="uk-UA"/>
          </w:rPr>
          <w:t>мм</w:t>
        </w:r>
      </w:smartTag>
      <w:r w:rsidRPr="00DB7B2A">
        <w:rPr>
          <w:color w:val="000000"/>
          <w:sz w:val="20"/>
          <w:szCs w:val="20"/>
          <w:lang w:val="uk-UA"/>
        </w:rPr>
        <w:t>.рт.ст</w:t>
      </w:r>
      <w:proofErr w:type="spellEnd"/>
      <w:r w:rsidRPr="00DB7B2A">
        <w:rPr>
          <w:color w:val="000000"/>
          <w:sz w:val="20"/>
          <w:szCs w:val="20"/>
          <w:lang w:val="uk-UA"/>
        </w:rPr>
        <w:t>., що вимагало  введення сульфату магнію в дозі 12 - 18 грам сухої речовини за добу.</w:t>
      </w:r>
    </w:p>
    <w:p w:rsidR="00CA2861" w:rsidRPr="00DB7B2A" w:rsidRDefault="00CA2861" w:rsidP="00CA2861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В обстежених жінок встановлена ступінь тяжкості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за шкалою </w:t>
      </w:r>
      <w:proofErr w:type="spellStart"/>
      <w:r w:rsidRPr="00DB7B2A">
        <w:rPr>
          <w:color w:val="000000"/>
          <w:sz w:val="20"/>
          <w:szCs w:val="20"/>
          <w:lang w:val="uk-UA"/>
        </w:rPr>
        <w:t>Goekae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. З 40 жінок з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гестозом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у 8 діагностовано тяжкий перебіг, причому серед них у 7 вагітних  в анамнезі НЦД зі знач</w:t>
      </w:r>
      <w:r>
        <w:rPr>
          <w:color w:val="000000"/>
          <w:sz w:val="20"/>
          <w:szCs w:val="20"/>
          <w:lang w:val="uk-UA"/>
        </w:rPr>
        <w:t xml:space="preserve">ними клінічними проявами. У 21 вагітної – легкий перебіг, серед яких 18 жінок з НЦД, </w:t>
      </w:r>
      <w:r w:rsidRPr="00DB7B2A">
        <w:rPr>
          <w:color w:val="000000"/>
          <w:sz w:val="20"/>
          <w:szCs w:val="20"/>
          <w:lang w:val="uk-UA"/>
        </w:rPr>
        <w:t xml:space="preserve">діагноз якої вперше встановлено підчас вагітності, 1-2 фонових захворювань; у 11 – легкий перебіг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>, 1 соматичне захворювання, відсутність в анамнезі діагнозу НЦД, проте мали місце до вагітності початкові клінічні ознаки судинних уражень.</w:t>
      </w:r>
    </w:p>
    <w:p w:rsidR="00CA2861" w:rsidRPr="00DB7B2A" w:rsidRDefault="00CA2861" w:rsidP="00CA2861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Таким чином, наявність НЦД як фонової патології значно збільшує ризик розвитку і ступінь тяжкості пізнього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. Своєчасне виявлення і лікування НЦД дозволить діагностувати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на </w:t>
      </w:r>
      <w:proofErr w:type="spellStart"/>
      <w:r w:rsidRPr="00DB7B2A">
        <w:rPr>
          <w:color w:val="000000"/>
          <w:sz w:val="20"/>
          <w:szCs w:val="20"/>
          <w:lang w:val="uk-UA"/>
        </w:rPr>
        <w:t>доклінічному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етапі, ще до прояву симптомів і призначити комплексне лікування даного ускладнення.</w:t>
      </w:r>
    </w:p>
    <w:p w:rsidR="00B352F1" w:rsidRPr="00CA2861" w:rsidRDefault="00B352F1" w:rsidP="00CA2861">
      <w:pPr>
        <w:rPr>
          <w:lang w:val="uk-UA"/>
        </w:rPr>
      </w:pPr>
    </w:p>
    <w:sectPr w:rsidR="00B352F1" w:rsidRPr="00CA2861" w:rsidSect="00B352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044C4F"/>
    <w:multiLevelType w:val="hybridMultilevel"/>
    <w:tmpl w:val="8EF8654C"/>
    <w:lvl w:ilvl="0" w:tplc="ADEE0BE4">
      <w:start w:val="1"/>
      <w:numFmt w:val="decimal"/>
      <w:lvlText w:val="%1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1" w:tplc="6E1C8FFA">
      <w:start w:val="1"/>
      <w:numFmt w:val="bullet"/>
      <w:lvlText w:val="-"/>
      <w:lvlJc w:val="left"/>
      <w:pPr>
        <w:tabs>
          <w:tab w:val="num" w:pos="1230"/>
        </w:tabs>
        <w:ind w:left="123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1">
    <w:nsid w:val="50756EC9"/>
    <w:multiLevelType w:val="hybridMultilevel"/>
    <w:tmpl w:val="BB7AD078"/>
    <w:lvl w:ilvl="0" w:tplc="04190001">
      <w:start w:val="1"/>
      <w:numFmt w:val="bullet"/>
      <w:lvlText w:val=""/>
      <w:lvlJc w:val="left"/>
      <w:pPr>
        <w:tabs>
          <w:tab w:val="num" w:pos="870"/>
        </w:tabs>
        <w:ind w:left="8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90"/>
        </w:tabs>
        <w:ind w:left="15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10"/>
        </w:tabs>
        <w:ind w:left="23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30"/>
        </w:tabs>
        <w:ind w:left="30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50"/>
        </w:tabs>
        <w:ind w:left="37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70"/>
        </w:tabs>
        <w:ind w:left="44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90"/>
        </w:tabs>
        <w:ind w:left="51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10"/>
        </w:tabs>
        <w:ind w:left="59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30"/>
        </w:tabs>
        <w:ind w:left="66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1ACC"/>
    <w:rsid w:val="005E1ACC"/>
    <w:rsid w:val="007D4F8B"/>
    <w:rsid w:val="00827263"/>
    <w:rsid w:val="008E0CF3"/>
    <w:rsid w:val="00A438E0"/>
    <w:rsid w:val="00B352F1"/>
    <w:rsid w:val="00B62117"/>
    <w:rsid w:val="00BD1ED9"/>
    <w:rsid w:val="00CA2861"/>
    <w:rsid w:val="00D34A77"/>
    <w:rsid w:val="00E17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A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82726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27263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3">
    <w:name w:val="No Spacing"/>
    <w:qFormat/>
    <w:rsid w:val="008E0CF3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Normal (Web)"/>
    <w:basedOn w:val="a"/>
    <w:rsid w:val="00A438E0"/>
    <w:pPr>
      <w:spacing w:before="100" w:beforeAutospacing="1" w:after="100" w:afterAutospacing="1"/>
    </w:pPr>
  </w:style>
  <w:style w:type="character" w:styleId="a5">
    <w:name w:val="Strong"/>
    <w:basedOn w:val="a0"/>
    <w:qFormat/>
    <w:rsid w:val="00A438E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1526</Words>
  <Characters>870</Characters>
  <Application>Microsoft Office Word</Application>
  <DocSecurity>0</DocSecurity>
  <Lines>7</Lines>
  <Paragraphs>4</Paragraphs>
  <ScaleCrop>false</ScaleCrop>
  <Company/>
  <LinksUpToDate>false</LinksUpToDate>
  <CharactersWithSpaces>2392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2011-04-05T07:54:00Z</dcterms:created>
  <dcterms:modified xsi:type="dcterms:W3CDTF">2011-04-05T07:54:00Z</dcterms:modified>
</cp:coreProperties>
</file>