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chart8.xml" ContentType="application/vnd.openxmlformats-officedocument.drawingml.chart+xml"/>
  <Override PartName="/word/charts/style6.xml" ContentType="application/vnd.ms-office.chartstyle+xml"/>
  <Override PartName="/word/charts/colors6.xml" ContentType="application/vnd.ms-office.chartcolorstyle+xml"/>
  <Override PartName="/word/drawings/drawing2.xml" ContentType="application/vnd.openxmlformats-officedocument.drawingml.chartshapes+xml"/>
  <Override PartName="/word/charts/chart9.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0.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1.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2.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3.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4.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5.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6.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7.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8.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9.xml" ContentType="application/vnd.openxmlformats-officedocument.drawingml.chart+xml"/>
  <Override PartName="/word/charts/style17.xml" ContentType="application/vnd.ms-office.chartstyle+xml"/>
  <Override PartName="/word/charts/colors17.xml" ContentType="application/vnd.ms-office.chartcolorstyle+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9973F1" w14:textId="77777777" w:rsidR="00D00194" w:rsidRPr="00D00194" w:rsidRDefault="00D00194" w:rsidP="00D00194">
      <w:pPr>
        <w:widowControl w:val="0"/>
        <w:autoSpaceDE w:val="0"/>
        <w:autoSpaceDN w:val="0"/>
        <w:spacing w:after="0" w:line="240" w:lineRule="auto"/>
        <w:ind w:left="1428" w:right="1906"/>
        <w:jc w:val="center"/>
        <w:rPr>
          <w:rFonts w:ascii="Times New Roman" w:eastAsia="Times New Roman" w:hAnsi="Times New Roman" w:cs="Times New Roman"/>
          <w:sz w:val="28"/>
          <w:szCs w:val="28"/>
          <w:lang w:val="uk-UA" w:eastAsia="uk-UA"/>
        </w:rPr>
      </w:pPr>
      <w:bookmarkStart w:id="0" w:name="_heading=h.gjdgxs" w:colFirst="0" w:colLast="0"/>
      <w:bookmarkEnd w:id="0"/>
      <w:r w:rsidRPr="00D00194">
        <w:rPr>
          <w:rFonts w:ascii="Times New Roman" w:eastAsia="Times New Roman" w:hAnsi="Times New Roman" w:cs="Times New Roman"/>
          <w:sz w:val="28"/>
          <w:szCs w:val="28"/>
          <w:lang w:val="uk-UA" w:eastAsia="uk-UA"/>
        </w:rPr>
        <w:t>МІНІСТЕРСТВО ОСВІТИ І НАУКИ УКРАЇНИ СУМСЬКИЙ ДЕРЖАВНИЙ УНІВЕРСИТЕТ</w:t>
      </w:r>
    </w:p>
    <w:p w14:paraId="5701C49C" w14:textId="77777777" w:rsidR="00D00194" w:rsidRPr="00D00194" w:rsidRDefault="00D00194" w:rsidP="00D00194">
      <w:pPr>
        <w:widowControl w:val="0"/>
        <w:autoSpaceDE w:val="0"/>
        <w:autoSpaceDN w:val="0"/>
        <w:spacing w:after="0" w:line="240" w:lineRule="auto"/>
        <w:jc w:val="center"/>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Навчально-науковий інститут бізнесу, економіки та менеджменту</w:t>
      </w:r>
    </w:p>
    <w:p w14:paraId="79E06943" w14:textId="77777777" w:rsidR="00D00194" w:rsidRPr="00D00194" w:rsidRDefault="00D00194" w:rsidP="00D00194">
      <w:pPr>
        <w:widowControl w:val="0"/>
        <w:autoSpaceDE w:val="0"/>
        <w:autoSpaceDN w:val="0"/>
        <w:spacing w:after="0" w:line="240" w:lineRule="auto"/>
        <w:jc w:val="center"/>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Кафедра фінансових технологій і підприємництва</w:t>
      </w:r>
    </w:p>
    <w:p w14:paraId="31333251"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141E1463" w14:textId="77777777" w:rsidR="00D00194" w:rsidRPr="00D00194" w:rsidRDefault="00D00194" w:rsidP="00D00194">
      <w:pPr>
        <w:widowControl w:val="0"/>
        <w:pBdr>
          <w:top w:val="nil"/>
          <w:left w:val="nil"/>
          <w:bottom w:val="nil"/>
          <w:right w:val="nil"/>
          <w:between w:val="nil"/>
        </w:pBdr>
        <w:autoSpaceDE w:val="0"/>
        <w:autoSpaceDN w:val="0"/>
        <w:spacing w:before="5" w:after="0" w:line="240" w:lineRule="auto"/>
        <w:rPr>
          <w:rFonts w:ascii="Times New Roman" w:eastAsia="Times New Roman" w:hAnsi="Times New Roman" w:cs="Times New Roman"/>
          <w:color w:val="000000"/>
          <w:sz w:val="28"/>
          <w:szCs w:val="28"/>
          <w:lang w:val="uk-UA" w:eastAsia="uk-UA"/>
        </w:rPr>
      </w:pPr>
    </w:p>
    <w:p w14:paraId="6100CDF7" w14:textId="77777777" w:rsidR="00D00194" w:rsidRPr="00D00194" w:rsidRDefault="00D00194" w:rsidP="00D00194">
      <w:pPr>
        <w:spacing w:after="0" w:line="240" w:lineRule="auto"/>
        <w:ind w:left="5670"/>
        <w:rPr>
          <w:rFonts w:ascii="Times New Roman" w:eastAsia="Times New Roman" w:hAnsi="Times New Roman" w:cs="Times New Roman"/>
          <w:sz w:val="24"/>
          <w:szCs w:val="24"/>
          <w:lang w:val="uk-UA" w:eastAsia="uk-UA"/>
        </w:rPr>
      </w:pPr>
      <w:r w:rsidRPr="00D00194">
        <w:rPr>
          <w:rFonts w:ascii="Times New Roman" w:eastAsia="Times New Roman" w:hAnsi="Times New Roman" w:cs="Times New Roman"/>
          <w:color w:val="000000"/>
          <w:sz w:val="28"/>
          <w:szCs w:val="28"/>
          <w:lang w:val="uk-UA" w:eastAsia="uk-UA"/>
        </w:rPr>
        <w:t>«До захисту допущено»</w:t>
      </w:r>
    </w:p>
    <w:p w14:paraId="76EA58D0" w14:textId="77777777" w:rsidR="00D00194" w:rsidRPr="00D00194" w:rsidRDefault="00D00194" w:rsidP="00D00194">
      <w:pPr>
        <w:spacing w:after="0" w:line="240" w:lineRule="auto"/>
        <w:ind w:left="5670"/>
        <w:rPr>
          <w:rFonts w:ascii="Times New Roman" w:eastAsia="Times New Roman" w:hAnsi="Times New Roman" w:cs="Times New Roman"/>
          <w:sz w:val="24"/>
          <w:szCs w:val="24"/>
          <w:lang w:val="uk-UA" w:eastAsia="uk-UA"/>
        </w:rPr>
      </w:pPr>
      <w:r w:rsidRPr="00D00194">
        <w:rPr>
          <w:rFonts w:ascii="Times New Roman" w:eastAsia="Times New Roman" w:hAnsi="Times New Roman" w:cs="Times New Roman"/>
          <w:color w:val="000000"/>
          <w:sz w:val="28"/>
          <w:szCs w:val="28"/>
          <w:lang w:val="uk-UA" w:eastAsia="uk-UA"/>
        </w:rPr>
        <w:t>Завідувачка кафедри, д.е.н., проф.</w:t>
      </w:r>
    </w:p>
    <w:p w14:paraId="175E2CD5" w14:textId="1BDDF029" w:rsidR="00D00194" w:rsidRPr="00D00194" w:rsidRDefault="00D00194" w:rsidP="00D00194">
      <w:pPr>
        <w:spacing w:after="0" w:line="240" w:lineRule="auto"/>
        <w:ind w:left="5670"/>
        <w:rPr>
          <w:rFonts w:ascii="Times New Roman" w:eastAsia="Times New Roman" w:hAnsi="Times New Roman" w:cs="Times New Roman"/>
          <w:sz w:val="24"/>
          <w:szCs w:val="24"/>
          <w:lang w:val="uk-UA" w:eastAsia="uk-UA"/>
        </w:rPr>
      </w:pPr>
      <w:r w:rsidRPr="00D00194">
        <w:rPr>
          <w:rFonts w:ascii="Times New Roman" w:eastAsia="Times New Roman" w:hAnsi="Times New Roman" w:cs="Times New Roman"/>
          <w:color w:val="000000"/>
          <w:sz w:val="28"/>
          <w:szCs w:val="28"/>
          <w:lang w:val="uk-UA" w:eastAsia="uk-UA"/>
        </w:rPr>
        <w:t>____________  Лариса ГРИЦЕНКО</w:t>
      </w:r>
    </w:p>
    <w:p w14:paraId="12EAB83B" w14:textId="68BC38E5" w:rsidR="00D00194" w:rsidRPr="00D00194" w:rsidRDefault="00D00194" w:rsidP="00D00194">
      <w:pPr>
        <w:spacing w:after="0" w:line="240" w:lineRule="auto"/>
        <w:ind w:left="5670"/>
        <w:rPr>
          <w:rFonts w:ascii="Times New Roman" w:eastAsia="Times New Roman" w:hAnsi="Times New Roman" w:cs="Times New Roman"/>
          <w:sz w:val="24"/>
          <w:szCs w:val="24"/>
          <w:lang w:val="uk-UA" w:eastAsia="uk-UA"/>
        </w:rPr>
      </w:pPr>
      <w:r w:rsidRPr="00D00194">
        <w:rPr>
          <w:rFonts w:ascii="Times New Roman" w:eastAsia="Times New Roman" w:hAnsi="Times New Roman" w:cs="Times New Roman"/>
          <w:color w:val="000000"/>
          <w:lang w:val="uk-UA" w:eastAsia="uk-UA"/>
        </w:rPr>
        <w:t> </w:t>
      </w:r>
      <w:r w:rsidR="00EE7FCD">
        <w:rPr>
          <w:rFonts w:ascii="Times New Roman" w:eastAsia="Times New Roman" w:hAnsi="Times New Roman" w:cs="Times New Roman"/>
          <w:color w:val="000000"/>
          <w:lang w:val="uk-UA" w:eastAsia="uk-UA"/>
        </w:rPr>
        <w:t xml:space="preserve">      </w:t>
      </w:r>
      <w:r w:rsidRPr="00D00194">
        <w:rPr>
          <w:rFonts w:ascii="Times New Roman" w:eastAsia="Times New Roman" w:hAnsi="Times New Roman" w:cs="Times New Roman"/>
          <w:color w:val="000000"/>
          <w:lang w:val="uk-UA" w:eastAsia="uk-UA"/>
        </w:rPr>
        <w:t>(підпис)</w:t>
      </w:r>
    </w:p>
    <w:p w14:paraId="51AA6289" w14:textId="77777777" w:rsidR="00D00194" w:rsidRPr="00D00194" w:rsidRDefault="00D00194" w:rsidP="00D00194">
      <w:pPr>
        <w:widowControl w:val="0"/>
        <w:pBdr>
          <w:top w:val="nil"/>
          <w:left w:val="nil"/>
          <w:bottom w:val="nil"/>
          <w:right w:val="nil"/>
          <w:between w:val="nil"/>
        </w:pBdr>
        <w:autoSpaceDE w:val="0"/>
        <w:autoSpaceDN w:val="0"/>
        <w:spacing w:before="5" w:after="0" w:line="240" w:lineRule="auto"/>
        <w:ind w:left="4950" w:firstLine="720"/>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w:t>
      </w:r>
      <w:r w:rsidRPr="00D00194">
        <w:rPr>
          <w:rFonts w:ascii="Times New Roman" w:eastAsia="Times New Roman" w:hAnsi="Times New Roman" w:cs="Times New Roman"/>
          <w:color w:val="000000"/>
          <w:sz w:val="28"/>
          <w:szCs w:val="28"/>
          <w:u w:val="single"/>
          <w:lang w:val="uk-UA" w:eastAsia="uk-UA"/>
        </w:rPr>
        <w:tab/>
      </w:r>
      <w:r w:rsidRPr="00D00194">
        <w:rPr>
          <w:rFonts w:ascii="Times New Roman" w:eastAsia="Times New Roman" w:hAnsi="Times New Roman" w:cs="Times New Roman"/>
          <w:color w:val="000000"/>
          <w:sz w:val="28"/>
          <w:szCs w:val="28"/>
          <w:lang w:val="uk-UA" w:eastAsia="uk-UA"/>
        </w:rPr>
        <w:t>»______________ 2023 р.</w:t>
      </w:r>
    </w:p>
    <w:p w14:paraId="1092F6F7" w14:textId="77777777" w:rsidR="00D00194" w:rsidRPr="00D00194" w:rsidRDefault="00D00194" w:rsidP="00D00194">
      <w:pPr>
        <w:widowControl w:val="0"/>
        <w:pBdr>
          <w:top w:val="nil"/>
          <w:left w:val="nil"/>
          <w:bottom w:val="nil"/>
          <w:right w:val="nil"/>
          <w:between w:val="nil"/>
        </w:pBdr>
        <w:autoSpaceDE w:val="0"/>
        <w:autoSpaceDN w:val="0"/>
        <w:spacing w:before="5" w:after="0" w:line="240" w:lineRule="auto"/>
        <w:rPr>
          <w:rFonts w:ascii="Times New Roman" w:eastAsia="Times New Roman" w:hAnsi="Times New Roman" w:cs="Times New Roman"/>
          <w:color w:val="000000"/>
          <w:sz w:val="28"/>
          <w:szCs w:val="28"/>
          <w:lang w:val="uk-UA" w:eastAsia="uk-UA"/>
        </w:rPr>
      </w:pPr>
    </w:p>
    <w:p w14:paraId="7119295C" w14:textId="77777777" w:rsidR="00D00194" w:rsidRPr="00D00194" w:rsidRDefault="00D00194" w:rsidP="00D00194">
      <w:pPr>
        <w:widowControl w:val="0"/>
        <w:pBdr>
          <w:top w:val="nil"/>
          <w:left w:val="nil"/>
          <w:bottom w:val="nil"/>
          <w:right w:val="nil"/>
          <w:between w:val="nil"/>
        </w:pBdr>
        <w:autoSpaceDE w:val="0"/>
        <w:autoSpaceDN w:val="0"/>
        <w:spacing w:before="5" w:after="0" w:line="240" w:lineRule="auto"/>
        <w:rPr>
          <w:rFonts w:ascii="Times New Roman" w:eastAsia="Times New Roman" w:hAnsi="Times New Roman" w:cs="Times New Roman"/>
          <w:color w:val="000000"/>
          <w:sz w:val="28"/>
          <w:szCs w:val="28"/>
          <w:lang w:val="uk-UA" w:eastAsia="uk-UA"/>
        </w:rPr>
      </w:pPr>
    </w:p>
    <w:p w14:paraId="6D54A122" w14:textId="77777777" w:rsidR="00D00194" w:rsidRPr="00D00194" w:rsidRDefault="00D00194" w:rsidP="00D00194">
      <w:pPr>
        <w:widowControl w:val="0"/>
        <w:pBdr>
          <w:top w:val="nil"/>
          <w:left w:val="nil"/>
          <w:bottom w:val="nil"/>
          <w:right w:val="nil"/>
          <w:between w:val="nil"/>
        </w:pBdr>
        <w:autoSpaceDE w:val="0"/>
        <w:autoSpaceDN w:val="0"/>
        <w:spacing w:before="5" w:after="0" w:line="240" w:lineRule="auto"/>
        <w:rPr>
          <w:rFonts w:ascii="Times New Roman" w:eastAsia="Times New Roman" w:hAnsi="Times New Roman" w:cs="Times New Roman"/>
          <w:color w:val="000000"/>
          <w:sz w:val="28"/>
          <w:szCs w:val="28"/>
          <w:lang w:val="uk-UA" w:eastAsia="uk-UA"/>
        </w:rPr>
      </w:pPr>
    </w:p>
    <w:p w14:paraId="62B69926" w14:textId="77777777" w:rsidR="00D00194" w:rsidRPr="00D00194" w:rsidRDefault="00D00194" w:rsidP="00D00194">
      <w:pPr>
        <w:widowControl w:val="0"/>
        <w:pBdr>
          <w:top w:val="nil"/>
          <w:left w:val="nil"/>
          <w:bottom w:val="nil"/>
          <w:right w:val="nil"/>
          <w:between w:val="nil"/>
        </w:pBdr>
        <w:autoSpaceDE w:val="0"/>
        <w:autoSpaceDN w:val="0"/>
        <w:spacing w:after="0" w:line="240" w:lineRule="auto"/>
        <w:jc w:val="center"/>
        <w:rPr>
          <w:rFonts w:ascii="Times New Roman" w:eastAsia="Times New Roman" w:hAnsi="Times New Roman" w:cs="Times New Roman"/>
          <w:b/>
          <w:color w:val="000000"/>
          <w:sz w:val="32"/>
          <w:szCs w:val="32"/>
          <w:lang w:val="uk-UA" w:eastAsia="uk-UA"/>
        </w:rPr>
      </w:pPr>
      <w:r w:rsidRPr="00D00194">
        <w:rPr>
          <w:rFonts w:ascii="Times New Roman" w:eastAsia="Times New Roman" w:hAnsi="Times New Roman" w:cs="Times New Roman"/>
          <w:b/>
          <w:color w:val="000000"/>
          <w:sz w:val="32"/>
          <w:szCs w:val="32"/>
          <w:lang w:val="uk-UA" w:eastAsia="uk-UA"/>
        </w:rPr>
        <w:t>КВАЛІФІКАЦІЙНА РОБОТА</w:t>
      </w:r>
    </w:p>
    <w:p w14:paraId="121E3421" w14:textId="77777777" w:rsidR="00D00194" w:rsidRPr="00D00194" w:rsidRDefault="00D00194" w:rsidP="00D00194">
      <w:pPr>
        <w:widowControl w:val="0"/>
        <w:pBdr>
          <w:top w:val="nil"/>
          <w:left w:val="nil"/>
          <w:bottom w:val="nil"/>
          <w:right w:val="nil"/>
          <w:between w:val="nil"/>
        </w:pBdr>
        <w:autoSpaceDE w:val="0"/>
        <w:autoSpaceDN w:val="0"/>
        <w:spacing w:after="0" w:line="240" w:lineRule="auto"/>
        <w:jc w:val="center"/>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на здобуття освітнього ступеня бакалавр</w:t>
      </w:r>
    </w:p>
    <w:p w14:paraId="2BC289FD"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61348AFF"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зі спеціальності 072 Фінанси, банківська справа та страхування</w:t>
      </w:r>
    </w:p>
    <w:p w14:paraId="37C53B8B"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0"/>
          <w:szCs w:val="20"/>
          <w:lang w:val="uk-UA" w:eastAsia="uk-UA"/>
        </w:rPr>
      </w:pPr>
      <w:r w:rsidRPr="00D00194">
        <w:rPr>
          <w:rFonts w:ascii="Times New Roman" w:eastAsia="Times New Roman" w:hAnsi="Times New Roman" w:cs="Times New Roman"/>
          <w:color w:val="000000"/>
          <w:sz w:val="28"/>
          <w:szCs w:val="28"/>
          <w:lang w:val="uk-UA" w:eastAsia="uk-UA"/>
        </w:rPr>
        <w:t>освітньо-професійної програми «Банківська справа»</w:t>
      </w:r>
    </w:p>
    <w:p w14:paraId="248A1459" w14:textId="75F30CF3"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32"/>
          <w:szCs w:val="32"/>
          <w:lang w:val="uk-UA" w:eastAsia="uk-UA"/>
        </w:rPr>
      </w:pPr>
      <w:r w:rsidRPr="00D00194">
        <w:rPr>
          <w:rFonts w:ascii="Times New Roman" w:eastAsia="Times New Roman" w:hAnsi="Times New Roman" w:cs="Times New Roman"/>
          <w:color w:val="000000"/>
          <w:sz w:val="28"/>
          <w:szCs w:val="28"/>
          <w:lang w:val="uk-UA" w:eastAsia="uk-UA"/>
        </w:rPr>
        <w:t xml:space="preserve">на тему: </w:t>
      </w:r>
      <w:r w:rsidR="00EE7FCD">
        <w:rPr>
          <w:rFonts w:ascii="Times New Roman" w:eastAsia="Times New Roman" w:hAnsi="Times New Roman" w:cs="Times New Roman"/>
          <w:color w:val="000000"/>
          <w:sz w:val="28"/>
          <w:szCs w:val="28"/>
          <w:lang w:val="uk-UA" w:eastAsia="uk-UA"/>
        </w:rPr>
        <w:t>«</w:t>
      </w:r>
      <w:r w:rsidRPr="00D00194">
        <w:rPr>
          <w:rFonts w:ascii="Times New Roman" w:eastAsia="Times New Roman" w:hAnsi="Times New Roman" w:cs="Times New Roman"/>
          <w:color w:val="000000"/>
          <w:sz w:val="28"/>
          <w:szCs w:val="28"/>
          <w:lang w:val="uk-UA" w:eastAsia="uk-UA"/>
        </w:rPr>
        <w:t>Забезпечення фінансової стійкості банку</w:t>
      </w:r>
      <w:r w:rsidR="00EE7FCD">
        <w:rPr>
          <w:rFonts w:ascii="Times New Roman" w:eastAsia="Times New Roman" w:hAnsi="Times New Roman" w:cs="Times New Roman"/>
          <w:color w:val="000000"/>
          <w:sz w:val="28"/>
          <w:szCs w:val="28"/>
          <w:lang w:val="uk-UA" w:eastAsia="uk-UA"/>
        </w:rPr>
        <w:t>»</w:t>
      </w:r>
    </w:p>
    <w:p w14:paraId="603B4D6E"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5E167084"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Здобувачки групи БС-91а</w:t>
      </w:r>
      <w:r w:rsidRPr="00D00194">
        <w:rPr>
          <w:rFonts w:ascii="Times New Roman" w:eastAsia="Times New Roman" w:hAnsi="Times New Roman" w:cs="Times New Roman"/>
          <w:color w:val="000000"/>
          <w:sz w:val="20"/>
          <w:szCs w:val="20"/>
          <w:lang w:val="uk-UA" w:eastAsia="uk-UA"/>
        </w:rPr>
        <w:t xml:space="preserve">  </w:t>
      </w:r>
      <w:r w:rsidRPr="00D00194">
        <w:rPr>
          <w:rFonts w:ascii="Times New Roman" w:eastAsia="Times New Roman" w:hAnsi="Times New Roman" w:cs="Times New Roman"/>
          <w:color w:val="000000"/>
          <w:sz w:val="28"/>
          <w:lang w:val="uk-UA" w:eastAsia="uk-UA"/>
        </w:rPr>
        <w:t>Березної Наталії В’ячеславівни</w:t>
      </w:r>
    </w:p>
    <w:p w14:paraId="1DE765F3"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bookmarkStart w:id="1" w:name="_GoBack"/>
      <w:bookmarkEnd w:id="1"/>
    </w:p>
    <w:p w14:paraId="513EE7A1"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7548E8D9" w14:textId="77777777" w:rsidR="00D00194" w:rsidRPr="00D00194" w:rsidRDefault="00D00194" w:rsidP="00EE7FCD">
      <w:pPr>
        <w:widowControl w:val="0"/>
        <w:pBdr>
          <w:top w:val="nil"/>
          <w:left w:val="nil"/>
          <w:bottom w:val="nil"/>
          <w:right w:val="nil"/>
          <w:between w:val="nil"/>
        </w:pBdr>
        <w:autoSpaceDE w:val="0"/>
        <w:autoSpaceDN w:val="0"/>
        <w:spacing w:after="0" w:line="240" w:lineRule="auto"/>
        <w:jc w:val="both"/>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Кваліфікаційна робота містить результати власних досліджень. Використання ідей, результатів і текстів інших авторів мають посилання на відповідне джерело.</w:t>
      </w:r>
    </w:p>
    <w:p w14:paraId="0919B31D"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39F910C4"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___________ Наталія БЕРЕЗНА</w:t>
      </w:r>
    </w:p>
    <w:p w14:paraId="2304EFA5" w14:textId="4F6B666E" w:rsidR="00D00194" w:rsidRPr="00D00194" w:rsidRDefault="00EE7FCD"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0"/>
          <w:szCs w:val="20"/>
          <w:lang w:val="uk-UA" w:eastAsia="uk-UA"/>
        </w:rPr>
        <w:t>(підпис)</w:t>
      </w:r>
    </w:p>
    <w:p w14:paraId="0F6A4883"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7B6C8C93"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0E59CC15"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 xml:space="preserve">Керівник доцент, к.е.н., доцент </w:t>
      </w:r>
      <w:r w:rsidRPr="00D00194">
        <w:rPr>
          <w:rFonts w:ascii="Times New Roman" w:eastAsia="Times New Roman" w:hAnsi="Times New Roman" w:cs="Times New Roman"/>
          <w:color w:val="000000"/>
          <w:sz w:val="28"/>
          <w:lang w:val="uk-UA" w:eastAsia="uk-UA"/>
        </w:rPr>
        <w:t>Ольга ДЕЙНЕКА</w:t>
      </w:r>
      <w:r w:rsidRPr="00D00194">
        <w:rPr>
          <w:rFonts w:ascii="Times New Roman" w:eastAsia="Times New Roman" w:hAnsi="Times New Roman" w:cs="Times New Roman"/>
          <w:color w:val="000000"/>
          <w:sz w:val="28"/>
          <w:szCs w:val="28"/>
          <w:lang w:val="uk-UA" w:eastAsia="uk-UA"/>
        </w:rPr>
        <w:t xml:space="preserve">  </w:t>
      </w:r>
      <w:r w:rsidRPr="00D00194">
        <w:rPr>
          <w:rFonts w:ascii="Times New Roman" w:eastAsia="Times New Roman" w:hAnsi="Times New Roman" w:cs="Times New Roman"/>
          <w:color w:val="000000"/>
          <w:sz w:val="28"/>
          <w:szCs w:val="28"/>
          <w:lang w:val="uk-UA" w:eastAsia="uk-UA"/>
        </w:rPr>
        <w:tab/>
      </w:r>
      <w:r w:rsidRPr="00D00194">
        <w:rPr>
          <w:rFonts w:ascii="Times New Roman" w:eastAsia="Times New Roman" w:hAnsi="Times New Roman" w:cs="Times New Roman"/>
          <w:color w:val="000000"/>
          <w:sz w:val="28"/>
          <w:szCs w:val="28"/>
          <w:lang w:val="uk-UA" w:eastAsia="uk-UA"/>
        </w:rPr>
        <w:tab/>
      </w:r>
      <w:r w:rsidRPr="00D00194">
        <w:rPr>
          <w:rFonts w:ascii="Times New Roman" w:eastAsia="Times New Roman" w:hAnsi="Times New Roman" w:cs="Times New Roman"/>
          <w:color w:val="000000"/>
          <w:sz w:val="28"/>
          <w:szCs w:val="28"/>
          <w:lang w:val="uk-UA" w:eastAsia="uk-UA"/>
        </w:rPr>
        <w:tab/>
        <w:t>_____________</w:t>
      </w:r>
    </w:p>
    <w:p w14:paraId="25F6EBAA" w14:textId="77777777" w:rsidR="00D00194" w:rsidRPr="00D00194" w:rsidRDefault="00D00194" w:rsidP="00D00194">
      <w:pPr>
        <w:widowControl w:val="0"/>
        <w:pBdr>
          <w:top w:val="nil"/>
          <w:left w:val="nil"/>
          <w:bottom w:val="nil"/>
          <w:right w:val="nil"/>
          <w:between w:val="nil"/>
        </w:pBdr>
        <w:autoSpaceDE w:val="0"/>
        <w:autoSpaceDN w:val="0"/>
        <w:spacing w:after="0" w:line="240" w:lineRule="auto"/>
        <w:ind w:left="1416" w:firstLine="707"/>
        <w:rPr>
          <w:rFonts w:ascii="Times New Roman" w:eastAsia="Times New Roman" w:hAnsi="Times New Roman" w:cs="Times New Roman"/>
          <w:color w:val="000000"/>
          <w:sz w:val="20"/>
          <w:szCs w:val="20"/>
          <w:lang w:val="uk-UA" w:eastAsia="uk-UA"/>
        </w:rPr>
      </w:pPr>
      <w:r w:rsidRPr="00D00194">
        <w:rPr>
          <w:rFonts w:ascii="Times New Roman" w:eastAsia="Times New Roman" w:hAnsi="Times New Roman" w:cs="Times New Roman"/>
          <w:color w:val="000000"/>
          <w:sz w:val="20"/>
          <w:szCs w:val="20"/>
          <w:lang w:val="uk-UA" w:eastAsia="uk-UA"/>
        </w:rPr>
        <w:t xml:space="preserve"> </w:t>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t>(підпис)</w:t>
      </w:r>
    </w:p>
    <w:p w14:paraId="0CBBAEC7" w14:textId="77777777" w:rsidR="00D00194" w:rsidRPr="00D00194" w:rsidRDefault="00D00194" w:rsidP="00D00194">
      <w:pPr>
        <w:widowControl w:val="0"/>
        <w:pBdr>
          <w:top w:val="nil"/>
          <w:left w:val="nil"/>
          <w:bottom w:val="nil"/>
          <w:right w:val="nil"/>
          <w:between w:val="nil"/>
        </w:pBdr>
        <w:autoSpaceDE w:val="0"/>
        <w:autoSpaceDN w:val="0"/>
        <w:spacing w:after="0" w:line="240" w:lineRule="auto"/>
        <w:ind w:left="1416" w:firstLine="707"/>
        <w:rPr>
          <w:rFonts w:ascii="Times New Roman" w:eastAsia="Times New Roman" w:hAnsi="Times New Roman" w:cs="Times New Roman"/>
          <w:color w:val="000000"/>
          <w:sz w:val="20"/>
          <w:szCs w:val="20"/>
          <w:lang w:val="uk-UA" w:eastAsia="uk-UA"/>
        </w:rPr>
      </w:pPr>
      <w:r w:rsidRPr="00D00194">
        <w:rPr>
          <w:rFonts w:ascii="Times New Roman" w:eastAsia="Times New Roman" w:hAnsi="Times New Roman" w:cs="Times New Roman"/>
          <w:color w:val="000000"/>
          <w:sz w:val="28"/>
          <w:szCs w:val="28"/>
          <w:lang w:val="uk-UA" w:eastAsia="uk-UA"/>
        </w:rPr>
        <w:t xml:space="preserve"> </w:t>
      </w:r>
    </w:p>
    <w:p w14:paraId="172CCFDA" w14:textId="77777777" w:rsidR="00D00194" w:rsidRPr="00D00194" w:rsidRDefault="00D00194" w:rsidP="00D00194">
      <w:pPr>
        <w:widowControl w:val="0"/>
        <w:pBdr>
          <w:top w:val="nil"/>
          <w:left w:val="nil"/>
          <w:bottom w:val="nil"/>
          <w:right w:val="nil"/>
          <w:between w:val="nil"/>
        </w:pBdr>
        <w:autoSpaceDE w:val="0"/>
        <w:autoSpaceDN w:val="0"/>
        <w:spacing w:before="6" w:after="0" w:line="240" w:lineRule="auto"/>
        <w:rPr>
          <w:rFonts w:ascii="Times New Roman" w:eastAsia="Times New Roman" w:hAnsi="Times New Roman" w:cs="Times New Roman"/>
          <w:color w:val="000000"/>
          <w:sz w:val="28"/>
          <w:szCs w:val="28"/>
          <w:lang w:val="uk-UA" w:eastAsia="uk-UA"/>
        </w:rPr>
      </w:pPr>
    </w:p>
    <w:p w14:paraId="2D2EA395" w14:textId="77777777" w:rsidR="00D00194" w:rsidRPr="00D00194" w:rsidRDefault="00D00194" w:rsidP="00D00194">
      <w:pPr>
        <w:widowControl w:val="0"/>
        <w:tabs>
          <w:tab w:val="left" w:pos="1659"/>
        </w:tabs>
        <w:autoSpaceDE w:val="0"/>
        <w:autoSpaceDN w:val="0"/>
        <w:spacing w:after="0" w:line="240" w:lineRule="auto"/>
        <w:ind w:right="412"/>
        <w:jc w:val="center"/>
        <w:rPr>
          <w:rFonts w:ascii="Times New Roman" w:eastAsia="Times New Roman" w:hAnsi="Times New Roman" w:cs="Times New Roman"/>
          <w:sz w:val="28"/>
          <w:szCs w:val="28"/>
          <w:lang w:val="uk-UA" w:eastAsia="uk-UA"/>
        </w:rPr>
      </w:pPr>
    </w:p>
    <w:p w14:paraId="7146463F" w14:textId="77777777" w:rsidR="00D00194" w:rsidRPr="00D00194" w:rsidRDefault="00D00194" w:rsidP="00D00194">
      <w:pPr>
        <w:widowControl w:val="0"/>
        <w:tabs>
          <w:tab w:val="left" w:pos="1659"/>
        </w:tabs>
        <w:autoSpaceDE w:val="0"/>
        <w:autoSpaceDN w:val="0"/>
        <w:spacing w:after="0" w:line="240" w:lineRule="auto"/>
        <w:ind w:right="412"/>
        <w:jc w:val="center"/>
        <w:rPr>
          <w:rFonts w:ascii="Times New Roman" w:eastAsia="Times New Roman" w:hAnsi="Times New Roman" w:cs="Times New Roman"/>
          <w:sz w:val="28"/>
          <w:szCs w:val="28"/>
          <w:lang w:val="uk-UA" w:eastAsia="uk-UA"/>
        </w:rPr>
      </w:pPr>
    </w:p>
    <w:p w14:paraId="3001C4CA" w14:textId="77777777" w:rsidR="00D00194" w:rsidRPr="00D00194" w:rsidRDefault="00D00194" w:rsidP="00D00194">
      <w:pPr>
        <w:widowControl w:val="0"/>
        <w:tabs>
          <w:tab w:val="left" w:pos="1659"/>
        </w:tabs>
        <w:autoSpaceDE w:val="0"/>
        <w:autoSpaceDN w:val="0"/>
        <w:spacing w:after="0" w:line="240" w:lineRule="auto"/>
        <w:ind w:right="412"/>
        <w:jc w:val="center"/>
        <w:rPr>
          <w:rFonts w:ascii="Times New Roman" w:eastAsia="Times New Roman" w:hAnsi="Times New Roman" w:cs="Times New Roman"/>
          <w:sz w:val="28"/>
          <w:szCs w:val="28"/>
          <w:lang w:val="uk-UA" w:eastAsia="uk-UA"/>
        </w:rPr>
      </w:pPr>
    </w:p>
    <w:p w14:paraId="4EE7546C" w14:textId="77777777" w:rsidR="00D00194" w:rsidRPr="00D00194" w:rsidRDefault="00D00194" w:rsidP="00D00194">
      <w:pPr>
        <w:widowControl w:val="0"/>
        <w:tabs>
          <w:tab w:val="left" w:pos="1659"/>
        </w:tabs>
        <w:autoSpaceDE w:val="0"/>
        <w:autoSpaceDN w:val="0"/>
        <w:spacing w:after="0" w:line="240" w:lineRule="auto"/>
        <w:ind w:right="412"/>
        <w:jc w:val="center"/>
        <w:rPr>
          <w:rFonts w:ascii="Times New Roman" w:eastAsia="Times New Roman" w:hAnsi="Times New Roman" w:cs="Times New Roman"/>
          <w:sz w:val="28"/>
          <w:szCs w:val="28"/>
          <w:lang w:val="uk-UA" w:eastAsia="uk-UA"/>
        </w:rPr>
      </w:pPr>
    </w:p>
    <w:p w14:paraId="1B9E8150" w14:textId="77777777" w:rsidR="00D00194" w:rsidRPr="00D00194" w:rsidRDefault="00D00194" w:rsidP="00D00194">
      <w:pPr>
        <w:widowControl w:val="0"/>
        <w:tabs>
          <w:tab w:val="left" w:pos="1659"/>
        </w:tabs>
        <w:autoSpaceDE w:val="0"/>
        <w:autoSpaceDN w:val="0"/>
        <w:spacing w:after="0" w:line="240" w:lineRule="auto"/>
        <w:ind w:right="412"/>
        <w:jc w:val="center"/>
        <w:rPr>
          <w:rFonts w:ascii="Times New Roman" w:eastAsia="Times New Roman" w:hAnsi="Times New Roman" w:cs="Times New Roman"/>
          <w:sz w:val="28"/>
          <w:szCs w:val="28"/>
          <w:lang w:val="uk-UA" w:eastAsia="uk-UA"/>
        </w:rPr>
      </w:pPr>
    </w:p>
    <w:p w14:paraId="2AD397E1" w14:textId="77777777" w:rsidR="00D00194" w:rsidRPr="00D00194" w:rsidRDefault="00D00194" w:rsidP="00D00194">
      <w:pPr>
        <w:widowControl w:val="0"/>
        <w:tabs>
          <w:tab w:val="left" w:pos="1659"/>
        </w:tabs>
        <w:autoSpaceDE w:val="0"/>
        <w:autoSpaceDN w:val="0"/>
        <w:spacing w:after="0" w:line="240" w:lineRule="auto"/>
        <w:ind w:right="412"/>
        <w:jc w:val="center"/>
        <w:rPr>
          <w:rFonts w:ascii="Times New Roman" w:eastAsia="Times New Roman" w:hAnsi="Times New Roman" w:cs="Times New Roman"/>
          <w:sz w:val="28"/>
          <w:szCs w:val="28"/>
          <w:lang w:val="uk-UA" w:eastAsia="uk-UA"/>
        </w:rPr>
      </w:pPr>
    </w:p>
    <w:p w14:paraId="127666F6" w14:textId="77777777" w:rsidR="00D00194" w:rsidRPr="00D00194" w:rsidRDefault="00D00194" w:rsidP="00D00194">
      <w:pPr>
        <w:widowControl w:val="0"/>
        <w:tabs>
          <w:tab w:val="left" w:pos="1659"/>
        </w:tabs>
        <w:autoSpaceDE w:val="0"/>
        <w:autoSpaceDN w:val="0"/>
        <w:spacing w:after="0" w:line="240" w:lineRule="auto"/>
        <w:ind w:right="412"/>
        <w:jc w:val="center"/>
        <w:rPr>
          <w:rFonts w:ascii="Times New Roman" w:eastAsia="Times New Roman" w:hAnsi="Times New Roman" w:cs="Times New Roman"/>
          <w:sz w:val="28"/>
          <w:szCs w:val="28"/>
          <w:lang w:val="uk-UA" w:eastAsia="uk-UA"/>
        </w:rPr>
      </w:pPr>
    </w:p>
    <w:p w14:paraId="6358A523" w14:textId="77777777" w:rsidR="00D00194" w:rsidRPr="00D00194" w:rsidRDefault="00D00194" w:rsidP="00D00194">
      <w:pPr>
        <w:widowControl w:val="0"/>
        <w:tabs>
          <w:tab w:val="left" w:pos="1659"/>
        </w:tabs>
        <w:autoSpaceDE w:val="0"/>
        <w:autoSpaceDN w:val="0"/>
        <w:spacing w:after="0" w:line="240" w:lineRule="auto"/>
        <w:ind w:right="412"/>
        <w:jc w:val="center"/>
        <w:rPr>
          <w:rFonts w:ascii="Times New Roman" w:eastAsia="Times New Roman" w:hAnsi="Times New Roman" w:cs="Times New Roman"/>
          <w:sz w:val="28"/>
          <w:szCs w:val="28"/>
          <w:lang w:val="uk-UA" w:eastAsia="uk-UA"/>
        </w:rPr>
      </w:pPr>
    </w:p>
    <w:p w14:paraId="5AC40B47" w14:textId="77777777" w:rsidR="00D00194" w:rsidRPr="00D00194" w:rsidRDefault="00D00194" w:rsidP="00D00194">
      <w:pPr>
        <w:widowControl w:val="0"/>
        <w:tabs>
          <w:tab w:val="left" w:pos="1659"/>
        </w:tabs>
        <w:autoSpaceDE w:val="0"/>
        <w:autoSpaceDN w:val="0"/>
        <w:spacing w:after="0" w:line="240" w:lineRule="auto"/>
        <w:ind w:right="412"/>
        <w:jc w:val="center"/>
        <w:rPr>
          <w:rFonts w:ascii="Times New Roman" w:eastAsia="Times New Roman" w:hAnsi="Times New Roman" w:cs="Times New Roman"/>
          <w:b/>
          <w:sz w:val="28"/>
          <w:szCs w:val="28"/>
          <w:lang w:val="uk-UA" w:eastAsia="uk-UA"/>
        </w:rPr>
      </w:pPr>
      <w:bookmarkStart w:id="2" w:name="_heading=h.30j0zll" w:colFirst="0" w:colLast="0"/>
      <w:bookmarkEnd w:id="2"/>
      <w:r w:rsidRPr="00D00194">
        <w:rPr>
          <w:rFonts w:ascii="Times New Roman" w:eastAsia="Times New Roman" w:hAnsi="Times New Roman" w:cs="Times New Roman"/>
          <w:b/>
          <w:sz w:val="28"/>
          <w:szCs w:val="28"/>
          <w:lang w:val="uk-UA" w:eastAsia="uk-UA"/>
        </w:rPr>
        <w:t xml:space="preserve">Суми 2023                                                                                                                                                                                                     </w:t>
      </w:r>
    </w:p>
    <w:p w14:paraId="2DF17B49" w14:textId="77777777" w:rsidR="00D00194" w:rsidRPr="00D00194" w:rsidRDefault="00D00194" w:rsidP="00D00194">
      <w:pPr>
        <w:autoSpaceDE w:val="0"/>
        <w:autoSpaceDN w:val="0"/>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color w:val="000000"/>
          <w:sz w:val="26"/>
          <w:szCs w:val="26"/>
          <w:lang w:val="uk-UA" w:eastAsia="uk-UA"/>
        </w:rPr>
        <w:t xml:space="preserve"> </w:t>
      </w:r>
    </w:p>
    <w:p w14:paraId="175D900A" w14:textId="77777777" w:rsidR="00D00194" w:rsidRPr="00D00194" w:rsidRDefault="00D00194" w:rsidP="00D00194">
      <w:pPr>
        <w:widowControl w:val="0"/>
        <w:autoSpaceDE w:val="0"/>
        <w:autoSpaceDN w:val="0"/>
        <w:spacing w:after="0" w:line="240" w:lineRule="auto"/>
        <w:ind w:left="1540" w:right="1884"/>
        <w:jc w:val="center"/>
        <w:rPr>
          <w:rFonts w:ascii="Times New Roman" w:eastAsia="Times New Roman" w:hAnsi="Times New Roman" w:cs="Times New Roman"/>
          <w:sz w:val="28"/>
          <w:szCs w:val="28"/>
          <w:lang w:val="uk-UA" w:eastAsia="uk-UA"/>
        </w:rPr>
      </w:pPr>
      <w:bookmarkStart w:id="3" w:name="_heading=h.1fob9te" w:colFirst="0" w:colLast="0"/>
      <w:bookmarkEnd w:id="3"/>
      <w:r w:rsidRPr="00D00194">
        <w:rPr>
          <w:rFonts w:ascii="Times New Roman" w:eastAsia="Times New Roman" w:hAnsi="Times New Roman" w:cs="Times New Roman"/>
          <w:sz w:val="28"/>
          <w:szCs w:val="28"/>
          <w:lang w:val="uk-UA" w:eastAsia="uk-UA"/>
        </w:rPr>
        <w:lastRenderedPageBreak/>
        <w:t>МІНІСТЕРСТВО ОСВІТИ І НАУКИ УКРАЇНИ СУМСЬКИЙ ДЕРЖАВНИЙ УНІВЕРСИТЕТ</w:t>
      </w:r>
    </w:p>
    <w:p w14:paraId="7B6B971C" w14:textId="77777777" w:rsidR="00D00194" w:rsidRPr="00D00194" w:rsidRDefault="00D00194" w:rsidP="00D00194">
      <w:pPr>
        <w:widowControl w:val="0"/>
        <w:autoSpaceDE w:val="0"/>
        <w:autoSpaceDN w:val="0"/>
        <w:spacing w:after="0" w:line="240" w:lineRule="auto"/>
        <w:jc w:val="center"/>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Навчально-науковий інститут бізнесу, економіки та менеджменту</w:t>
      </w:r>
    </w:p>
    <w:p w14:paraId="69911850" w14:textId="77777777" w:rsidR="00D00194" w:rsidRPr="00D00194" w:rsidRDefault="00D00194" w:rsidP="00D00194">
      <w:pPr>
        <w:widowControl w:val="0"/>
        <w:autoSpaceDE w:val="0"/>
        <w:autoSpaceDN w:val="0"/>
        <w:spacing w:after="0" w:line="240" w:lineRule="auto"/>
        <w:jc w:val="center"/>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Кафедра фінансових технологій і підприємництва</w:t>
      </w:r>
    </w:p>
    <w:p w14:paraId="7E5E9ABD"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24"/>
          <w:szCs w:val="24"/>
          <w:lang w:val="uk-UA" w:eastAsia="uk-UA"/>
        </w:rPr>
      </w:pPr>
    </w:p>
    <w:p w14:paraId="0E633129" w14:textId="77777777" w:rsidR="00D00194" w:rsidRPr="00D00194" w:rsidRDefault="00D00194" w:rsidP="00D00194">
      <w:pPr>
        <w:widowControl w:val="0"/>
        <w:autoSpaceDE w:val="0"/>
        <w:autoSpaceDN w:val="0"/>
        <w:spacing w:after="0" w:line="322" w:lineRule="auto"/>
        <w:ind w:left="5670"/>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ЗАТВЕРДЖУЮ</w:t>
      </w:r>
    </w:p>
    <w:p w14:paraId="0E61A5F9" w14:textId="77777777" w:rsidR="00D00194" w:rsidRPr="00D00194" w:rsidRDefault="00D00194" w:rsidP="00D00194">
      <w:pPr>
        <w:widowControl w:val="0"/>
        <w:autoSpaceDE w:val="0"/>
        <w:autoSpaceDN w:val="0"/>
        <w:spacing w:after="0" w:line="240" w:lineRule="auto"/>
        <w:ind w:left="5670"/>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Завідувачка кафедри, д.е.н., проф.</w:t>
      </w:r>
    </w:p>
    <w:p w14:paraId="5328FE26" w14:textId="5D92D341" w:rsidR="00D00194" w:rsidRPr="00D00194" w:rsidRDefault="00D00194" w:rsidP="00D00194">
      <w:pPr>
        <w:widowControl w:val="0"/>
        <w:pBdr>
          <w:top w:val="nil"/>
          <w:left w:val="nil"/>
          <w:bottom w:val="nil"/>
          <w:right w:val="nil"/>
          <w:between w:val="nil"/>
        </w:pBdr>
        <w:autoSpaceDE w:val="0"/>
        <w:autoSpaceDN w:val="0"/>
        <w:spacing w:after="0" w:line="240" w:lineRule="auto"/>
        <w:ind w:left="5670"/>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____________  Лариса ГРИЦЕНКО</w:t>
      </w:r>
    </w:p>
    <w:p w14:paraId="66AAD696" w14:textId="77777777" w:rsidR="00D00194" w:rsidRPr="00D00194" w:rsidRDefault="00D00194" w:rsidP="00D00194">
      <w:pPr>
        <w:widowControl w:val="0"/>
        <w:pBdr>
          <w:top w:val="nil"/>
          <w:left w:val="nil"/>
          <w:bottom w:val="nil"/>
          <w:right w:val="nil"/>
          <w:between w:val="nil"/>
        </w:pBdr>
        <w:autoSpaceDE w:val="0"/>
        <w:autoSpaceDN w:val="0"/>
        <w:spacing w:after="0" w:line="240" w:lineRule="auto"/>
        <w:ind w:left="5670"/>
        <w:rPr>
          <w:rFonts w:ascii="Times New Roman" w:eastAsia="Times New Roman" w:hAnsi="Times New Roman" w:cs="Times New Roman"/>
          <w:color w:val="000000"/>
          <w:lang w:val="uk-UA" w:eastAsia="uk-UA"/>
        </w:rPr>
      </w:pPr>
      <w:r w:rsidRPr="00D00194">
        <w:rPr>
          <w:rFonts w:ascii="Times New Roman" w:eastAsia="Times New Roman" w:hAnsi="Times New Roman" w:cs="Times New Roman"/>
          <w:color w:val="000000"/>
          <w:lang w:val="uk-UA" w:eastAsia="uk-UA"/>
        </w:rPr>
        <w:t xml:space="preserve"> (підпис)</w:t>
      </w:r>
    </w:p>
    <w:p w14:paraId="42F73014" w14:textId="77777777" w:rsidR="00D00194" w:rsidRPr="00D00194" w:rsidRDefault="00D00194" w:rsidP="00D00194">
      <w:pPr>
        <w:widowControl w:val="0"/>
        <w:tabs>
          <w:tab w:val="left" w:pos="421"/>
          <w:tab w:val="left" w:pos="2235"/>
          <w:tab w:val="left" w:pos="2866"/>
        </w:tabs>
        <w:autoSpaceDE w:val="0"/>
        <w:autoSpaceDN w:val="0"/>
        <w:spacing w:after="0" w:line="240" w:lineRule="auto"/>
        <w:ind w:left="5670" w:right="92"/>
        <w:jc w:val="both"/>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w:t>
      </w:r>
      <w:r w:rsidRPr="00D00194">
        <w:rPr>
          <w:rFonts w:ascii="Times New Roman" w:eastAsia="Times New Roman" w:hAnsi="Times New Roman" w:cs="Times New Roman"/>
          <w:sz w:val="28"/>
          <w:szCs w:val="28"/>
          <w:u w:val="single"/>
          <w:lang w:val="uk-UA" w:eastAsia="uk-UA"/>
        </w:rPr>
        <w:tab/>
      </w:r>
      <w:r w:rsidRPr="00D00194">
        <w:rPr>
          <w:rFonts w:ascii="Times New Roman" w:eastAsia="Times New Roman" w:hAnsi="Times New Roman" w:cs="Times New Roman"/>
          <w:sz w:val="28"/>
          <w:szCs w:val="28"/>
          <w:lang w:val="uk-UA" w:eastAsia="uk-UA"/>
        </w:rPr>
        <w:t>»______________ 2023 р.</w:t>
      </w:r>
    </w:p>
    <w:p w14:paraId="1FFC4536"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24"/>
          <w:szCs w:val="24"/>
          <w:lang w:val="uk-UA" w:eastAsia="uk-UA"/>
        </w:rPr>
      </w:pPr>
    </w:p>
    <w:p w14:paraId="2BF7E935" w14:textId="77777777" w:rsidR="00D00194" w:rsidRPr="00D00194" w:rsidRDefault="00D00194" w:rsidP="00D00194">
      <w:pPr>
        <w:widowControl w:val="0"/>
        <w:autoSpaceDE w:val="0"/>
        <w:autoSpaceDN w:val="0"/>
        <w:spacing w:after="0" w:line="240" w:lineRule="auto"/>
        <w:jc w:val="center"/>
        <w:rPr>
          <w:rFonts w:ascii="Times New Roman" w:eastAsia="Times New Roman" w:hAnsi="Times New Roman" w:cs="Times New Roman"/>
          <w:b/>
          <w:sz w:val="36"/>
          <w:szCs w:val="36"/>
          <w:lang w:val="uk-UA" w:eastAsia="uk-UA"/>
        </w:rPr>
      </w:pPr>
      <w:r w:rsidRPr="00D00194">
        <w:rPr>
          <w:rFonts w:ascii="Times New Roman" w:eastAsia="Times New Roman" w:hAnsi="Times New Roman" w:cs="Times New Roman"/>
          <w:b/>
          <w:sz w:val="36"/>
          <w:szCs w:val="36"/>
          <w:lang w:val="uk-UA" w:eastAsia="uk-UA"/>
        </w:rPr>
        <w:t>ЗАВДАННЯ</w:t>
      </w:r>
    </w:p>
    <w:p w14:paraId="60BA5FC2" w14:textId="77777777" w:rsidR="00D00194" w:rsidRPr="00D00194" w:rsidRDefault="00D00194" w:rsidP="00D00194">
      <w:pPr>
        <w:widowControl w:val="0"/>
        <w:autoSpaceDE w:val="0"/>
        <w:autoSpaceDN w:val="0"/>
        <w:spacing w:after="0" w:line="240" w:lineRule="auto"/>
        <w:jc w:val="center"/>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до кваліфікаційної роботи на здобуття освітнього ступеня бакалавр</w:t>
      </w:r>
    </w:p>
    <w:p w14:paraId="68F87695"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8"/>
          <w:szCs w:val="8"/>
          <w:lang w:val="uk-UA" w:eastAsia="uk-UA"/>
        </w:rPr>
      </w:pPr>
    </w:p>
    <w:p w14:paraId="1EEA1B8E"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14"/>
          <w:szCs w:val="14"/>
          <w:lang w:val="uk-UA" w:eastAsia="uk-UA"/>
        </w:rPr>
      </w:pPr>
    </w:p>
    <w:p w14:paraId="162FDFDE" w14:textId="64BF5DEC"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Здобувача (ки) групи БС-91а інституту (центру) БіЕМ</w:t>
      </w:r>
    </w:p>
    <w:p w14:paraId="45AC13DA" w14:textId="77777777" w:rsidR="00D00194" w:rsidRPr="00D00194" w:rsidRDefault="00D00194" w:rsidP="00D00194">
      <w:pPr>
        <w:widowControl w:val="0"/>
        <w:autoSpaceDE w:val="0"/>
        <w:autoSpaceDN w:val="0"/>
        <w:spacing w:after="0" w:line="240" w:lineRule="auto"/>
        <w:jc w:val="both"/>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спеціальності 072 Фінанси, банківська справа та страхування</w:t>
      </w:r>
    </w:p>
    <w:p w14:paraId="7582619E"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2"/>
          <w:szCs w:val="12"/>
          <w:lang w:val="uk-UA" w:eastAsia="uk-UA"/>
        </w:rPr>
      </w:pPr>
    </w:p>
    <w:p w14:paraId="25E7D8EB" w14:textId="77777777" w:rsidR="00D00194" w:rsidRPr="00D00194" w:rsidRDefault="00D00194" w:rsidP="00D00194">
      <w:pPr>
        <w:widowControl w:val="0"/>
        <w:autoSpaceDE w:val="0"/>
        <w:autoSpaceDN w:val="0"/>
        <w:spacing w:after="0" w:line="240" w:lineRule="auto"/>
        <w:jc w:val="center"/>
        <w:rPr>
          <w:rFonts w:ascii="Times New Roman" w:eastAsia="Times New Roman" w:hAnsi="Times New Roman" w:cs="Times New Roman"/>
          <w:sz w:val="10"/>
          <w:szCs w:val="10"/>
          <w:lang w:val="uk-UA" w:eastAsia="uk-UA"/>
        </w:rPr>
      </w:pPr>
      <w:r w:rsidRPr="00D00194">
        <w:rPr>
          <w:rFonts w:ascii="Times New Roman" w:eastAsia="Times New Roman" w:hAnsi="Times New Roman" w:cs="Times New Roman"/>
          <w:color w:val="000000"/>
          <w:sz w:val="28"/>
          <w:lang w:val="uk-UA" w:eastAsia="uk-UA"/>
        </w:rPr>
        <w:t>Березної Наталії В’ячеславівни</w:t>
      </w:r>
    </w:p>
    <w:p w14:paraId="4A798636" w14:textId="358DA272" w:rsidR="00D00194" w:rsidRPr="00D00194" w:rsidRDefault="00D00194" w:rsidP="00D00194">
      <w:pPr>
        <w:widowControl w:val="0"/>
        <w:autoSpaceDE w:val="0"/>
        <w:autoSpaceDN w:val="0"/>
        <w:spacing w:after="0" w:line="240" w:lineRule="auto"/>
        <w:jc w:val="both"/>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 xml:space="preserve">Тема роботи: </w:t>
      </w:r>
      <w:r w:rsidR="00EE7FCD">
        <w:rPr>
          <w:rFonts w:ascii="Times New Roman" w:eastAsia="Times New Roman" w:hAnsi="Times New Roman" w:cs="Times New Roman"/>
          <w:sz w:val="28"/>
          <w:szCs w:val="28"/>
          <w:lang w:val="uk-UA" w:eastAsia="uk-UA"/>
        </w:rPr>
        <w:t>«</w:t>
      </w:r>
      <w:r w:rsidRPr="00D00194">
        <w:rPr>
          <w:rFonts w:ascii="Times New Roman" w:eastAsia="Times New Roman" w:hAnsi="Times New Roman" w:cs="Times New Roman"/>
          <w:sz w:val="28"/>
          <w:szCs w:val="28"/>
          <w:lang w:val="uk-UA" w:eastAsia="uk-UA"/>
        </w:rPr>
        <w:t>Забезпечення фінансової стійкості банку</w:t>
      </w:r>
      <w:r w:rsidR="00EE7FCD">
        <w:rPr>
          <w:rFonts w:ascii="Times New Roman" w:eastAsia="Times New Roman" w:hAnsi="Times New Roman" w:cs="Times New Roman"/>
          <w:sz w:val="28"/>
          <w:szCs w:val="28"/>
          <w:lang w:val="uk-UA" w:eastAsia="uk-UA"/>
        </w:rPr>
        <w:t>»</w:t>
      </w:r>
    </w:p>
    <w:p w14:paraId="331EB377"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24"/>
          <w:szCs w:val="24"/>
          <w:lang w:val="uk-UA" w:eastAsia="uk-UA"/>
        </w:rPr>
      </w:pPr>
    </w:p>
    <w:p w14:paraId="3BD79AA5"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 xml:space="preserve">Затверджено наказом по СумДУ </w:t>
      </w:r>
      <w:r w:rsidRPr="00D00194">
        <w:rPr>
          <w:rFonts w:ascii="Times New Roman" w:eastAsia="Times New Roman" w:hAnsi="Times New Roman" w:cs="Times New Roman"/>
          <w:color w:val="000000"/>
          <w:sz w:val="28"/>
          <w:szCs w:val="24"/>
          <w:lang w:val="uk-UA" w:eastAsia="uk-UA"/>
        </w:rPr>
        <w:t>№ 0509-VI від 15.05.2023 р.</w:t>
      </w:r>
    </w:p>
    <w:p w14:paraId="5954918B"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28"/>
          <w:szCs w:val="28"/>
          <w:lang w:val="uk-UA" w:eastAsia="uk-UA"/>
        </w:rPr>
      </w:pPr>
    </w:p>
    <w:p w14:paraId="1C606707"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Термін здачі здобувачем (кою) завершеної роботи «12» червня 2023 р.</w:t>
      </w:r>
    </w:p>
    <w:p w14:paraId="395D2FBD"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24"/>
          <w:szCs w:val="24"/>
          <w:lang w:val="uk-UA" w:eastAsia="uk-UA"/>
        </w:rPr>
      </w:pPr>
    </w:p>
    <w:p w14:paraId="46FD4857" w14:textId="77777777" w:rsidR="00D00194" w:rsidRPr="00D00194" w:rsidRDefault="00D00194" w:rsidP="00D00194">
      <w:pPr>
        <w:widowControl w:val="0"/>
        <w:autoSpaceDE w:val="0"/>
        <w:autoSpaceDN w:val="0"/>
        <w:adjustRightInd w:val="0"/>
        <w:spacing w:after="0" w:line="240" w:lineRule="auto"/>
        <w:jc w:val="both"/>
        <w:rPr>
          <w:rFonts w:ascii="Times New Roman" w:eastAsia="Times New Roman" w:hAnsi="Times New Roman" w:cs="Times New Roman"/>
          <w:color w:val="000000"/>
          <w:sz w:val="28"/>
          <w:szCs w:val="24"/>
          <w:lang w:val="uk-UA" w:eastAsia="uk-UA"/>
        </w:rPr>
      </w:pPr>
      <w:r w:rsidRPr="00D00194">
        <w:rPr>
          <w:rFonts w:ascii="Times New Roman" w:eastAsia="Times New Roman" w:hAnsi="Times New Roman" w:cs="Times New Roman"/>
          <w:b/>
          <w:bCs/>
          <w:color w:val="000000"/>
          <w:sz w:val="28"/>
          <w:szCs w:val="24"/>
          <w:lang w:val="uk-UA" w:eastAsia="uk-UA"/>
        </w:rPr>
        <w:t>Вихідні дані до роботи</w:t>
      </w:r>
      <w:r w:rsidRPr="00D00194">
        <w:rPr>
          <w:rFonts w:ascii="Times New Roman" w:eastAsia="Times New Roman" w:hAnsi="Times New Roman" w:cs="Times New Roman"/>
          <w:color w:val="000000"/>
          <w:sz w:val="28"/>
          <w:szCs w:val="24"/>
          <w:lang w:val="uk-UA" w:eastAsia="uk-UA"/>
        </w:rPr>
        <w:t>: матеріали АТ КБ «ПриватБанк» (в т.ч. річна фінансова звітність статистичні, аналітичні), та звітні дані Національного банку України, законодавчі та нормативні акти України, монографічна література та періодичні публікації праці з питань аналізу та забезпечення фінансової стійкості банків.</w:t>
      </w:r>
    </w:p>
    <w:p w14:paraId="7DCD13E8" w14:textId="77777777" w:rsidR="00D00194" w:rsidRPr="00D00194" w:rsidRDefault="00D00194" w:rsidP="00D00194">
      <w:pPr>
        <w:widowControl w:val="0"/>
        <w:autoSpaceDE w:val="0"/>
        <w:autoSpaceDN w:val="0"/>
        <w:adjustRightInd w:val="0"/>
        <w:spacing w:after="0" w:line="240" w:lineRule="auto"/>
        <w:jc w:val="both"/>
        <w:rPr>
          <w:rFonts w:ascii="Times New Roman" w:eastAsia="Times New Roman" w:hAnsi="Times New Roman" w:cs="Times New Roman"/>
          <w:color w:val="000000"/>
          <w:sz w:val="28"/>
          <w:szCs w:val="24"/>
          <w:lang w:val="uk-UA" w:eastAsia="uk-UA"/>
        </w:rPr>
      </w:pPr>
      <w:r w:rsidRPr="00D00194">
        <w:rPr>
          <w:rFonts w:ascii="Times New Roman" w:eastAsia="Times New Roman" w:hAnsi="Times New Roman" w:cs="Times New Roman"/>
          <w:b/>
          <w:bCs/>
          <w:color w:val="000000"/>
          <w:sz w:val="28"/>
          <w:szCs w:val="24"/>
          <w:lang w:val="uk-UA" w:eastAsia="uk-UA"/>
        </w:rPr>
        <w:t>Зміст основної частини роботи</w:t>
      </w:r>
      <w:r w:rsidRPr="00D00194">
        <w:rPr>
          <w:rFonts w:ascii="Times New Roman" w:eastAsia="Times New Roman" w:hAnsi="Times New Roman" w:cs="Times New Roman"/>
          <w:color w:val="000000"/>
          <w:sz w:val="28"/>
          <w:szCs w:val="24"/>
          <w:lang w:val="uk-UA" w:eastAsia="uk-UA"/>
        </w:rPr>
        <w:t xml:space="preserve"> (перелік питань для розроблення): уточнити поняття «фінансова стійкість банку», систематизувати її види та визначити основні фактори впливу на неї; розробити системно-процесний підхід до формування й реалізації механізму забезпечення фінансової стійкості банку; провести аналіз фінансової стійкості банківської системи в контексті впливу на фінансову стійкість окремих банків; провести аналіз фінансової стійкості та дослідити механізм забезпечення фінансової стійкості в АТ КБ «ПриватБанк»; розробити науково-методичний підхід до обґрунтування впливу макрофакторів на фінансову стійкість банку.</w:t>
      </w:r>
    </w:p>
    <w:p w14:paraId="3F81B779"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12"/>
          <w:szCs w:val="12"/>
          <w:lang w:val="uk-UA" w:eastAsia="uk-UA"/>
        </w:rPr>
      </w:pPr>
    </w:p>
    <w:p w14:paraId="6E687119"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28"/>
          <w:szCs w:val="28"/>
          <w:lang w:val="uk-UA" w:eastAsia="uk-UA"/>
        </w:rPr>
      </w:pPr>
      <w:r w:rsidRPr="00D00194">
        <w:rPr>
          <w:rFonts w:ascii="Times New Roman" w:eastAsia="Times New Roman" w:hAnsi="Times New Roman" w:cs="Times New Roman"/>
          <w:sz w:val="28"/>
          <w:szCs w:val="28"/>
          <w:lang w:val="uk-UA" w:eastAsia="uk-UA"/>
        </w:rPr>
        <w:t>Дата видачі завдання: «17» квітня  2023 р.</w:t>
      </w:r>
    </w:p>
    <w:p w14:paraId="37C7CB9C"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12"/>
          <w:szCs w:val="12"/>
          <w:lang w:val="uk-UA" w:eastAsia="uk-UA"/>
        </w:rPr>
      </w:pPr>
    </w:p>
    <w:p w14:paraId="06DAFF82"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p>
    <w:p w14:paraId="1A88DDEB" w14:textId="77777777" w:rsidR="00D00194" w:rsidRPr="00D00194" w:rsidRDefault="00D00194" w:rsidP="00D00194">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 xml:space="preserve">Керівник доцент, к.е.н., доцент </w:t>
      </w:r>
      <w:r w:rsidRPr="00D00194">
        <w:rPr>
          <w:rFonts w:ascii="Times New Roman" w:eastAsia="Times New Roman" w:hAnsi="Times New Roman" w:cs="Times New Roman"/>
          <w:color w:val="000000"/>
          <w:sz w:val="28"/>
          <w:lang w:val="uk-UA" w:eastAsia="uk-UA"/>
        </w:rPr>
        <w:t>Ольга ДЕЙНЕКА</w:t>
      </w:r>
      <w:r w:rsidRPr="00D00194">
        <w:rPr>
          <w:rFonts w:ascii="Times New Roman" w:eastAsia="Times New Roman" w:hAnsi="Times New Roman" w:cs="Times New Roman"/>
          <w:color w:val="000000"/>
          <w:sz w:val="28"/>
          <w:szCs w:val="28"/>
          <w:lang w:val="uk-UA" w:eastAsia="uk-UA"/>
        </w:rPr>
        <w:t xml:space="preserve">  </w:t>
      </w:r>
      <w:r w:rsidRPr="00D00194">
        <w:rPr>
          <w:rFonts w:ascii="Times New Roman" w:eastAsia="Times New Roman" w:hAnsi="Times New Roman" w:cs="Times New Roman"/>
          <w:color w:val="000000"/>
          <w:sz w:val="28"/>
          <w:szCs w:val="28"/>
          <w:lang w:val="uk-UA" w:eastAsia="uk-UA"/>
        </w:rPr>
        <w:tab/>
      </w:r>
      <w:r w:rsidRPr="00D00194">
        <w:rPr>
          <w:rFonts w:ascii="Times New Roman" w:eastAsia="Times New Roman" w:hAnsi="Times New Roman" w:cs="Times New Roman"/>
          <w:color w:val="000000"/>
          <w:sz w:val="28"/>
          <w:szCs w:val="28"/>
          <w:lang w:val="uk-UA" w:eastAsia="uk-UA"/>
        </w:rPr>
        <w:tab/>
      </w:r>
      <w:r w:rsidRPr="00D00194">
        <w:rPr>
          <w:rFonts w:ascii="Times New Roman" w:eastAsia="Times New Roman" w:hAnsi="Times New Roman" w:cs="Times New Roman"/>
          <w:color w:val="000000"/>
          <w:sz w:val="28"/>
          <w:szCs w:val="28"/>
          <w:lang w:val="uk-UA" w:eastAsia="uk-UA"/>
        </w:rPr>
        <w:tab/>
        <w:t>_____________</w:t>
      </w:r>
    </w:p>
    <w:p w14:paraId="0FB642FC" w14:textId="77777777" w:rsidR="00D00194" w:rsidRPr="00D00194" w:rsidRDefault="00D00194" w:rsidP="00D00194">
      <w:pPr>
        <w:widowControl w:val="0"/>
        <w:pBdr>
          <w:top w:val="nil"/>
          <w:left w:val="nil"/>
          <w:bottom w:val="nil"/>
          <w:right w:val="nil"/>
          <w:between w:val="nil"/>
        </w:pBdr>
        <w:autoSpaceDE w:val="0"/>
        <w:autoSpaceDN w:val="0"/>
        <w:spacing w:after="0" w:line="240" w:lineRule="auto"/>
        <w:ind w:left="1416" w:firstLine="707"/>
        <w:rPr>
          <w:rFonts w:ascii="Times New Roman" w:eastAsia="Times New Roman" w:hAnsi="Times New Roman" w:cs="Times New Roman"/>
          <w:color w:val="000000"/>
          <w:sz w:val="20"/>
          <w:szCs w:val="20"/>
          <w:lang w:val="uk-UA" w:eastAsia="uk-UA"/>
        </w:rPr>
      </w:pPr>
      <w:r w:rsidRPr="00D00194">
        <w:rPr>
          <w:rFonts w:ascii="Times New Roman" w:eastAsia="Times New Roman" w:hAnsi="Times New Roman" w:cs="Times New Roman"/>
          <w:color w:val="000000"/>
          <w:sz w:val="20"/>
          <w:szCs w:val="20"/>
          <w:lang w:val="uk-UA" w:eastAsia="uk-UA"/>
        </w:rPr>
        <w:t xml:space="preserve"> </w:t>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r>
      <w:r w:rsidRPr="00D00194">
        <w:rPr>
          <w:rFonts w:ascii="Times New Roman" w:eastAsia="Times New Roman" w:hAnsi="Times New Roman" w:cs="Times New Roman"/>
          <w:color w:val="000000"/>
          <w:sz w:val="20"/>
          <w:szCs w:val="20"/>
          <w:lang w:val="uk-UA" w:eastAsia="uk-UA"/>
        </w:rPr>
        <w:tab/>
        <w:t>(підпис)</w:t>
      </w:r>
    </w:p>
    <w:p w14:paraId="5E348361" w14:textId="77777777"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8"/>
          <w:szCs w:val="8"/>
          <w:lang w:val="uk-UA" w:eastAsia="uk-UA"/>
        </w:rPr>
      </w:pPr>
    </w:p>
    <w:p w14:paraId="4D049F5E" w14:textId="0F3DE3C7" w:rsidR="00EE7FCD" w:rsidRPr="00D00194" w:rsidRDefault="00D00194" w:rsidP="00EE7FCD">
      <w:pPr>
        <w:widowControl w:val="0"/>
        <w:pBdr>
          <w:top w:val="nil"/>
          <w:left w:val="nil"/>
          <w:bottom w:val="nil"/>
          <w:right w:val="nil"/>
          <w:between w:val="nil"/>
        </w:pBdr>
        <w:autoSpaceDE w:val="0"/>
        <w:autoSpaceDN w:val="0"/>
        <w:spacing w:after="0" w:line="240" w:lineRule="auto"/>
        <w:rPr>
          <w:rFonts w:ascii="Times New Roman" w:eastAsia="Times New Roman" w:hAnsi="Times New Roman" w:cs="Times New Roman"/>
          <w:color w:val="000000"/>
          <w:sz w:val="20"/>
          <w:szCs w:val="20"/>
          <w:lang w:val="uk-UA" w:eastAsia="uk-UA"/>
        </w:rPr>
      </w:pPr>
      <w:r w:rsidRPr="00D00194">
        <w:rPr>
          <w:rFonts w:ascii="Times New Roman" w:eastAsia="Times New Roman" w:hAnsi="Times New Roman" w:cs="Times New Roman"/>
          <w:sz w:val="28"/>
          <w:szCs w:val="28"/>
          <w:lang w:val="uk-UA" w:eastAsia="uk-UA"/>
        </w:rPr>
        <w:t>Завдання прийнято до виконання «17» квітня 2023р.  _______   Наталія БЕРЕЗНА</w:t>
      </w:r>
      <w:r w:rsidRPr="00D00194">
        <w:rPr>
          <w:rFonts w:ascii="Times New Roman" w:eastAsia="Times New Roman" w:hAnsi="Times New Roman" w:cs="Times New Roman"/>
          <w:b/>
          <w:color w:val="000000"/>
          <w:sz w:val="14"/>
          <w:szCs w:val="14"/>
          <w:lang w:val="uk-UA" w:eastAsia="uk-UA"/>
        </w:rPr>
        <w:br/>
      </w:r>
      <w:r w:rsidRPr="00D00194">
        <w:rPr>
          <w:rFonts w:ascii="Times New Roman" w:eastAsia="Times New Roman" w:hAnsi="Times New Roman" w:cs="Times New Roman"/>
          <w:color w:val="000000"/>
          <w:sz w:val="14"/>
          <w:szCs w:val="14"/>
          <w:lang w:val="uk-UA" w:eastAsia="uk-UA"/>
        </w:rPr>
        <w:t xml:space="preserve"> </w:t>
      </w:r>
      <w:r w:rsidR="00EE7FCD">
        <w:rPr>
          <w:rFonts w:ascii="Times New Roman" w:eastAsia="Times New Roman" w:hAnsi="Times New Roman" w:cs="Times New Roman"/>
          <w:color w:val="000000"/>
          <w:sz w:val="14"/>
          <w:szCs w:val="14"/>
          <w:lang w:val="uk-UA" w:eastAsia="uk-UA"/>
        </w:rPr>
        <w:tab/>
      </w:r>
      <w:r w:rsidR="00EE7FCD">
        <w:rPr>
          <w:rFonts w:ascii="Times New Roman" w:eastAsia="Times New Roman" w:hAnsi="Times New Roman" w:cs="Times New Roman"/>
          <w:color w:val="000000"/>
          <w:sz w:val="14"/>
          <w:szCs w:val="14"/>
          <w:lang w:val="uk-UA" w:eastAsia="uk-UA"/>
        </w:rPr>
        <w:tab/>
      </w:r>
      <w:r w:rsidR="00EE7FCD">
        <w:rPr>
          <w:rFonts w:ascii="Times New Roman" w:eastAsia="Times New Roman" w:hAnsi="Times New Roman" w:cs="Times New Roman"/>
          <w:color w:val="000000"/>
          <w:sz w:val="14"/>
          <w:szCs w:val="14"/>
          <w:lang w:val="uk-UA" w:eastAsia="uk-UA"/>
        </w:rPr>
        <w:tab/>
      </w:r>
      <w:r w:rsidR="00EE7FCD">
        <w:rPr>
          <w:rFonts w:ascii="Times New Roman" w:eastAsia="Times New Roman" w:hAnsi="Times New Roman" w:cs="Times New Roman"/>
          <w:color w:val="000000"/>
          <w:sz w:val="14"/>
          <w:szCs w:val="14"/>
          <w:lang w:val="uk-UA" w:eastAsia="uk-UA"/>
        </w:rPr>
        <w:tab/>
      </w:r>
      <w:r w:rsidR="00EE7FCD">
        <w:rPr>
          <w:rFonts w:ascii="Times New Roman" w:eastAsia="Times New Roman" w:hAnsi="Times New Roman" w:cs="Times New Roman"/>
          <w:color w:val="000000"/>
          <w:sz w:val="14"/>
          <w:szCs w:val="14"/>
          <w:lang w:val="uk-UA" w:eastAsia="uk-UA"/>
        </w:rPr>
        <w:tab/>
      </w:r>
      <w:r w:rsidR="00EE7FCD">
        <w:rPr>
          <w:rFonts w:ascii="Times New Roman" w:eastAsia="Times New Roman" w:hAnsi="Times New Roman" w:cs="Times New Roman"/>
          <w:color w:val="000000"/>
          <w:sz w:val="14"/>
          <w:szCs w:val="14"/>
          <w:lang w:val="uk-UA" w:eastAsia="uk-UA"/>
        </w:rPr>
        <w:tab/>
      </w:r>
      <w:r w:rsidR="00EE7FCD">
        <w:rPr>
          <w:rFonts w:ascii="Times New Roman" w:eastAsia="Times New Roman" w:hAnsi="Times New Roman" w:cs="Times New Roman"/>
          <w:color w:val="000000"/>
          <w:sz w:val="14"/>
          <w:szCs w:val="14"/>
          <w:lang w:val="uk-UA" w:eastAsia="uk-UA"/>
        </w:rPr>
        <w:tab/>
      </w:r>
      <w:r w:rsidR="00EE7FCD">
        <w:rPr>
          <w:rFonts w:ascii="Times New Roman" w:eastAsia="Times New Roman" w:hAnsi="Times New Roman" w:cs="Times New Roman"/>
          <w:color w:val="000000"/>
          <w:sz w:val="14"/>
          <w:szCs w:val="14"/>
          <w:lang w:val="uk-UA" w:eastAsia="uk-UA"/>
        </w:rPr>
        <w:tab/>
        <w:t xml:space="preserve">                      </w:t>
      </w:r>
      <w:r w:rsidR="00EE7FCD" w:rsidRPr="00D00194">
        <w:rPr>
          <w:rFonts w:ascii="Times New Roman" w:eastAsia="Times New Roman" w:hAnsi="Times New Roman" w:cs="Times New Roman"/>
          <w:color w:val="000000"/>
          <w:sz w:val="20"/>
          <w:szCs w:val="20"/>
          <w:lang w:val="uk-UA" w:eastAsia="uk-UA"/>
        </w:rPr>
        <w:t>(підпис)</w:t>
      </w:r>
    </w:p>
    <w:p w14:paraId="1FA1052B" w14:textId="4562C4F8" w:rsidR="00D00194" w:rsidRPr="00D00194" w:rsidRDefault="00D00194" w:rsidP="00D00194">
      <w:pPr>
        <w:widowControl w:val="0"/>
        <w:autoSpaceDE w:val="0"/>
        <w:autoSpaceDN w:val="0"/>
        <w:spacing w:after="0" w:line="240" w:lineRule="auto"/>
        <w:rPr>
          <w:rFonts w:ascii="Times New Roman" w:eastAsia="Times New Roman" w:hAnsi="Times New Roman" w:cs="Times New Roman"/>
          <w:sz w:val="28"/>
          <w:szCs w:val="28"/>
          <w:lang w:val="uk-UA" w:eastAsia="uk-UA"/>
        </w:rPr>
      </w:pPr>
    </w:p>
    <w:p w14:paraId="7F500FCB" w14:textId="77777777" w:rsidR="00D00194" w:rsidRPr="00D00194" w:rsidRDefault="00D00194" w:rsidP="00D00194">
      <w:pPr>
        <w:widowControl w:val="0"/>
        <w:spacing w:after="0" w:line="240" w:lineRule="auto"/>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br w:type="page"/>
      </w:r>
    </w:p>
    <w:p w14:paraId="3D7AE265" w14:textId="77777777" w:rsidR="00D00194" w:rsidRPr="00D00194" w:rsidRDefault="00D00194" w:rsidP="00D00194">
      <w:pPr>
        <w:widowControl w:val="0"/>
        <w:pBdr>
          <w:top w:val="nil"/>
          <w:left w:val="nil"/>
          <w:bottom w:val="nil"/>
          <w:right w:val="nil"/>
          <w:between w:val="nil"/>
        </w:pBdr>
        <w:autoSpaceDE w:val="0"/>
        <w:autoSpaceDN w:val="0"/>
        <w:spacing w:after="0" w:line="276" w:lineRule="auto"/>
        <w:jc w:val="center"/>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lastRenderedPageBreak/>
        <w:t>АНОТАЦІЯ</w:t>
      </w:r>
    </w:p>
    <w:p w14:paraId="2E4C1C14" w14:textId="77777777" w:rsidR="00D00194" w:rsidRPr="00D00194" w:rsidRDefault="00D00194" w:rsidP="00D00194">
      <w:pPr>
        <w:widowControl w:val="0"/>
        <w:pBdr>
          <w:top w:val="nil"/>
          <w:left w:val="nil"/>
          <w:bottom w:val="nil"/>
          <w:right w:val="nil"/>
          <w:between w:val="nil"/>
        </w:pBdr>
        <w:autoSpaceDE w:val="0"/>
        <w:autoSpaceDN w:val="0"/>
        <w:spacing w:after="0" w:line="276" w:lineRule="auto"/>
        <w:jc w:val="center"/>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кваліфікаційної роботи на здобуття освітнього ступеня бакалавр</w:t>
      </w:r>
    </w:p>
    <w:p w14:paraId="38DDE782" w14:textId="77777777" w:rsidR="00D00194" w:rsidRPr="00D00194" w:rsidRDefault="00D00194" w:rsidP="00D00194">
      <w:pPr>
        <w:widowControl w:val="0"/>
        <w:pBdr>
          <w:top w:val="nil"/>
          <w:left w:val="nil"/>
          <w:bottom w:val="nil"/>
          <w:right w:val="nil"/>
          <w:between w:val="nil"/>
        </w:pBdr>
        <w:autoSpaceDE w:val="0"/>
        <w:autoSpaceDN w:val="0"/>
        <w:spacing w:after="0" w:line="276" w:lineRule="auto"/>
        <w:jc w:val="center"/>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на тему:</w:t>
      </w:r>
    </w:p>
    <w:p w14:paraId="34074191" w14:textId="77777777" w:rsidR="00D00194" w:rsidRPr="00D00194" w:rsidRDefault="00D00194" w:rsidP="00D00194">
      <w:pPr>
        <w:widowControl w:val="0"/>
        <w:pBdr>
          <w:top w:val="nil"/>
          <w:left w:val="nil"/>
          <w:bottom w:val="nil"/>
          <w:right w:val="nil"/>
          <w:between w:val="nil"/>
        </w:pBdr>
        <w:autoSpaceDE w:val="0"/>
        <w:autoSpaceDN w:val="0"/>
        <w:spacing w:after="0" w:line="276" w:lineRule="auto"/>
        <w:jc w:val="center"/>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«Забезпечення фінансової стійкості банку»</w:t>
      </w:r>
    </w:p>
    <w:p w14:paraId="156B1B44" w14:textId="77777777" w:rsidR="00D00194" w:rsidRPr="00D00194" w:rsidRDefault="00D00194" w:rsidP="00D00194">
      <w:pPr>
        <w:widowControl w:val="0"/>
        <w:pBdr>
          <w:top w:val="nil"/>
          <w:left w:val="nil"/>
          <w:bottom w:val="nil"/>
          <w:right w:val="nil"/>
          <w:between w:val="nil"/>
        </w:pBdr>
        <w:autoSpaceDE w:val="0"/>
        <w:autoSpaceDN w:val="0"/>
        <w:spacing w:after="0" w:line="276" w:lineRule="auto"/>
        <w:ind w:firstLine="709"/>
        <w:jc w:val="center"/>
        <w:rPr>
          <w:rFonts w:ascii="Times New Roman" w:eastAsia="Times New Roman" w:hAnsi="Times New Roman" w:cs="Times New Roman"/>
          <w:color w:val="000000"/>
          <w:lang w:val="uk-UA" w:eastAsia="uk-UA"/>
        </w:rPr>
      </w:pPr>
      <w:r w:rsidRPr="00D00194">
        <w:rPr>
          <w:rFonts w:ascii="Times New Roman" w:eastAsia="Times New Roman" w:hAnsi="Times New Roman" w:cs="Times New Roman"/>
          <w:color w:val="000000"/>
          <w:sz w:val="28"/>
          <w:lang w:val="uk-UA" w:eastAsia="uk-UA"/>
        </w:rPr>
        <w:t>Березної Наталії В’ячеславівни</w:t>
      </w:r>
      <w:r w:rsidRPr="00D00194">
        <w:rPr>
          <w:rFonts w:ascii="Times New Roman" w:eastAsia="Times New Roman" w:hAnsi="Times New Roman" w:cs="Times New Roman"/>
          <w:color w:val="000000"/>
          <w:lang w:val="uk-UA" w:eastAsia="uk-UA"/>
        </w:rPr>
        <w:t xml:space="preserve"> </w:t>
      </w:r>
    </w:p>
    <w:p w14:paraId="4901AD09" w14:textId="77777777" w:rsidR="00D00194" w:rsidRPr="00D00194" w:rsidRDefault="00D00194" w:rsidP="00D00194">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p>
    <w:p w14:paraId="605807FC" w14:textId="77777777" w:rsidR="00D00194" w:rsidRPr="00D00194" w:rsidRDefault="00D00194" w:rsidP="00D00194">
      <w:pPr>
        <w:widowControl w:val="0"/>
        <w:autoSpaceDE w:val="0"/>
        <w:autoSpaceDN w:val="0"/>
        <w:spacing w:after="0" w:line="360" w:lineRule="auto"/>
        <w:ind w:right="626"/>
        <w:jc w:val="center"/>
        <w:rPr>
          <w:rFonts w:ascii="Times New Roman" w:eastAsia="Times New Roman" w:hAnsi="Times New Roman" w:cs="Times New Roman"/>
          <w:sz w:val="28"/>
          <w:szCs w:val="28"/>
          <w:lang w:val="uk-UA" w:eastAsia="uk-UA"/>
        </w:rPr>
      </w:pPr>
    </w:p>
    <w:p w14:paraId="2C3746F5" w14:textId="77777777" w:rsidR="00D00194" w:rsidRPr="00D00194" w:rsidRDefault="00D00194" w:rsidP="00D00194">
      <w:pPr>
        <w:widowControl w:val="0"/>
        <w:autoSpaceDE w:val="0"/>
        <w:autoSpaceDN w:val="0"/>
        <w:spacing w:after="0" w:line="360" w:lineRule="auto"/>
        <w:ind w:right="-1" w:firstLine="709"/>
        <w:jc w:val="both"/>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 xml:space="preserve">Основний зміст кваліфікаційної роботи викладено на 63 сторінках, </w:t>
      </w:r>
      <w:r w:rsidRPr="00D00194">
        <w:rPr>
          <w:rFonts w:ascii="Times New Roman" w:eastAsia="Times New Roman" w:hAnsi="Times New Roman" w:cs="Times New Roman"/>
          <w:color w:val="000000"/>
          <w:sz w:val="28"/>
          <w:szCs w:val="28"/>
          <w:lang w:val="uk-UA" w:eastAsia="uk-UA"/>
        </w:rPr>
        <w:br/>
        <w:t>з яких список використаних джерел із 76 найменувань на восьми сторінках. Робота містить 7 таблиць, 27 рисунків, а також 10</w:t>
      </w:r>
      <w:r w:rsidRPr="00D00194">
        <w:rPr>
          <w:rFonts w:ascii="Times New Roman" w:eastAsia="Times New Roman" w:hAnsi="Times New Roman" w:cs="Times New Roman"/>
          <w:color w:val="000000"/>
          <w:lang w:val="uk-UA" w:eastAsia="uk-UA"/>
        </w:rPr>
        <w:t xml:space="preserve"> </w:t>
      </w:r>
      <w:r w:rsidRPr="00D00194">
        <w:rPr>
          <w:rFonts w:ascii="Times New Roman" w:eastAsia="Times New Roman" w:hAnsi="Times New Roman" w:cs="Times New Roman"/>
          <w:color w:val="000000"/>
          <w:sz w:val="28"/>
          <w:szCs w:val="28"/>
          <w:lang w:val="uk-UA" w:eastAsia="uk-UA"/>
        </w:rPr>
        <w:t xml:space="preserve">додатків. </w:t>
      </w:r>
    </w:p>
    <w:p w14:paraId="5FA9FADF" w14:textId="77777777" w:rsidR="00D00194" w:rsidRPr="00D00194" w:rsidRDefault="00D00194" w:rsidP="00D00194">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p>
    <w:p w14:paraId="170A1CFF" w14:textId="77777777" w:rsidR="00D00194" w:rsidRPr="00D00194" w:rsidRDefault="00D00194" w:rsidP="00D00194">
      <w:pPr>
        <w:widowControl w:val="0"/>
        <w:tabs>
          <w:tab w:val="left" w:pos="709"/>
        </w:tabs>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Актуальність теми кваліфікаційної роботи полягає в тому, що фінансова стійкість – це важлива складова фінансового стану банку, яка гарантує його спроможність забезпечувати безперервну та ефективну діяльність у довгостроковій перспективі. Крім того, фінансова стійкість є важливою для всіх стейкхолдерів, з якими співпрацює банк, таких як клієнти, акціонери, регуляторні органи та інші зацікавлені сторони.</w:t>
      </w:r>
    </w:p>
    <w:p w14:paraId="7A073042" w14:textId="77777777" w:rsidR="00D00194" w:rsidRPr="00D00194" w:rsidRDefault="00D00194" w:rsidP="00D00194">
      <w:pPr>
        <w:widowControl w:val="0"/>
        <w:tabs>
          <w:tab w:val="left" w:pos="709"/>
        </w:tabs>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В умовах воєнного стану та активної фази бойових дій, які негативно впливають на макро- та мікросистеми України, актуальність забезпечення фінансової стійкості банків значно посилюється. Кризовий потенціал банків наростає через зниження кредитоспроможності позичальників, що збільшує кредитні втрати, зменшення економічної активності клієнтів та їх платоспроможність, що впливає на попит на банківські послуги, а також через руйнування інфраструктури та інші наслідки війни.</w:t>
      </w:r>
    </w:p>
    <w:p w14:paraId="00D35B14" w14:textId="77777777" w:rsidR="00D00194" w:rsidRPr="00D00194" w:rsidRDefault="00D00194" w:rsidP="00D00194">
      <w:pPr>
        <w:widowControl w:val="0"/>
        <w:tabs>
          <w:tab w:val="left" w:pos="709"/>
        </w:tabs>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У цих умовах забезпечення фінансової стійкості є необхідним для збереження довіри клієнтів, забезпечення стійкості банківської системи та підтримки економічного розвитку країни. Крім того, це є стратегічно важливим завданням для менеджменту банку, яке впливає на його внутрішні та зовнішні взаємодії та забезпечує конкурентоспроможність у довгостроковій перспективі.</w:t>
      </w:r>
    </w:p>
    <w:p w14:paraId="4759AE8F" w14:textId="77777777" w:rsidR="00D00194" w:rsidRPr="00D00194" w:rsidRDefault="00D00194" w:rsidP="00D00194">
      <w:pPr>
        <w:widowControl w:val="0"/>
        <w:tabs>
          <w:tab w:val="left" w:pos="709"/>
        </w:tabs>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 xml:space="preserve">Мета кваліфікаційної роботи полягає в дослідженні теоретичних підходів щодо механізму забезпечення фінансової стійкості банків та його вдосконалення </w:t>
      </w:r>
      <w:r w:rsidRPr="00D00194">
        <w:rPr>
          <w:rFonts w:ascii="Times New Roman" w:eastAsia="Times New Roman" w:hAnsi="Times New Roman" w:cs="Times New Roman"/>
          <w:color w:val="000000"/>
          <w:sz w:val="28"/>
          <w:szCs w:val="28"/>
          <w:lang w:val="uk-UA" w:eastAsia="uk-UA"/>
        </w:rPr>
        <w:lastRenderedPageBreak/>
        <w:t>на основі формалізації функціональних залежностей між макроіндикаторами та рівнем фінансової стійкості банку.</w:t>
      </w:r>
    </w:p>
    <w:p w14:paraId="568A88CE" w14:textId="77777777" w:rsidR="00D00194" w:rsidRPr="00D00194" w:rsidRDefault="00D00194" w:rsidP="00D00194">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Методи дослідження: аналіз та синтез, індукція та дедукція, абстрагування і конкретизація (під час уточнення сутності поняття «ФСБ», систематизації факторів впливу на ФСБ, систематизації підходів до формування механізму забезпечення ФСБ та визначенні його складових); порівняльний, коефіцієнтний, графічний та табличний аналіз (під час оцінювання рівня фінансової стійкості банківської системи та АТ КБ «ПриватБанк»); економетричний аналіз за допомогою MS Office Excel (для обґрунтування впливу макрофакторів на ФСБ).</w:t>
      </w:r>
    </w:p>
    <w:p w14:paraId="1BAF1883" w14:textId="77777777" w:rsidR="00D00194" w:rsidRPr="00D00194" w:rsidRDefault="00D00194" w:rsidP="00D00194">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Основний результат роботи полягає в тому, що практичні рекомендації можуть бути використані банками України для вдосконалення аналітичного інструментарію забезпечення фінансової стійкості банку, зокрема стрес-тестування.</w:t>
      </w:r>
    </w:p>
    <w:p w14:paraId="274C0C9E" w14:textId="77777777" w:rsidR="00D00194" w:rsidRPr="00D00194" w:rsidRDefault="00D00194" w:rsidP="00D00194">
      <w:pPr>
        <w:widowControl w:val="0"/>
        <w:autoSpaceDE w:val="0"/>
        <w:autoSpaceDN w:val="0"/>
        <w:spacing w:after="0" w:line="360" w:lineRule="auto"/>
        <w:ind w:right="-1" w:firstLine="709"/>
        <w:jc w:val="both"/>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Ключові слова: банк, фінансова стійкість банку, механізм забезпечення фінансової стійкості банку, фактори впливу на фінансову стійкість банку, макроіндикатори.</w:t>
      </w:r>
    </w:p>
    <w:p w14:paraId="2B8CD7A0" w14:textId="77777777" w:rsidR="00D00194" w:rsidRPr="00D00194" w:rsidRDefault="00D00194" w:rsidP="00D00194">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D00194">
        <w:rPr>
          <w:rFonts w:ascii="Times New Roman" w:eastAsia="Times New Roman" w:hAnsi="Times New Roman" w:cs="Times New Roman"/>
          <w:color w:val="000000"/>
          <w:sz w:val="28"/>
          <w:szCs w:val="28"/>
          <w:lang w:val="uk-UA" w:eastAsia="uk-UA"/>
        </w:rPr>
        <w:t xml:space="preserve"> </w:t>
      </w:r>
    </w:p>
    <w:p w14:paraId="5538E0E0" w14:textId="77777777" w:rsidR="00D00194" w:rsidRPr="00D00194" w:rsidRDefault="00D00194" w:rsidP="00D00194">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p>
    <w:p w14:paraId="0217E3B8" w14:textId="77777777" w:rsidR="00D00194" w:rsidRPr="00D00194" w:rsidRDefault="00D00194" w:rsidP="00D00194">
      <w:pPr>
        <w:widowControl w:val="0"/>
        <w:pBdr>
          <w:top w:val="nil"/>
          <w:left w:val="nil"/>
          <w:bottom w:val="nil"/>
          <w:right w:val="nil"/>
          <w:between w:val="nil"/>
        </w:pBdr>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p>
    <w:p w14:paraId="6987C45C" w14:textId="77777777" w:rsidR="00D00194" w:rsidRPr="00D00194" w:rsidRDefault="00D00194" w:rsidP="00D00194">
      <w:pPr>
        <w:autoSpaceDE w:val="0"/>
        <w:autoSpaceDN w:val="0"/>
        <w:rPr>
          <w:rFonts w:ascii="Times New Roman" w:eastAsia="Times New Roman" w:hAnsi="Times New Roman" w:cs="Times New Roman"/>
          <w:sz w:val="28"/>
          <w:szCs w:val="28"/>
          <w:lang w:val="uk-UA" w:eastAsia="uk-UA"/>
        </w:rPr>
      </w:pPr>
    </w:p>
    <w:p w14:paraId="696422AB" w14:textId="77777777" w:rsidR="00C261AE" w:rsidRPr="00F00EB0" w:rsidRDefault="00C261AE" w:rsidP="00C261AE">
      <w:pPr>
        <w:jc w:val="center"/>
        <w:rPr>
          <w:rFonts w:ascii="Times New Roman" w:eastAsia="Times New Roman" w:hAnsi="Times New Roman" w:cs="Times New Roman"/>
          <w:b/>
          <w:color w:val="000000" w:themeColor="text1"/>
          <w:sz w:val="28"/>
          <w:szCs w:val="28"/>
          <w:lang w:val="uk-UA" w:eastAsia="ru-RU"/>
        </w:rPr>
      </w:pPr>
    </w:p>
    <w:p w14:paraId="4B76DFCB" w14:textId="77777777" w:rsidR="003A7E04" w:rsidRPr="00F00EB0" w:rsidRDefault="003A7E04" w:rsidP="00C261AE">
      <w:pPr>
        <w:jc w:val="center"/>
        <w:rPr>
          <w:rFonts w:ascii="Times New Roman" w:eastAsia="Times New Roman" w:hAnsi="Times New Roman" w:cs="Times New Roman"/>
          <w:b/>
          <w:color w:val="000000" w:themeColor="text1"/>
          <w:sz w:val="28"/>
          <w:szCs w:val="28"/>
          <w:lang w:val="uk-UA" w:eastAsia="ru-RU"/>
        </w:rPr>
        <w:sectPr w:rsidR="003A7E04" w:rsidRPr="00F00EB0" w:rsidSect="004D60A5">
          <w:headerReference w:type="default" r:id="rId11"/>
          <w:footerReference w:type="default" r:id="rId12"/>
          <w:endnotePr>
            <w:numFmt w:val="decimal"/>
          </w:endnotePr>
          <w:pgSz w:w="11906" w:h="16838"/>
          <w:pgMar w:top="1134" w:right="567" w:bottom="1134" w:left="1418" w:header="709" w:footer="709" w:gutter="0"/>
          <w:cols w:space="708"/>
          <w:titlePg/>
          <w:docGrid w:linePitch="360"/>
        </w:sectPr>
      </w:pPr>
    </w:p>
    <w:p w14:paraId="3B8C4E01" w14:textId="1F799C20" w:rsidR="00C261AE" w:rsidRPr="00F00EB0" w:rsidRDefault="00D90F03" w:rsidP="00C261AE">
      <w:pPr>
        <w:jc w:val="center"/>
        <w:rPr>
          <w:rFonts w:ascii="Times New Roman" w:eastAsia="Times New Roman" w:hAnsi="Times New Roman" w:cs="Times New Roman"/>
          <w:b/>
          <w:color w:val="000000" w:themeColor="text1"/>
          <w:sz w:val="28"/>
          <w:szCs w:val="28"/>
          <w:lang w:val="uk-UA" w:eastAsia="ru-RU"/>
        </w:rPr>
      </w:pPr>
      <w:r w:rsidRPr="00F00EB0">
        <w:rPr>
          <w:rFonts w:ascii="Times New Roman" w:hAnsi="Times New Roman" w:cs="Times New Roman"/>
          <w:noProof/>
          <w:color w:val="000000" w:themeColor="text1"/>
          <w:lang w:eastAsia="ru-RU"/>
        </w:rPr>
        <w:lastRenderedPageBreak/>
        <mc:AlternateContent>
          <mc:Choice Requires="wps">
            <w:drawing>
              <wp:anchor distT="0" distB="0" distL="114300" distR="114300" simplePos="0" relativeHeight="251641344" behindDoc="0" locked="0" layoutInCell="1" allowOverlap="1" wp14:anchorId="7243AB2F" wp14:editId="1C4302E1">
                <wp:simplePos x="0" y="0"/>
                <wp:positionH relativeFrom="column">
                  <wp:posOffset>5747385</wp:posOffset>
                </wp:positionH>
                <wp:positionV relativeFrom="paragraph">
                  <wp:posOffset>-364490</wp:posOffset>
                </wp:positionV>
                <wp:extent cx="335280" cy="213360"/>
                <wp:effectExtent l="0" t="0" r="7620" b="0"/>
                <wp:wrapNone/>
                <wp:docPr id="305418784"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5280" cy="21336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B0582EE" id="Прямоугольник 9" o:spid="_x0000_s1026" style="position:absolute;margin-left:452.55pt;margin-top:-28.7pt;width:26.4pt;height:16.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" fillcolor="white [3201]" strokecolor="white [3212]" strokeweight="1pt">
                <v:path arrowok="t"/>
              </v:rect>
            </w:pict>
          </mc:Fallback>
        </mc:AlternateContent>
      </w:r>
      <w:r w:rsidR="00C261AE" w:rsidRPr="00F00EB0">
        <w:rPr>
          <w:rFonts w:ascii="Times New Roman" w:eastAsia="Times New Roman" w:hAnsi="Times New Roman" w:cs="Times New Roman"/>
          <w:b/>
          <w:color w:val="000000" w:themeColor="text1"/>
          <w:sz w:val="28"/>
          <w:szCs w:val="28"/>
          <w:lang w:val="uk-UA" w:eastAsia="ru-RU"/>
        </w:rPr>
        <w:t>ЗМІСТ</w:t>
      </w:r>
    </w:p>
    <w:sdt>
      <w:sdtPr>
        <w:rPr>
          <w:rFonts w:ascii="Times New Roman" w:eastAsiaTheme="minorHAnsi" w:hAnsi="Times New Roman" w:cs="Times New Roman"/>
          <w:b w:val="0"/>
          <w:bCs w:val="0"/>
          <w:color w:val="000000" w:themeColor="text1"/>
          <w:sz w:val="22"/>
          <w:szCs w:val="22"/>
          <w:lang w:val="ru-RU" w:eastAsia="en-US"/>
        </w:rPr>
        <w:id w:val="-254204771"/>
        <w:docPartObj>
          <w:docPartGallery w:val="Table of Contents"/>
          <w:docPartUnique/>
        </w:docPartObj>
      </w:sdtPr>
      <w:sdtEndPr/>
      <w:sdtContent>
        <w:p w14:paraId="6D11C7DE" w14:textId="21221BFD" w:rsidR="00F058E3" w:rsidRPr="00A909F4" w:rsidRDefault="00F058E3" w:rsidP="00A909F4">
          <w:pPr>
            <w:pStyle w:val="afb"/>
            <w:spacing w:before="0" w:line="360" w:lineRule="auto"/>
            <w:jc w:val="both"/>
            <w:rPr>
              <w:rFonts w:ascii="Times New Roman" w:hAnsi="Times New Roman" w:cs="Times New Roman"/>
              <w:b w:val="0"/>
              <w:bCs w:val="0"/>
              <w:color w:val="000000" w:themeColor="text1"/>
              <w:sz w:val="6"/>
              <w:szCs w:val="6"/>
            </w:rPr>
          </w:pPr>
        </w:p>
        <w:p w14:paraId="1111117A" w14:textId="7DE07D44" w:rsidR="00A909F4" w:rsidRPr="00A909F4" w:rsidRDefault="00F058E3" w:rsidP="00A909F4">
          <w:pPr>
            <w:pStyle w:val="12"/>
            <w:tabs>
              <w:tab w:val="right" w:leader="dot" w:pos="9911"/>
            </w:tabs>
            <w:spacing w:after="0" w:line="360" w:lineRule="auto"/>
            <w:jc w:val="both"/>
            <w:rPr>
              <w:rFonts w:ascii="Times New Roman" w:eastAsiaTheme="minorEastAsia" w:hAnsi="Times New Roman" w:cs="Times New Roman"/>
              <w:noProof/>
              <w:kern w:val="2"/>
              <w:sz w:val="28"/>
              <w:szCs w:val="28"/>
              <w:lang w:eastAsia="ru-RU"/>
              <w14:ligatures w14:val="standardContextual"/>
            </w:rPr>
          </w:pPr>
          <w:r w:rsidRPr="00A909F4">
            <w:rPr>
              <w:rFonts w:ascii="Times New Roman" w:eastAsia="Times New Roman" w:hAnsi="Times New Roman" w:cs="Times New Roman"/>
              <w:noProof/>
              <w:color w:val="000000" w:themeColor="text1"/>
              <w:sz w:val="28"/>
              <w:szCs w:val="28"/>
              <w:lang w:val="uk-UA" w:eastAsia="ru-RU"/>
            </w:rPr>
            <w:fldChar w:fldCharType="begin"/>
          </w:r>
          <w:r w:rsidRPr="00A909F4">
            <w:rPr>
              <w:rFonts w:ascii="Times New Roman" w:hAnsi="Times New Roman" w:cs="Times New Roman"/>
              <w:color w:val="000000" w:themeColor="text1"/>
              <w:sz w:val="28"/>
              <w:szCs w:val="28"/>
              <w:lang w:val="uk-UA"/>
            </w:rPr>
            <w:instrText xml:space="preserve"> TOC \o "1-3" \h \z \u </w:instrText>
          </w:r>
          <w:r w:rsidRPr="00A909F4">
            <w:rPr>
              <w:rFonts w:ascii="Times New Roman" w:eastAsia="Times New Roman" w:hAnsi="Times New Roman" w:cs="Times New Roman"/>
              <w:noProof/>
              <w:color w:val="000000" w:themeColor="text1"/>
              <w:sz w:val="28"/>
              <w:szCs w:val="28"/>
              <w:lang w:val="uk-UA" w:eastAsia="ru-RU"/>
            </w:rPr>
            <w:fldChar w:fldCharType="separate"/>
          </w:r>
          <w:hyperlink w:anchor="_Toc137414301" w:history="1">
            <w:r w:rsidR="00A909F4" w:rsidRPr="00A909F4">
              <w:rPr>
                <w:rStyle w:val="a6"/>
                <w:rFonts w:ascii="Times New Roman" w:hAnsi="Times New Roman" w:cs="Times New Roman"/>
                <w:noProof/>
                <w:sz w:val="28"/>
                <w:szCs w:val="28"/>
                <w:lang w:val="uk-UA"/>
              </w:rPr>
              <w:t>ВСТУП</w:t>
            </w:r>
            <w:r w:rsidR="00A909F4" w:rsidRPr="00A909F4">
              <w:rPr>
                <w:rFonts w:ascii="Times New Roman" w:hAnsi="Times New Roman" w:cs="Times New Roman"/>
                <w:noProof/>
                <w:webHidden/>
                <w:sz w:val="28"/>
                <w:szCs w:val="28"/>
              </w:rPr>
              <w:tab/>
            </w:r>
            <w:r w:rsidR="00A909F4" w:rsidRPr="00A909F4">
              <w:rPr>
                <w:rFonts w:ascii="Times New Roman" w:hAnsi="Times New Roman" w:cs="Times New Roman"/>
                <w:noProof/>
                <w:webHidden/>
                <w:sz w:val="28"/>
                <w:szCs w:val="28"/>
              </w:rPr>
              <w:fldChar w:fldCharType="begin"/>
            </w:r>
            <w:r w:rsidR="00A909F4" w:rsidRPr="00A909F4">
              <w:rPr>
                <w:rFonts w:ascii="Times New Roman" w:hAnsi="Times New Roman" w:cs="Times New Roman"/>
                <w:noProof/>
                <w:webHidden/>
                <w:sz w:val="28"/>
                <w:szCs w:val="28"/>
              </w:rPr>
              <w:instrText xml:space="preserve"> PAGEREF _Toc137414301 \h </w:instrText>
            </w:r>
            <w:r w:rsidR="00A909F4" w:rsidRPr="00A909F4">
              <w:rPr>
                <w:rFonts w:ascii="Times New Roman" w:hAnsi="Times New Roman" w:cs="Times New Roman"/>
                <w:noProof/>
                <w:webHidden/>
                <w:sz w:val="28"/>
                <w:szCs w:val="28"/>
              </w:rPr>
            </w:r>
            <w:r w:rsidR="00A909F4" w:rsidRPr="00A909F4">
              <w:rPr>
                <w:rFonts w:ascii="Times New Roman" w:hAnsi="Times New Roman" w:cs="Times New Roman"/>
                <w:noProof/>
                <w:webHidden/>
                <w:sz w:val="28"/>
                <w:szCs w:val="28"/>
              </w:rPr>
              <w:fldChar w:fldCharType="separate"/>
            </w:r>
            <w:r w:rsidR="00A50A86">
              <w:rPr>
                <w:rFonts w:ascii="Times New Roman" w:hAnsi="Times New Roman" w:cs="Times New Roman"/>
                <w:noProof/>
                <w:webHidden/>
                <w:sz w:val="28"/>
                <w:szCs w:val="28"/>
              </w:rPr>
              <w:t>4</w:t>
            </w:r>
            <w:r w:rsidR="00A909F4" w:rsidRPr="00A909F4">
              <w:rPr>
                <w:rFonts w:ascii="Times New Roman" w:hAnsi="Times New Roman" w:cs="Times New Roman"/>
                <w:noProof/>
                <w:webHidden/>
                <w:sz w:val="28"/>
                <w:szCs w:val="28"/>
              </w:rPr>
              <w:fldChar w:fldCharType="end"/>
            </w:r>
          </w:hyperlink>
        </w:p>
        <w:p w14:paraId="56D837EE" w14:textId="022E755C" w:rsidR="00A909F4" w:rsidRPr="00A909F4" w:rsidRDefault="00E36248" w:rsidP="00A909F4">
          <w:pPr>
            <w:pStyle w:val="12"/>
            <w:tabs>
              <w:tab w:val="right" w:leader="dot" w:pos="9911"/>
            </w:tabs>
            <w:spacing w:after="0" w:line="360" w:lineRule="auto"/>
            <w:jc w:val="both"/>
            <w:rPr>
              <w:rFonts w:ascii="Times New Roman" w:eastAsiaTheme="minorEastAsia" w:hAnsi="Times New Roman" w:cs="Times New Roman"/>
              <w:noProof/>
              <w:kern w:val="2"/>
              <w:sz w:val="28"/>
              <w:szCs w:val="28"/>
              <w:lang w:eastAsia="ru-RU"/>
              <w14:ligatures w14:val="standardContextual"/>
            </w:rPr>
          </w:pPr>
          <w:hyperlink w:anchor="_Toc137414302" w:history="1">
            <w:r w:rsidR="00A909F4" w:rsidRPr="00A909F4">
              <w:rPr>
                <w:rStyle w:val="a6"/>
                <w:rFonts w:ascii="Times New Roman" w:hAnsi="Times New Roman" w:cs="Times New Roman"/>
                <w:noProof/>
                <w:sz w:val="28"/>
                <w:szCs w:val="28"/>
                <w:lang w:val="uk-UA"/>
              </w:rPr>
              <w:t>1 ТЕОРЕТИЧНІ ОСНОВИ ЗАБЕЗПЕЧЕННЯ ФІНАНСОВОЇ СТІЙКОСТІ БАНКУ</w:t>
            </w:r>
            <w:r w:rsidR="00A909F4" w:rsidRPr="00A909F4">
              <w:rPr>
                <w:rFonts w:ascii="Times New Roman" w:hAnsi="Times New Roman" w:cs="Times New Roman"/>
                <w:noProof/>
                <w:webHidden/>
                <w:sz w:val="28"/>
                <w:szCs w:val="28"/>
              </w:rPr>
              <w:tab/>
            </w:r>
            <w:r w:rsidR="00A909F4" w:rsidRPr="00A909F4">
              <w:rPr>
                <w:rFonts w:ascii="Times New Roman" w:hAnsi="Times New Roman" w:cs="Times New Roman"/>
                <w:noProof/>
                <w:webHidden/>
                <w:sz w:val="28"/>
                <w:szCs w:val="28"/>
              </w:rPr>
              <w:fldChar w:fldCharType="begin"/>
            </w:r>
            <w:r w:rsidR="00A909F4" w:rsidRPr="00A909F4">
              <w:rPr>
                <w:rFonts w:ascii="Times New Roman" w:hAnsi="Times New Roman" w:cs="Times New Roman"/>
                <w:noProof/>
                <w:webHidden/>
                <w:sz w:val="28"/>
                <w:szCs w:val="28"/>
              </w:rPr>
              <w:instrText xml:space="preserve"> PAGEREF _Toc137414302 \h </w:instrText>
            </w:r>
            <w:r w:rsidR="00A909F4" w:rsidRPr="00A909F4">
              <w:rPr>
                <w:rFonts w:ascii="Times New Roman" w:hAnsi="Times New Roman" w:cs="Times New Roman"/>
                <w:noProof/>
                <w:webHidden/>
                <w:sz w:val="28"/>
                <w:szCs w:val="28"/>
              </w:rPr>
            </w:r>
            <w:r w:rsidR="00A909F4" w:rsidRPr="00A909F4">
              <w:rPr>
                <w:rFonts w:ascii="Times New Roman" w:hAnsi="Times New Roman" w:cs="Times New Roman"/>
                <w:noProof/>
                <w:webHidden/>
                <w:sz w:val="28"/>
                <w:szCs w:val="28"/>
              </w:rPr>
              <w:fldChar w:fldCharType="separate"/>
            </w:r>
            <w:r w:rsidR="00A50A86">
              <w:rPr>
                <w:rFonts w:ascii="Times New Roman" w:hAnsi="Times New Roman" w:cs="Times New Roman"/>
                <w:noProof/>
                <w:webHidden/>
                <w:sz w:val="28"/>
                <w:szCs w:val="28"/>
              </w:rPr>
              <w:t>6</w:t>
            </w:r>
            <w:r w:rsidR="00A909F4" w:rsidRPr="00A909F4">
              <w:rPr>
                <w:rFonts w:ascii="Times New Roman" w:hAnsi="Times New Roman" w:cs="Times New Roman"/>
                <w:noProof/>
                <w:webHidden/>
                <w:sz w:val="28"/>
                <w:szCs w:val="28"/>
              </w:rPr>
              <w:fldChar w:fldCharType="end"/>
            </w:r>
          </w:hyperlink>
        </w:p>
        <w:p w14:paraId="3FE691A8" w14:textId="2F6799DC" w:rsidR="00A909F4" w:rsidRPr="00A909F4" w:rsidRDefault="00E36248" w:rsidP="00A909F4">
          <w:pPr>
            <w:pStyle w:val="12"/>
            <w:tabs>
              <w:tab w:val="right" w:leader="dot" w:pos="9911"/>
            </w:tabs>
            <w:spacing w:after="0" w:line="360" w:lineRule="auto"/>
            <w:jc w:val="both"/>
            <w:rPr>
              <w:rFonts w:ascii="Times New Roman" w:eastAsiaTheme="minorEastAsia" w:hAnsi="Times New Roman" w:cs="Times New Roman"/>
              <w:noProof/>
              <w:kern w:val="2"/>
              <w:sz w:val="28"/>
              <w:szCs w:val="28"/>
              <w:lang w:eastAsia="ru-RU"/>
              <w14:ligatures w14:val="standardContextual"/>
            </w:rPr>
          </w:pPr>
          <w:hyperlink w:anchor="_Toc137414303" w:history="1">
            <w:r w:rsidR="00A909F4" w:rsidRPr="00A909F4">
              <w:rPr>
                <w:rStyle w:val="a6"/>
                <w:rFonts w:ascii="Times New Roman" w:hAnsi="Times New Roman" w:cs="Times New Roman"/>
                <w:noProof/>
                <w:sz w:val="28"/>
                <w:szCs w:val="28"/>
                <w:lang w:val="uk-UA"/>
              </w:rPr>
              <w:t>1.1 Сутність поняття «фінансова стійкість банку» та фактори, що визначають її рівень</w:t>
            </w:r>
            <w:r w:rsidR="00A909F4" w:rsidRPr="00A909F4">
              <w:rPr>
                <w:rFonts w:ascii="Times New Roman" w:hAnsi="Times New Roman" w:cs="Times New Roman"/>
                <w:noProof/>
                <w:webHidden/>
                <w:sz w:val="28"/>
                <w:szCs w:val="28"/>
              </w:rPr>
              <w:tab/>
            </w:r>
            <w:r w:rsidR="00A909F4" w:rsidRPr="00A909F4">
              <w:rPr>
                <w:rFonts w:ascii="Times New Roman" w:hAnsi="Times New Roman" w:cs="Times New Roman"/>
                <w:noProof/>
                <w:webHidden/>
                <w:sz w:val="28"/>
                <w:szCs w:val="28"/>
              </w:rPr>
              <w:fldChar w:fldCharType="begin"/>
            </w:r>
            <w:r w:rsidR="00A909F4" w:rsidRPr="00A909F4">
              <w:rPr>
                <w:rFonts w:ascii="Times New Roman" w:hAnsi="Times New Roman" w:cs="Times New Roman"/>
                <w:noProof/>
                <w:webHidden/>
                <w:sz w:val="28"/>
                <w:szCs w:val="28"/>
              </w:rPr>
              <w:instrText xml:space="preserve"> PAGEREF _Toc137414303 \h </w:instrText>
            </w:r>
            <w:r w:rsidR="00A909F4" w:rsidRPr="00A909F4">
              <w:rPr>
                <w:rFonts w:ascii="Times New Roman" w:hAnsi="Times New Roman" w:cs="Times New Roman"/>
                <w:noProof/>
                <w:webHidden/>
                <w:sz w:val="28"/>
                <w:szCs w:val="28"/>
              </w:rPr>
            </w:r>
            <w:r w:rsidR="00A909F4" w:rsidRPr="00A909F4">
              <w:rPr>
                <w:rFonts w:ascii="Times New Roman" w:hAnsi="Times New Roman" w:cs="Times New Roman"/>
                <w:noProof/>
                <w:webHidden/>
                <w:sz w:val="28"/>
                <w:szCs w:val="28"/>
              </w:rPr>
              <w:fldChar w:fldCharType="separate"/>
            </w:r>
            <w:r w:rsidR="00A50A86">
              <w:rPr>
                <w:rFonts w:ascii="Times New Roman" w:hAnsi="Times New Roman" w:cs="Times New Roman"/>
                <w:noProof/>
                <w:webHidden/>
                <w:sz w:val="28"/>
                <w:szCs w:val="28"/>
              </w:rPr>
              <w:t>6</w:t>
            </w:r>
            <w:r w:rsidR="00A909F4" w:rsidRPr="00A909F4">
              <w:rPr>
                <w:rFonts w:ascii="Times New Roman" w:hAnsi="Times New Roman" w:cs="Times New Roman"/>
                <w:noProof/>
                <w:webHidden/>
                <w:sz w:val="28"/>
                <w:szCs w:val="28"/>
              </w:rPr>
              <w:fldChar w:fldCharType="end"/>
            </w:r>
          </w:hyperlink>
        </w:p>
        <w:p w14:paraId="0B6EBEF7" w14:textId="22B3DD6E" w:rsidR="00A909F4" w:rsidRPr="00A909F4" w:rsidRDefault="00E36248" w:rsidP="00A909F4">
          <w:pPr>
            <w:pStyle w:val="12"/>
            <w:tabs>
              <w:tab w:val="right" w:leader="dot" w:pos="9911"/>
            </w:tabs>
            <w:spacing w:after="0" w:line="360" w:lineRule="auto"/>
            <w:jc w:val="both"/>
            <w:rPr>
              <w:rFonts w:ascii="Times New Roman" w:eastAsiaTheme="minorEastAsia" w:hAnsi="Times New Roman" w:cs="Times New Roman"/>
              <w:noProof/>
              <w:kern w:val="2"/>
              <w:sz w:val="28"/>
              <w:szCs w:val="28"/>
              <w:lang w:eastAsia="ru-RU"/>
              <w14:ligatures w14:val="standardContextual"/>
            </w:rPr>
          </w:pPr>
          <w:hyperlink w:anchor="_Toc137414304" w:history="1">
            <w:r w:rsidR="00A909F4" w:rsidRPr="00A909F4">
              <w:rPr>
                <w:rStyle w:val="a6"/>
                <w:rFonts w:ascii="Times New Roman" w:hAnsi="Times New Roman" w:cs="Times New Roman"/>
                <w:noProof/>
                <w:sz w:val="28"/>
                <w:szCs w:val="28"/>
                <w:lang w:val="uk-UA"/>
              </w:rPr>
              <w:t>1.2 Формування й реалізація механізму забезпечення фінансової стійкості банку</w:t>
            </w:r>
            <w:r w:rsidR="00A909F4" w:rsidRPr="00A909F4">
              <w:rPr>
                <w:rFonts w:ascii="Times New Roman" w:hAnsi="Times New Roman" w:cs="Times New Roman"/>
                <w:noProof/>
                <w:webHidden/>
                <w:sz w:val="28"/>
                <w:szCs w:val="28"/>
              </w:rPr>
              <w:tab/>
            </w:r>
            <w:r w:rsidR="00A909F4" w:rsidRPr="00A909F4">
              <w:rPr>
                <w:rFonts w:ascii="Times New Roman" w:hAnsi="Times New Roman" w:cs="Times New Roman"/>
                <w:noProof/>
                <w:webHidden/>
                <w:sz w:val="28"/>
                <w:szCs w:val="28"/>
              </w:rPr>
              <w:fldChar w:fldCharType="begin"/>
            </w:r>
            <w:r w:rsidR="00A909F4" w:rsidRPr="00A909F4">
              <w:rPr>
                <w:rFonts w:ascii="Times New Roman" w:hAnsi="Times New Roman" w:cs="Times New Roman"/>
                <w:noProof/>
                <w:webHidden/>
                <w:sz w:val="28"/>
                <w:szCs w:val="28"/>
              </w:rPr>
              <w:instrText xml:space="preserve"> PAGEREF _Toc137414304 \h </w:instrText>
            </w:r>
            <w:r w:rsidR="00A909F4" w:rsidRPr="00A909F4">
              <w:rPr>
                <w:rFonts w:ascii="Times New Roman" w:hAnsi="Times New Roman" w:cs="Times New Roman"/>
                <w:noProof/>
                <w:webHidden/>
                <w:sz w:val="28"/>
                <w:szCs w:val="28"/>
              </w:rPr>
            </w:r>
            <w:r w:rsidR="00A909F4" w:rsidRPr="00A909F4">
              <w:rPr>
                <w:rFonts w:ascii="Times New Roman" w:hAnsi="Times New Roman" w:cs="Times New Roman"/>
                <w:noProof/>
                <w:webHidden/>
                <w:sz w:val="28"/>
                <w:szCs w:val="28"/>
              </w:rPr>
              <w:fldChar w:fldCharType="separate"/>
            </w:r>
            <w:r w:rsidR="00A50A86">
              <w:rPr>
                <w:rFonts w:ascii="Times New Roman" w:hAnsi="Times New Roman" w:cs="Times New Roman"/>
                <w:noProof/>
                <w:webHidden/>
                <w:sz w:val="28"/>
                <w:szCs w:val="28"/>
              </w:rPr>
              <w:t>14</w:t>
            </w:r>
            <w:r w:rsidR="00A909F4" w:rsidRPr="00A909F4">
              <w:rPr>
                <w:rFonts w:ascii="Times New Roman" w:hAnsi="Times New Roman" w:cs="Times New Roman"/>
                <w:noProof/>
                <w:webHidden/>
                <w:sz w:val="28"/>
                <w:szCs w:val="28"/>
              </w:rPr>
              <w:fldChar w:fldCharType="end"/>
            </w:r>
          </w:hyperlink>
        </w:p>
        <w:p w14:paraId="32A0B08B" w14:textId="367AADB4" w:rsidR="00A909F4" w:rsidRPr="00A909F4" w:rsidRDefault="00E36248" w:rsidP="00A909F4">
          <w:pPr>
            <w:pStyle w:val="21"/>
            <w:tabs>
              <w:tab w:val="right" w:leader="dot" w:pos="9911"/>
            </w:tabs>
            <w:rPr>
              <w:rFonts w:eastAsiaTheme="minorEastAsia"/>
              <w:kern w:val="2"/>
              <w:lang w:val="ru-RU"/>
              <w14:ligatures w14:val="standardContextual"/>
            </w:rPr>
          </w:pPr>
          <w:hyperlink w:anchor="_Toc137414305" w:history="1">
            <w:r w:rsidR="00A909F4" w:rsidRPr="00A909F4">
              <w:rPr>
                <w:rStyle w:val="a6"/>
                <w:caps/>
              </w:rPr>
              <w:t>2 ПРАКТИЧНІ АСПЕКТИ ЗАБЕЗПЕЧЕННЯ ФІНАНСОВОЇ СТІЙКОСТІ АТ КБ «ПРИВАТБАНК»</w:t>
            </w:r>
            <w:r w:rsidR="00A909F4" w:rsidRPr="00A909F4">
              <w:rPr>
                <w:webHidden/>
              </w:rPr>
              <w:tab/>
            </w:r>
            <w:r w:rsidR="00A909F4" w:rsidRPr="00A909F4">
              <w:rPr>
                <w:webHidden/>
              </w:rPr>
              <w:fldChar w:fldCharType="begin"/>
            </w:r>
            <w:r w:rsidR="00A909F4" w:rsidRPr="00A909F4">
              <w:rPr>
                <w:webHidden/>
              </w:rPr>
              <w:instrText xml:space="preserve"> PAGEREF _Toc137414305 \h </w:instrText>
            </w:r>
            <w:r w:rsidR="00A909F4" w:rsidRPr="00A909F4">
              <w:rPr>
                <w:webHidden/>
              </w:rPr>
            </w:r>
            <w:r w:rsidR="00A909F4" w:rsidRPr="00A909F4">
              <w:rPr>
                <w:webHidden/>
              </w:rPr>
              <w:fldChar w:fldCharType="separate"/>
            </w:r>
            <w:r w:rsidR="00A50A86">
              <w:rPr>
                <w:webHidden/>
              </w:rPr>
              <w:t>22</w:t>
            </w:r>
            <w:r w:rsidR="00A909F4" w:rsidRPr="00A909F4">
              <w:rPr>
                <w:webHidden/>
              </w:rPr>
              <w:fldChar w:fldCharType="end"/>
            </w:r>
          </w:hyperlink>
        </w:p>
        <w:p w14:paraId="59A1A1C8" w14:textId="4D9C5D16" w:rsidR="00A909F4" w:rsidRPr="00A909F4" w:rsidRDefault="00E36248" w:rsidP="00A909F4">
          <w:pPr>
            <w:pStyle w:val="21"/>
            <w:tabs>
              <w:tab w:val="right" w:leader="dot" w:pos="9911"/>
            </w:tabs>
            <w:rPr>
              <w:rFonts w:eastAsiaTheme="minorEastAsia"/>
              <w:kern w:val="2"/>
              <w:lang w:val="ru-RU"/>
              <w14:ligatures w14:val="standardContextual"/>
            </w:rPr>
          </w:pPr>
          <w:hyperlink w:anchor="_Toc137414306" w:history="1">
            <w:r w:rsidR="00A909F4" w:rsidRPr="00A909F4">
              <w:rPr>
                <w:rStyle w:val="a6"/>
                <w:caps/>
              </w:rPr>
              <w:t>2.1 А</w:t>
            </w:r>
            <w:r w:rsidR="00A909F4" w:rsidRPr="00A909F4">
              <w:rPr>
                <w:rStyle w:val="a6"/>
              </w:rPr>
              <w:t>наліз фінансової стійкості банківської системи України</w:t>
            </w:r>
            <w:r w:rsidR="00A909F4" w:rsidRPr="00A909F4">
              <w:rPr>
                <w:webHidden/>
              </w:rPr>
              <w:tab/>
            </w:r>
            <w:r w:rsidR="00A909F4" w:rsidRPr="00A909F4">
              <w:rPr>
                <w:webHidden/>
              </w:rPr>
              <w:fldChar w:fldCharType="begin"/>
            </w:r>
            <w:r w:rsidR="00A909F4" w:rsidRPr="00A909F4">
              <w:rPr>
                <w:webHidden/>
              </w:rPr>
              <w:instrText xml:space="preserve"> PAGEREF _Toc137414306 \h </w:instrText>
            </w:r>
            <w:r w:rsidR="00A909F4" w:rsidRPr="00A909F4">
              <w:rPr>
                <w:webHidden/>
              </w:rPr>
            </w:r>
            <w:r w:rsidR="00A909F4" w:rsidRPr="00A909F4">
              <w:rPr>
                <w:webHidden/>
              </w:rPr>
              <w:fldChar w:fldCharType="separate"/>
            </w:r>
            <w:r w:rsidR="00A50A86">
              <w:rPr>
                <w:webHidden/>
              </w:rPr>
              <w:t>22</w:t>
            </w:r>
            <w:r w:rsidR="00A909F4" w:rsidRPr="00A909F4">
              <w:rPr>
                <w:webHidden/>
              </w:rPr>
              <w:fldChar w:fldCharType="end"/>
            </w:r>
          </w:hyperlink>
        </w:p>
        <w:p w14:paraId="28C854F7" w14:textId="1AD91D54" w:rsidR="00A909F4" w:rsidRPr="00A909F4" w:rsidRDefault="00E36248" w:rsidP="00A909F4">
          <w:pPr>
            <w:pStyle w:val="21"/>
            <w:tabs>
              <w:tab w:val="right" w:leader="dot" w:pos="9911"/>
            </w:tabs>
            <w:rPr>
              <w:rFonts w:eastAsiaTheme="minorEastAsia"/>
              <w:kern w:val="2"/>
              <w:lang w:val="ru-RU"/>
              <w14:ligatures w14:val="standardContextual"/>
            </w:rPr>
          </w:pPr>
          <w:hyperlink w:anchor="_Toc137414307" w:history="1">
            <w:r w:rsidR="00A909F4" w:rsidRPr="00A909F4">
              <w:rPr>
                <w:rStyle w:val="a6"/>
                <w:caps/>
              </w:rPr>
              <w:t>2.2 А</w:t>
            </w:r>
            <w:r w:rsidR="00A909F4" w:rsidRPr="00A909F4">
              <w:rPr>
                <w:rStyle w:val="a6"/>
              </w:rPr>
              <w:t xml:space="preserve">наліз забезпечення фінансової стійкості </w:t>
            </w:r>
            <w:r w:rsidR="00A909F4" w:rsidRPr="00A909F4">
              <w:rPr>
                <w:rStyle w:val="a6"/>
                <w:caps/>
              </w:rPr>
              <w:t>АТ КБ «</w:t>
            </w:r>
            <w:r w:rsidR="00A909F4" w:rsidRPr="00A909F4">
              <w:rPr>
                <w:rStyle w:val="a6"/>
              </w:rPr>
              <w:t>ПриватБанк</w:t>
            </w:r>
            <w:r w:rsidR="00A909F4" w:rsidRPr="00A909F4">
              <w:rPr>
                <w:rStyle w:val="a6"/>
                <w:caps/>
              </w:rPr>
              <w:t>»</w:t>
            </w:r>
            <w:r w:rsidR="00A909F4" w:rsidRPr="00A909F4">
              <w:rPr>
                <w:webHidden/>
              </w:rPr>
              <w:tab/>
            </w:r>
            <w:r w:rsidR="00A909F4" w:rsidRPr="00A909F4">
              <w:rPr>
                <w:webHidden/>
              </w:rPr>
              <w:fldChar w:fldCharType="begin"/>
            </w:r>
            <w:r w:rsidR="00A909F4" w:rsidRPr="00A909F4">
              <w:rPr>
                <w:webHidden/>
              </w:rPr>
              <w:instrText xml:space="preserve"> PAGEREF _Toc137414307 \h </w:instrText>
            </w:r>
            <w:r w:rsidR="00A909F4" w:rsidRPr="00A909F4">
              <w:rPr>
                <w:webHidden/>
              </w:rPr>
            </w:r>
            <w:r w:rsidR="00A909F4" w:rsidRPr="00A909F4">
              <w:rPr>
                <w:webHidden/>
              </w:rPr>
              <w:fldChar w:fldCharType="separate"/>
            </w:r>
            <w:r w:rsidR="00A50A86">
              <w:rPr>
                <w:webHidden/>
              </w:rPr>
              <w:t>34</w:t>
            </w:r>
            <w:r w:rsidR="00A909F4" w:rsidRPr="00A909F4">
              <w:rPr>
                <w:webHidden/>
              </w:rPr>
              <w:fldChar w:fldCharType="end"/>
            </w:r>
          </w:hyperlink>
        </w:p>
        <w:p w14:paraId="2870635F" w14:textId="35C306D4" w:rsidR="00A909F4" w:rsidRPr="00A909F4" w:rsidRDefault="00E36248" w:rsidP="00A909F4">
          <w:pPr>
            <w:pStyle w:val="12"/>
            <w:tabs>
              <w:tab w:val="right" w:leader="dot" w:pos="9911"/>
            </w:tabs>
            <w:spacing w:after="0" w:line="360" w:lineRule="auto"/>
            <w:jc w:val="both"/>
            <w:rPr>
              <w:rFonts w:ascii="Times New Roman" w:eastAsiaTheme="minorEastAsia" w:hAnsi="Times New Roman" w:cs="Times New Roman"/>
              <w:noProof/>
              <w:kern w:val="2"/>
              <w:sz w:val="28"/>
              <w:szCs w:val="28"/>
              <w:lang w:eastAsia="ru-RU"/>
              <w14:ligatures w14:val="standardContextual"/>
            </w:rPr>
          </w:pPr>
          <w:hyperlink w:anchor="_Toc137414308" w:history="1">
            <w:r w:rsidR="00A909F4" w:rsidRPr="00A909F4">
              <w:rPr>
                <w:rStyle w:val="a6"/>
                <w:rFonts w:ascii="Times New Roman" w:hAnsi="Times New Roman" w:cs="Times New Roman"/>
                <w:noProof/>
                <w:sz w:val="28"/>
                <w:szCs w:val="28"/>
                <w:lang w:val="uk-UA"/>
              </w:rPr>
              <w:t>2.3 Обгрунтування впливу макрофакторів на фінансову стійкість банку</w:t>
            </w:r>
            <w:r w:rsidR="00A909F4" w:rsidRPr="00A909F4">
              <w:rPr>
                <w:rFonts w:ascii="Times New Roman" w:hAnsi="Times New Roman" w:cs="Times New Roman"/>
                <w:noProof/>
                <w:webHidden/>
                <w:sz w:val="28"/>
                <w:szCs w:val="28"/>
              </w:rPr>
              <w:tab/>
            </w:r>
            <w:r w:rsidR="00A909F4" w:rsidRPr="00A909F4">
              <w:rPr>
                <w:rFonts w:ascii="Times New Roman" w:hAnsi="Times New Roman" w:cs="Times New Roman"/>
                <w:noProof/>
                <w:webHidden/>
                <w:sz w:val="28"/>
                <w:szCs w:val="28"/>
              </w:rPr>
              <w:fldChar w:fldCharType="begin"/>
            </w:r>
            <w:r w:rsidR="00A909F4" w:rsidRPr="00A909F4">
              <w:rPr>
                <w:rFonts w:ascii="Times New Roman" w:hAnsi="Times New Roman" w:cs="Times New Roman"/>
                <w:noProof/>
                <w:webHidden/>
                <w:sz w:val="28"/>
                <w:szCs w:val="28"/>
              </w:rPr>
              <w:instrText xml:space="preserve"> PAGEREF _Toc137414308 \h </w:instrText>
            </w:r>
            <w:r w:rsidR="00A909F4" w:rsidRPr="00A909F4">
              <w:rPr>
                <w:rFonts w:ascii="Times New Roman" w:hAnsi="Times New Roman" w:cs="Times New Roman"/>
                <w:noProof/>
                <w:webHidden/>
                <w:sz w:val="28"/>
                <w:szCs w:val="28"/>
              </w:rPr>
            </w:r>
            <w:r w:rsidR="00A909F4" w:rsidRPr="00A909F4">
              <w:rPr>
                <w:rFonts w:ascii="Times New Roman" w:hAnsi="Times New Roman" w:cs="Times New Roman"/>
                <w:noProof/>
                <w:webHidden/>
                <w:sz w:val="28"/>
                <w:szCs w:val="28"/>
              </w:rPr>
              <w:fldChar w:fldCharType="separate"/>
            </w:r>
            <w:r w:rsidR="00A50A86">
              <w:rPr>
                <w:rFonts w:ascii="Times New Roman" w:hAnsi="Times New Roman" w:cs="Times New Roman"/>
                <w:noProof/>
                <w:webHidden/>
                <w:sz w:val="28"/>
                <w:szCs w:val="28"/>
              </w:rPr>
              <w:t>49</w:t>
            </w:r>
            <w:r w:rsidR="00A909F4" w:rsidRPr="00A909F4">
              <w:rPr>
                <w:rFonts w:ascii="Times New Roman" w:hAnsi="Times New Roman" w:cs="Times New Roman"/>
                <w:noProof/>
                <w:webHidden/>
                <w:sz w:val="28"/>
                <w:szCs w:val="28"/>
              </w:rPr>
              <w:fldChar w:fldCharType="end"/>
            </w:r>
          </w:hyperlink>
        </w:p>
        <w:p w14:paraId="7AA0EC9B" w14:textId="453F60E9" w:rsidR="00A909F4" w:rsidRPr="00A909F4" w:rsidRDefault="00E36248" w:rsidP="00A909F4">
          <w:pPr>
            <w:pStyle w:val="12"/>
            <w:tabs>
              <w:tab w:val="right" w:leader="dot" w:pos="9911"/>
            </w:tabs>
            <w:spacing w:after="0" w:line="360" w:lineRule="auto"/>
            <w:jc w:val="both"/>
            <w:rPr>
              <w:rFonts w:ascii="Times New Roman" w:eastAsiaTheme="minorEastAsia" w:hAnsi="Times New Roman" w:cs="Times New Roman"/>
              <w:noProof/>
              <w:kern w:val="2"/>
              <w:sz w:val="28"/>
              <w:szCs w:val="28"/>
              <w:lang w:eastAsia="ru-RU"/>
              <w14:ligatures w14:val="standardContextual"/>
            </w:rPr>
          </w:pPr>
          <w:hyperlink w:anchor="_Toc137414309" w:history="1">
            <w:r w:rsidR="00A909F4" w:rsidRPr="00A909F4">
              <w:rPr>
                <w:rStyle w:val="a6"/>
                <w:rFonts w:ascii="Times New Roman" w:hAnsi="Times New Roman" w:cs="Times New Roman"/>
                <w:noProof/>
                <w:sz w:val="28"/>
                <w:szCs w:val="28"/>
                <w:lang w:val="uk-UA"/>
              </w:rPr>
              <w:t>ВИСНОВКИ</w:t>
            </w:r>
            <w:r w:rsidR="00A909F4" w:rsidRPr="00A909F4">
              <w:rPr>
                <w:rFonts w:ascii="Times New Roman" w:hAnsi="Times New Roman" w:cs="Times New Roman"/>
                <w:noProof/>
                <w:webHidden/>
                <w:sz w:val="28"/>
                <w:szCs w:val="28"/>
              </w:rPr>
              <w:tab/>
            </w:r>
            <w:r w:rsidR="00A909F4" w:rsidRPr="00A909F4">
              <w:rPr>
                <w:rFonts w:ascii="Times New Roman" w:hAnsi="Times New Roman" w:cs="Times New Roman"/>
                <w:noProof/>
                <w:webHidden/>
                <w:sz w:val="28"/>
                <w:szCs w:val="28"/>
              </w:rPr>
              <w:fldChar w:fldCharType="begin"/>
            </w:r>
            <w:r w:rsidR="00A909F4" w:rsidRPr="00A909F4">
              <w:rPr>
                <w:rFonts w:ascii="Times New Roman" w:hAnsi="Times New Roman" w:cs="Times New Roman"/>
                <w:noProof/>
                <w:webHidden/>
                <w:sz w:val="28"/>
                <w:szCs w:val="28"/>
              </w:rPr>
              <w:instrText xml:space="preserve"> PAGEREF _Toc137414309 \h </w:instrText>
            </w:r>
            <w:r w:rsidR="00A909F4" w:rsidRPr="00A909F4">
              <w:rPr>
                <w:rFonts w:ascii="Times New Roman" w:hAnsi="Times New Roman" w:cs="Times New Roman"/>
                <w:noProof/>
                <w:webHidden/>
                <w:sz w:val="28"/>
                <w:szCs w:val="28"/>
              </w:rPr>
            </w:r>
            <w:r w:rsidR="00A909F4" w:rsidRPr="00A909F4">
              <w:rPr>
                <w:rFonts w:ascii="Times New Roman" w:hAnsi="Times New Roman" w:cs="Times New Roman"/>
                <w:noProof/>
                <w:webHidden/>
                <w:sz w:val="28"/>
                <w:szCs w:val="28"/>
              </w:rPr>
              <w:fldChar w:fldCharType="separate"/>
            </w:r>
            <w:r w:rsidR="00A50A86">
              <w:rPr>
                <w:rFonts w:ascii="Times New Roman" w:hAnsi="Times New Roman" w:cs="Times New Roman"/>
                <w:noProof/>
                <w:webHidden/>
                <w:sz w:val="28"/>
                <w:szCs w:val="28"/>
              </w:rPr>
              <w:t>54</w:t>
            </w:r>
            <w:r w:rsidR="00A909F4" w:rsidRPr="00A909F4">
              <w:rPr>
                <w:rFonts w:ascii="Times New Roman" w:hAnsi="Times New Roman" w:cs="Times New Roman"/>
                <w:noProof/>
                <w:webHidden/>
                <w:sz w:val="28"/>
                <w:szCs w:val="28"/>
              </w:rPr>
              <w:fldChar w:fldCharType="end"/>
            </w:r>
          </w:hyperlink>
        </w:p>
        <w:p w14:paraId="0AA1DFE3" w14:textId="5D6A413D" w:rsidR="00A909F4" w:rsidRPr="00A909F4" w:rsidRDefault="00E36248" w:rsidP="00A909F4">
          <w:pPr>
            <w:pStyle w:val="12"/>
            <w:tabs>
              <w:tab w:val="right" w:leader="dot" w:pos="9911"/>
            </w:tabs>
            <w:spacing w:after="0" w:line="360" w:lineRule="auto"/>
            <w:jc w:val="both"/>
            <w:rPr>
              <w:rFonts w:ascii="Times New Roman" w:eastAsiaTheme="minorEastAsia" w:hAnsi="Times New Roman" w:cs="Times New Roman"/>
              <w:noProof/>
              <w:kern w:val="2"/>
              <w:sz w:val="28"/>
              <w:szCs w:val="28"/>
              <w:lang w:eastAsia="ru-RU"/>
              <w14:ligatures w14:val="standardContextual"/>
            </w:rPr>
          </w:pPr>
          <w:hyperlink w:anchor="_Toc137414310" w:history="1">
            <w:r w:rsidR="00A909F4" w:rsidRPr="00A909F4">
              <w:rPr>
                <w:rStyle w:val="a6"/>
                <w:rFonts w:ascii="Times New Roman" w:hAnsi="Times New Roman" w:cs="Times New Roman"/>
                <w:noProof/>
                <w:sz w:val="28"/>
                <w:szCs w:val="28"/>
                <w:lang w:val="uk-UA"/>
              </w:rPr>
              <w:t>СПИСОК ВИКОРИСТАНИХ ДЖЕРЕЛ</w:t>
            </w:r>
            <w:r w:rsidR="00A909F4" w:rsidRPr="00A909F4">
              <w:rPr>
                <w:rFonts w:ascii="Times New Roman" w:hAnsi="Times New Roman" w:cs="Times New Roman"/>
                <w:noProof/>
                <w:webHidden/>
                <w:sz w:val="28"/>
                <w:szCs w:val="28"/>
              </w:rPr>
              <w:tab/>
            </w:r>
            <w:r w:rsidR="00A909F4" w:rsidRPr="00A909F4">
              <w:rPr>
                <w:rFonts w:ascii="Times New Roman" w:hAnsi="Times New Roman" w:cs="Times New Roman"/>
                <w:noProof/>
                <w:webHidden/>
                <w:sz w:val="28"/>
                <w:szCs w:val="28"/>
              </w:rPr>
              <w:fldChar w:fldCharType="begin"/>
            </w:r>
            <w:r w:rsidR="00A909F4" w:rsidRPr="00A909F4">
              <w:rPr>
                <w:rFonts w:ascii="Times New Roman" w:hAnsi="Times New Roman" w:cs="Times New Roman"/>
                <w:noProof/>
                <w:webHidden/>
                <w:sz w:val="28"/>
                <w:szCs w:val="28"/>
              </w:rPr>
              <w:instrText xml:space="preserve"> PAGEREF _Toc137414310 \h </w:instrText>
            </w:r>
            <w:r w:rsidR="00A909F4" w:rsidRPr="00A909F4">
              <w:rPr>
                <w:rFonts w:ascii="Times New Roman" w:hAnsi="Times New Roman" w:cs="Times New Roman"/>
                <w:noProof/>
                <w:webHidden/>
                <w:sz w:val="28"/>
                <w:szCs w:val="28"/>
              </w:rPr>
            </w:r>
            <w:r w:rsidR="00A909F4" w:rsidRPr="00A909F4">
              <w:rPr>
                <w:rFonts w:ascii="Times New Roman" w:hAnsi="Times New Roman" w:cs="Times New Roman"/>
                <w:noProof/>
                <w:webHidden/>
                <w:sz w:val="28"/>
                <w:szCs w:val="28"/>
              </w:rPr>
              <w:fldChar w:fldCharType="separate"/>
            </w:r>
            <w:r w:rsidR="00A50A86">
              <w:rPr>
                <w:rFonts w:ascii="Times New Roman" w:hAnsi="Times New Roman" w:cs="Times New Roman"/>
                <w:noProof/>
                <w:webHidden/>
                <w:sz w:val="28"/>
                <w:szCs w:val="28"/>
              </w:rPr>
              <w:t>57</w:t>
            </w:r>
            <w:r w:rsidR="00A909F4" w:rsidRPr="00A909F4">
              <w:rPr>
                <w:rFonts w:ascii="Times New Roman" w:hAnsi="Times New Roman" w:cs="Times New Roman"/>
                <w:noProof/>
                <w:webHidden/>
                <w:sz w:val="28"/>
                <w:szCs w:val="28"/>
              </w:rPr>
              <w:fldChar w:fldCharType="end"/>
            </w:r>
          </w:hyperlink>
        </w:p>
        <w:p w14:paraId="7F16B864" w14:textId="03E809F9" w:rsidR="00A909F4" w:rsidRPr="00A909F4" w:rsidRDefault="00E36248" w:rsidP="00A909F4">
          <w:pPr>
            <w:pStyle w:val="12"/>
            <w:tabs>
              <w:tab w:val="right" w:leader="dot" w:pos="9911"/>
            </w:tabs>
            <w:spacing w:after="0" w:line="360" w:lineRule="auto"/>
            <w:jc w:val="both"/>
            <w:rPr>
              <w:rFonts w:ascii="Times New Roman" w:eastAsiaTheme="minorEastAsia" w:hAnsi="Times New Roman" w:cs="Times New Roman"/>
              <w:noProof/>
              <w:kern w:val="2"/>
              <w:sz w:val="28"/>
              <w:szCs w:val="28"/>
              <w:lang w:eastAsia="ru-RU"/>
              <w14:ligatures w14:val="standardContextual"/>
            </w:rPr>
          </w:pPr>
          <w:hyperlink w:anchor="_Toc137414311" w:history="1">
            <w:r w:rsidR="00A909F4" w:rsidRPr="00A909F4">
              <w:rPr>
                <w:rStyle w:val="a6"/>
                <w:rFonts w:ascii="Times New Roman" w:hAnsi="Times New Roman" w:cs="Times New Roman"/>
                <w:noProof/>
                <w:sz w:val="28"/>
                <w:szCs w:val="28"/>
                <w:lang w:val="uk-UA"/>
              </w:rPr>
              <w:t>ДОДАТОК А ДОСЛІДЖЕННЯ ПОНЯТТЯ ФІНАНСОВОЇ СТІЙКОСТІ БАНКУ</w:t>
            </w:r>
            <w:r w:rsidR="00A909F4" w:rsidRPr="00A909F4">
              <w:rPr>
                <w:rFonts w:ascii="Times New Roman" w:hAnsi="Times New Roman" w:cs="Times New Roman"/>
                <w:noProof/>
                <w:webHidden/>
                <w:sz w:val="28"/>
                <w:szCs w:val="28"/>
              </w:rPr>
              <w:tab/>
            </w:r>
            <w:r w:rsidR="00A909F4" w:rsidRPr="00A909F4">
              <w:rPr>
                <w:rFonts w:ascii="Times New Roman" w:hAnsi="Times New Roman" w:cs="Times New Roman"/>
                <w:noProof/>
                <w:webHidden/>
                <w:sz w:val="28"/>
                <w:szCs w:val="28"/>
              </w:rPr>
              <w:fldChar w:fldCharType="begin"/>
            </w:r>
            <w:r w:rsidR="00A909F4" w:rsidRPr="00A909F4">
              <w:rPr>
                <w:rFonts w:ascii="Times New Roman" w:hAnsi="Times New Roman" w:cs="Times New Roman"/>
                <w:noProof/>
                <w:webHidden/>
                <w:sz w:val="28"/>
                <w:szCs w:val="28"/>
              </w:rPr>
              <w:instrText xml:space="preserve"> PAGEREF _Toc137414311 \h </w:instrText>
            </w:r>
            <w:r w:rsidR="00A909F4" w:rsidRPr="00A909F4">
              <w:rPr>
                <w:rFonts w:ascii="Times New Roman" w:hAnsi="Times New Roman" w:cs="Times New Roman"/>
                <w:noProof/>
                <w:webHidden/>
                <w:sz w:val="28"/>
                <w:szCs w:val="28"/>
              </w:rPr>
            </w:r>
            <w:r w:rsidR="00A909F4" w:rsidRPr="00A909F4">
              <w:rPr>
                <w:rFonts w:ascii="Times New Roman" w:hAnsi="Times New Roman" w:cs="Times New Roman"/>
                <w:noProof/>
                <w:webHidden/>
                <w:sz w:val="28"/>
                <w:szCs w:val="28"/>
              </w:rPr>
              <w:fldChar w:fldCharType="separate"/>
            </w:r>
            <w:r w:rsidR="00A50A86">
              <w:rPr>
                <w:rFonts w:ascii="Times New Roman" w:hAnsi="Times New Roman" w:cs="Times New Roman"/>
                <w:noProof/>
                <w:webHidden/>
                <w:sz w:val="28"/>
                <w:szCs w:val="28"/>
              </w:rPr>
              <w:t>65</w:t>
            </w:r>
            <w:r w:rsidR="00A909F4" w:rsidRPr="00A909F4">
              <w:rPr>
                <w:rFonts w:ascii="Times New Roman" w:hAnsi="Times New Roman" w:cs="Times New Roman"/>
                <w:noProof/>
                <w:webHidden/>
                <w:sz w:val="28"/>
                <w:szCs w:val="28"/>
              </w:rPr>
              <w:fldChar w:fldCharType="end"/>
            </w:r>
          </w:hyperlink>
        </w:p>
        <w:p w14:paraId="25ACC59F" w14:textId="7D09C85E" w:rsidR="00A909F4" w:rsidRPr="00A909F4" w:rsidRDefault="00E36248" w:rsidP="00A909F4">
          <w:pPr>
            <w:pStyle w:val="12"/>
            <w:tabs>
              <w:tab w:val="right" w:leader="dot" w:pos="9911"/>
            </w:tabs>
            <w:spacing w:after="0" w:line="360" w:lineRule="auto"/>
            <w:jc w:val="both"/>
            <w:rPr>
              <w:rFonts w:ascii="Times New Roman" w:eastAsiaTheme="minorEastAsia" w:hAnsi="Times New Roman" w:cs="Times New Roman"/>
              <w:noProof/>
              <w:kern w:val="2"/>
              <w:sz w:val="28"/>
              <w:szCs w:val="28"/>
              <w:lang w:eastAsia="ru-RU"/>
              <w14:ligatures w14:val="standardContextual"/>
            </w:rPr>
          </w:pPr>
          <w:hyperlink w:anchor="_Toc137414312" w:history="1">
            <w:r w:rsidR="00A909F4" w:rsidRPr="00A909F4">
              <w:rPr>
                <w:rStyle w:val="a6"/>
                <w:rFonts w:ascii="Times New Roman" w:hAnsi="Times New Roman" w:cs="Times New Roman"/>
                <w:noProof/>
                <w:sz w:val="28"/>
                <w:szCs w:val="28"/>
                <w:lang w:val="uk-UA"/>
              </w:rPr>
              <w:t>ДОДАТОК Б КЛАСИФІКАЦІЯ ФІНАНСОВОЇ СТІЙКОСТІ БАНКУ</w:t>
            </w:r>
            <w:r w:rsidR="00A909F4" w:rsidRPr="00A909F4">
              <w:rPr>
                <w:rFonts w:ascii="Times New Roman" w:hAnsi="Times New Roman" w:cs="Times New Roman"/>
                <w:noProof/>
                <w:webHidden/>
                <w:sz w:val="28"/>
                <w:szCs w:val="28"/>
              </w:rPr>
              <w:tab/>
            </w:r>
            <w:r w:rsidR="00A909F4" w:rsidRPr="00A909F4">
              <w:rPr>
                <w:rFonts w:ascii="Times New Roman" w:hAnsi="Times New Roman" w:cs="Times New Roman"/>
                <w:noProof/>
                <w:webHidden/>
                <w:sz w:val="28"/>
                <w:szCs w:val="28"/>
              </w:rPr>
              <w:fldChar w:fldCharType="begin"/>
            </w:r>
            <w:r w:rsidR="00A909F4" w:rsidRPr="00A909F4">
              <w:rPr>
                <w:rFonts w:ascii="Times New Roman" w:hAnsi="Times New Roman" w:cs="Times New Roman"/>
                <w:noProof/>
                <w:webHidden/>
                <w:sz w:val="28"/>
                <w:szCs w:val="28"/>
              </w:rPr>
              <w:instrText xml:space="preserve"> PAGEREF _Toc137414312 \h </w:instrText>
            </w:r>
            <w:r w:rsidR="00A909F4" w:rsidRPr="00A909F4">
              <w:rPr>
                <w:rFonts w:ascii="Times New Roman" w:hAnsi="Times New Roman" w:cs="Times New Roman"/>
                <w:noProof/>
                <w:webHidden/>
                <w:sz w:val="28"/>
                <w:szCs w:val="28"/>
              </w:rPr>
            </w:r>
            <w:r w:rsidR="00A909F4" w:rsidRPr="00A909F4">
              <w:rPr>
                <w:rFonts w:ascii="Times New Roman" w:hAnsi="Times New Roman" w:cs="Times New Roman"/>
                <w:noProof/>
                <w:webHidden/>
                <w:sz w:val="28"/>
                <w:szCs w:val="28"/>
              </w:rPr>
              <w:fldChar w:fldCharType="separate"/>
            </w:r>
            <w:r w:rsidR="00A50A86">
              <w:rPr>
                <w:rFonts w:ascii="Times New Roman" w:hAnsi="Times New Roman" w:cs="Times New Roman"/>
                <w:noProof/>
                <w:webHidden/>
                <w:sz w:val="28"/>
                <w:szCs w:val="28"/>
              </w:rPr>
              <w:t>66</w:t>
            </w:r>
            <w:r w:rsidR="00A909F4" w:rsidRPr="00A909F4">
              <w:rPr>
                <w:rFonts w:ascii="Times New Roman" w:hAnsi="Times New Roman" w:cs="Times New Roman"/>
                <w:noProof/>
                <w:webHidden/>
                <w:sz w:val="28"/>
                <w:szCs w:val="28"/>
              </w:rPr>
              <w:fldChar w:fldCharType="end"/>
            </w:r>
          </w:hyperlink>
        </w:p>
        <w:p w14:paraId="702630D0" w14:textId="156BE161" w:rsidR="00A909F4" w:rsidRPr="00A909F4" w:rsidRDefault="00E36248" w:rsidP="00A909F4">
          <w:pPr>
            <w:pStyle w:val="12"/>
            <w:tabs>
              <w:tab w:val="right" w:leader="dot" w:pos="9911"/>
            </w:tabs>
            <w:spacing w:after="0" w:line="360" w:lineRule="auto"/>
            <w:jc w:val="both"/>
            <w:rPr>
              <w:rFonts w:ascii="Times New Roman" w:eastAsiaTheme="minorEastAsia" w:hAnsi="Times New Roman" w:cs="Times New Roman"/>
              <w:noProof/>
              <w:kern w:val="2"/>
              <w:sz w:val="28"/>
              <w:szCs w:val="28"/>
              <w:lang w:eastAsia="ru-RU"/>
              <w14:ligatures w14:val="standardContextual"/>
            </w:rPr>
          </w:pPr>
          <w:hyperlink w:anchor="_Toc137414313" w:history="1">
            <w:r w:rsidR="00A909F4" w:rsidRPr="00A909F4">
              <w:rPr>
                <w:rStyle w:val="a6"/>
                <w:rFonts w:ascii="Times New Roman" w:hAnsi="Times New Roman" w:cs="Times New Roman"/>
                <w:noProof/>
                <w:sz w:val="28"/>
                <w:szCs w:val="28"/>
                <w:lang w:val="uk-UA"/>
              </w:rPr>
              <w:t>ДОДАТОК В СТРУКТУРИЗАЦІЯ ФАКТОРІВ ВПЛИВУ НА ФСБ</w:t>
            </w:r>
            <w:r w:rsidR="00A909F4" w:rsidRPr="00A909F4">
              <w:rPr>
                <w:rFonts w:ascii="Times New Roman" w:hAnsi="Times New Roman" w:cs="Times New Roman"/>
                <w:noProof/>
                <w:webHidden/>
                <w:sz w:val="28"/>
                <w:szCs w:val="28"/>
              </w:rPr>
              <w:tab/>
            </w:r>
            <w:r w:rsidR="00A909F4" w:rsidRPr="00A909F4">
              <w:rPr>
                <w:rFonts w:ascii="Times New Roman" w:hAnsi="Times New Roman" w:cs="Times New Roman"/>
                <w:noProof/>
                <w:webHidden/>
                <w:sz w:val="28"/>
                <w:szCs w:val="28"/>
              </w:rPr>
              <w:fldChar w:fldCharType="begin"/>
            </w:r>
            <w:r w:rsidR="00A909F4" w:rsidRPr="00A909F4">
              <w:rPr>
                <w:rFonts w:ascii="Times New Roman" w:hAnsi="Times New Roman" w:cs="Times New Roman"/>
                <w:noProof/>
                <w:webHidden/>
                <w:sz w:val="28"/>
                <w:szCs w:val="28"/>
              </w:rPr>
              <w:instrText xml:space="preserve"> PAGEREF _Toc137414313 \h </w:instrText>
            </w:r>
            <w:r w:rsidR="00A909F4" w:rsidRPr="00A909F4">
              <w:rPr>
                <w:rFonts w:ascii="Times New Roman" w:hAnsi="Times New Roman" w:cs="Times New Roman"/>
                <w:noProof/>
                <w:webHidden/>
                <w:sz w:val="28"/>
                <w:szCs w:val="28"/>
              </w:rPr>
            </w:r>
            <w:r w:rsidR="00A909F4" w:rsidRPr="00A909F4">
              <w:rPr>
                <w:rFonts w:ascii="Times New Roman" w:hAnsi="Times New Roman" w:cs="Times New Roman"/>
                <w:noProof/>
                <w:webHidden/>
                <w:sz w:val="28"/>
                <w:szCs w:val="28"/>
              </w:rPr>
              <w:fldChar w:fldCharType="separate"/>
            </w:r>
            <w:r w:rsidR="00A50A86">
              <w:rPr>
                <w:rFonts w:ascii="Times New Roman" w:hAnsi="Times New Roman" w:cs="Times New Roman"/>
                <w:noProof/>
                <w:webHidden/>
                <w:sz w:val="28"/>
                <w:szCs w:val="28"/>
              </w:rPr>
              <w:t>68</w:t>
            </w:r>
            <w:r w:rsidR="00A909F4" w:rsidRPr="00A909F4">
              <w:rPr>
                <w:rFonts w:ascii="Times New Roman" w:hAnsi="Times New Roman" w:cs="Times New Roman"/>
                <w:noProof/>
                <w:webHidden/>
                <w:sz w:val="28"/>
                <w:szCs w:val="28"/>
              </w:rPr>
              <w:fldChar w:fldCharType="end"/>
            </w:r>
          </w:hyperlink>
        </w:p>
        <w:p w14:paraId="042B836B" w14:textId="544738D7" w:rsidR="00A909F4" w:rsidRPr="00A909F4" w:rsidRDefault="00E36248" w:rsidP="00A909F4">
          <w:pPr>
            <w:pStyle w:val="12"/>
            <w:tabs>
              <w:tab w:val="right" w:leader="dot" w:pos="9911"/>
            </w:tabs>
            <w:spacing w:after="0" w:line="360" w:lineRule="auto"/>
            <w:jc w:val="both"/>
            <w:rPr>
              <w:rFonts w:ascii="Times New Roman" w:eastAsiaTheme="minorEastAsia" w:hAnsi="Times New Roman" w:cs="Times New Roman"/>
              <w:noProof/>
              <w:kern w:val="2"/>
              <w:sz w:val="28"/>
              <w:szCs w:val="28"/>
              <w:lang w:eastAsia="ru-RU"/>
              <w14:ligatures w14:val="standardContextual"/>
            </w:rPr>
          </w:pPr>
          <w:hyperlink w:anchor="_Toc137414314" w:history="1">
            <w:r w:rsidR="00A909F4" w:rsidRPr="00A909F4">
              <w:rPr>
                <w:rStyle w:val="a6"/>
                <w:rFonts w:ascii="Times New Roman" w:hAnsi="Times New Roman" w:cs="Times New Roman"/>
                <w:noProof/>
                <w:sz w:val="28"/>
                <w:szCs w:val="28"/>
                <w:lang w:val="uk-UA"/>
              </w:rPr>
              <w:t>ДОДАТОК Г ІНСТРУМЕНТАРІЙ АНАЛІЗУ ФСБ</w:t>
            </w:r>
            <w:r w:rsidR="00A909F4" w:rsidRPr="00A909F4">
              <w:rPr>
                <w:rFonts w:ascii="Times New Roman" w:hAnsi="Times New Roman" w:cs="Times New Roman"/>
                <w:noProof/>
                <w:webHidden/>
                <w:sz w:val="28"/>
                <w:szCs w:val="28"/>
              </w:rPr>
              <w:tab/>
            </w:r>
            <w:r w:rsidR="00A909F4" w:rsidRPr="00A909F4">
              <w:rPr>
                <w:rFonts w:ascii="Times New Roman" w:hAnsi="Times New Roman" w:cs="Times New Roman"/>
                <w:noProof/>
                <w:webHidden/>
                <w:sz w:val="28"/>
                <w:szCs w:val="28"/>
              </w:rPr>
              <w:fldChar w:fldCharType="begin"/>
            </w:r>
            <w:r w:rsidR="00A909F4" w:rsidRPr="00A909F4">
              <w:rPr>
                <w:rFonts w:ascii="Times New Roman" w:hAnsi="Times New Roman" w:cs="Times New Roman"/>
                <w:noProof/>
                <w:webHidden/>
                <w:sz w:val="28"/>
                <w:szCs w:val="28"/>
              </w:rPr>
              <w:instrText xml:space="preserve"> PAGEREF _Toc137414314 \h </w:instrText>
            </w:r>
            <w:r w:rsidR="00A909F4" w:rsidRPr="00A909F4">
              <w:rPr>
                <w:rFonts w:ascii="Times New Roman" w:hAnsi="Times New Roman" w:cs="Times New Roman"/>
                <w:noProof/>
                <w:webHidden/>
                <w:sz w:val="28"/>
                <w:szCs w:val="28"/>
              </w:rPr>
            </w:r>
            <w:r w:rsidR="00A909F4" w:rsidRPr="00A909F4">
              <w:rPr>
                <w:rFonts w:ascii="Times New Roman" w:hAnsi="Times New Roman" w:cs="Times New Roman"/>
                <w:noProof/>
                <w:webHidden/>
                <w:sz w:val="28"/>
                <w:szCs w:val="28"/>
              </w:rPr>
              <w:fldChar w:fldCharType="separate"/>
            </w:r>
            <w:r w:rsidR="00A50A86">
              <w:rPr>
                <w:rFonts w:ascii="Times New Roman" w:hAnsi="Times New Roman" w:cs="Times New Roman"/>
                <w:noProof/>
                <w:webHidden/>
                <w:sz w:val="28"/>
                <w:szCs w:val="28"/>
              </w:rPr>
              <w:t>70</w:t>
            </w:r>
            <w:r w:rsidR="00A909F4" w:rsidRPr="00A909F4">
              <w:rPr>
                <w:rFonts w:ascii="Times New Roman" w:hAnsi="Times New Roman" w:cs="Times New Roman"/>
                <w:noProof/>
                <w:webHidden/>
                <w:sz w:val="28"/>
                <w:szCs w:val="28"/>
              </w:rPr>
              <w:fldChar w:fldCharType="end"/>
            </w:r>
          </w:hyperlink>
        </w:p>
        <w:p w14:paraId="145D4A0F" w14:textId="37754B41" w:rsidR="00A909F4" w:rsidRPr="00A909F4" w:rsidRDefault="00E36248" w:rsidP="00A909F4">
          <w:pPr>
            <w:pStyle w:val="12"/>
            <w:tabs>
              <w:tab w:val="right" w:leader="dot" w:pos="9911"/>
            </w:tabs>
            <w:spacing w:after="0" w:line="360" w:lineRule="auto"/>
            <w:jc w:val="both"/>
            <w:rPr>
              <w:rFonts w:ascii="Times New Roman" w:eastAsiaTheme="minorEastAsia" w:hAnsi="Times New Roman" w:cs="Times New Roman"/>
              <w:noProof/>
              <w:kern w:val="2"/>
              <w:sz w:val="28"/>
              <w:szCs w:val="28"/>
              <w:lang w:eastAsia="ru-RU"/>
              <w14:ligatures w14:val="standardContextual"/>
            </w:rPr>
          </w:pPr>
          <w:hyperlink w:anchor="_Toc137414315" w:history="1">
            <w:r w:rsidR="00A909F4" w:rsidRPr="00A909F4">
              <w:rPr>
                <w:rStyle w:val="a6"/>
                <w:rFonts w:ascii="Times New Roman" w:hAnsi="Times New Roman" w:cs="Times New Roman"/>
                <w:noProof/>
                <w:sz w:val="28"/>
                <w:szCs w:val="28"/>
                <w:lang w:val="uk-UA"/>
              </w:rPr>
              <w:t>ДОДАТОК Д ОСНОВНІ КОЕФІЦІЄНТИ, ЩО МОЖУТЬ ВИКОРИСТОВУВАТИСЬ ДЛЯ АНАЛІЗУ ФСБ</w:t>
            </w:r>
            <w:r w:rsidR="00A909F4" w:rsidRPr="00A909F4">
              <w:rPr>
                <w:rFonts w:ascii="Times New Roman" w:hAnsi="Times New Roman" w:cs="Times New Roman"/>
                <w:noProof/>
                <w:webHidden/>
                <w:sz w:val="28"/>
                <w:szCs w:val="28"/>
              </w:rPr>
              <w:tab/>
            </w:r>
            <w:r w:rsidR="00A909F4" w:rsidRPr="00A909F4">
              <w:rPr>
                <w:rFonts w:ascii="Times New Roman" w:hAnsi="Times New Roman" w:cs="Times New Roman"/>
                <w:noProof/>
                <w:webHidden/>
                <w:sz w:val="28"/>
                <w:szCs w:val="28"/>
              </w:rPr>
              <w:fldChar w:fldCharType="begin"/>
            </w:r>
            <w:r w:rsidR="00A909F4" w:rsidRPr="00A909F4">
              <w:rPr>
                <w:rFonts w:ascii="Times New Roman" w:hAnsi="Times New Roman" w:cs="Times New Roman"/>
                <w:noProof/>
                <w:webHidden/>
                <w:sz w:val="28"/>
                <w:szCs w:val="28"/>
              </w:rPr>
              <w:instrText xml:space="preserve"> PAGEREF _Toc137414315 \h </w:instrText>
            </w:r>
            <w:r w:rsidR="00A909F4" w:rsidRPr="00A909F4">
              <w:rPr>
                <w:rFonts w:ascii="Times New Roman" w:hAnsi="Times New Roman" w:cs="Times New Roman"/>
                <w:noProof/>
                <w:webHidden/>
                <w:sz w:val="28"/>
                <w:szCs w:val="28"/>
              </w:rPr>
            </w:r>
            <w:r w:rsidR="00A909F4" w:rsidRPr="00A909F4">
              <w:rPr>
                <w:rFonts w:ascii="Times New Roman" w:hAnsi="Times New Roman" w:cs="Times New Roman"/>
                <w:noProof/>
                <w:webHidden/>
                <w:sz w:val="28"/>
                <w:szCs w:val="28"/>
              </w:rPr>
              <w:fldChar w:fldCharType="separate"/>
            </w:r>
            <w:r w:rsidR="00A50A86">
              <w:rPr>
                <w:rFonts w:ascii="Times New Roman" w:hAnsi="Times New Roman" w:cs="Times New Roman"/>
                <w:noProof/>
                <w:webHidden/>
                <w:sz w:val="28"/>
                <w:szCs w:val="28"/>
              </w:rPr>
              <w:t>71</w:t>
            </w:r>
            <w:r w:rsidR="00A909F4" w:rsidRPr="00A909F4">
              <w:rPr>
                <w:rFonts w:ascii="Times New Roman" w:hAnsi="Times New Roman" w:cs="Times New Roman"/>
                <w:noProof/>
                <w:webHidden/>
                <w:sz w:val="28"/>
                <w:szCs w:val="28"/>
              </w:rPr>
              <w:fldChar w:fldCharType="end"/>
            </w:r>
          </w:hyperlink>
        </w:p>
        <w:p w14:paraId="59EEDF0A" w14:textId="6351078A" w:rsidR="00A909F4" w:rsidRPr="00A909F4" w:rsidRDefault="00E36248" w:rsidP="00A909F4">
          <w:pPr>
            <w:pStyle w:val="21"/>
            <w:tabs>
              <w:tab w:val="right" w:leader="dot" w:pos="9911"/>
            </w:tabs>
            <w:rPr>
              <w:rFonts w:eastAsiaTheme="minorEastAsia"/>
              <w:kern w:val="2"/>
              <w:lang w:val="ru-RU"/>
              <w14:ligatures w14:val="standardContextual"/>
            </w:rPr>
          </w:pPr>
          <w:hyperlink w:anchor="_Toc137414316" w:history="1">
            <w:r w:rsidR="00A909F4" w:rsidRPr="00A909F4">
              <w:rPr>
                <w:rStyle w:val="a6"/>
                <w:caps/>
              </w:rPr>
              <w:t xml:space="preserve">ДОДАТОК Е </w:t>
            </w:r>
            <w:r w:rsidR="00A909F4" w:rsidRPr="00A909F4">
              <w:rPr>
                <w:rStyle w:val="a6"/>
              </w:rPr>
              <w:t>ДЕТАЛІЗАЦІЯ СУБ’ЄКТІВ ЗАБЕЗПЕЧЕННЯ ФІНАНСОВОЇ СТІЙКОСТІ АТ КБ «ПРИВАТБАНК»</w:t>
            </w:r>
            <w:r w:rsidR="00A909F4" w:rsidRPr="00A909F4">
              <w:rPr>
                <w:webHidden/>
              </w:rPr>
              <w:tab/>
            </w:r>
            <w:r w:rsidR="00A909F4" w:rsidRPr="00A909F4">
              <w:rPr>
                <w:webHidden/>
              </w:rPr>
              <w:fldChar w:fldCharType="begin"/>
            </w:r>
            <w:r w:rsidR="00A909F4" w:rsidRPr="00A909F4">
              <w:rPr>
                <w:webHidden/>
              </w:rPr>
              <w:instrText xml:space="preserve"> PAGEREF _Toc137414316 \h </w:instrText>
            </w:r>
            <w:r w:rsidR="00A909F4" w:rsidRPr="00A909F4">
              <w:rPr>
                <w:webHidden/>
              </w:rPr>
            </w:r>
            <w:r w:rsidR="00A909F4" w:rsidRPr="00A909F4">
              <w:rPr>
                <w:webHidden/>
              </w:rPr>
              <w:fldChar w:fldCharType="separate"/>
            </w:r>
            <w:r w:rsidR="00A50A86">
              <w:rPr>
                <w:webHidden/>
              </w:rPr>
              <w:t>75</w:t>
            </w:r>
            <w:r w:rsidR="00A909F4" w:rsidRPr="00A909F4">
              <w:rPr>
                <w:webHidden/>
              </w:rPr>
              <w:fldChar w:fldCharType="end"/>
            </w:r>
          </w:hyperlink>
        </w:p>
        <w:p w14:paraId="3BEF6850" w14:textId="766769CC" w:rsidR="00A909F4" w:rsidRPr="00A909F4" w:rsidRDefault="00E36248" w:rsidP="00A909F4">
          <w:pPr>
            <w:pStyle w:val="21"/>
            <w:tabs>
              <w:tab w:val="right" w:leader="dot" w:pos="9911"/>
            </w:tabs>
            <w:rPr>
              <w:rFonts w:eastAsiaTheme="minorEastAsia"/>
              <w:kern w:val="2"/>
              <w:lang w:val="ru-RU"/>
              <w14:ligatures w14:val="standardContextual"/>
            </w:rPr>
          </w:pPr>
          <w:hyperlink w:anchor="_Toc137414317" w:history="1">
            <w:r w:rsidR="00A909F4" w:rsidRPr="00A909F4">
              <w:rPr>
                <w:rStyle w:val="a6"/>
                <w:caps/>
              </w:rPr>
              <w:t xml:space="preserve">ДОДАТОК Ж </w:t>
            </w:r>
            <w:r w:rsidR="00A909F4" w:rsidRPr="00A909F4">
              <w:rPr>
                <w:rStyle w:val="a6"/>
              </w:rPr>
              <w:t xml:space="preserve">ФУНКЦІОНАЛЬНА СКЛАДОВА ЗАБЕЗПЕЧЕННЯ ФІНАНСОВОЇ СТІЙКОСТІ </w:t>
            </w:r>
            <w:r w:rsidR="00A909F4" w:rsidRPr="00A909F4">
              <w:rPr>
                <w:rStyle w:val="a6"/>
                <w:rFonts w:eastAsia="WenQuanYi Micro Hei"/>
                <w:kern w:val="3"/>
                <w:lang w:eastAsia="zh-CN" w:bidi="hi-IN"/>
              </w:rPr>
              <w:t>АТ КБ «ПРИВАТБАНК»</w:t>
            </w:r>
            <w:r w:rsidR="00A909F4" w:rsidRPr="00A909F4">
              <w:rPr>
                <w:webHidden/>
              </w:rPr>
              <w:tab/>
            </w:r>
            <w:r w:rsidR="00A909F4" w:rsidRPr="00A909F4">
              <w:rPr>
                <w:webHidden/>
              </w:rPr>
              <w:fldChar w:fldCharType="begin"/>
            </w:r>
            <w:r w:rsidR="00A909F4" w:rsidRPr="00A909F4">
              <w:rPr>
                <w:webHidden/>
              </w:rPr>
              <w:instrText xml:space="preserve"> PAGEREF _Toc137414317 \h </w:instrText>
            </w:r>
            <w:r w:rsidR="00A909F4" w:rsidRPr="00A909F4">
              <w:rPr>
                <w:webHidden/>
              </w:rPr>
            </w:r>
            <w:r w:rsidR="00A909F4" w:rsidRPr="00A909F4">
              <w:rPr>
                <w:webHidden/>
              </w:rPr>
              <w:fldChar w:fldCharType="separate"/>
            </w:r>
            <w:r w:rsidR="00A50A86">
              <w:rPr>
                <w:webHidden/>
              </w:rPr>
              <w:t>76</w:t>
            </w:r>
            <w:r w:rsidR="00A909F4" w:rsidRPr="00A909F4">
              <w:rPr>
                <w:webHidden/>
              </w:rPr>
              <w:fldChar w:fldCharType="end"/>
            </w:r>
          </w:hyperlink>
        </w:p>
        <w:p w14:paraId="6A818B31" w14:textId="189FC631" w:rsidR="00A909F4" w:rsidRPr="00A909F4" w:rsidRDefault="00E36248" w:rsidP="00A909F4">
          <w:pPr>
            <w:pStyle w:val="21"/>
            <w:tabs>
              <w:tab w:val="right" w:leader="dot" w:pos="9911"/>
            </w:tabs>
            <w:rPr>
              <w:rFonts w:eastAsiaTheme="minorEastAsia"/>
              <w:kern w:val="2"/>
              <w:lang w:val="ru-RU"/>
              <w14:ligatures w14:val="standardContextual"/>
            </w:rPr>
          </w:pPr>
          <w:hyperlink w:anchor="_Toc137414318" w:history="1">
            <w:r w:rsidR="00A909F4" w:rsidRPr="00A909F4">
              <w:rPr>
                <w:rStyle w:val="a6"/>
                <w:caps/>
              </w:rPr>
              <w:t xml:space="preserve">ДОДАТОК Е </w:t>
            </w:r>
            <w:r w:rsidR="00A909F4" w:rsidRPr="00A909F4">
              <w:rPr>
                <w:rStyle w:val="a6"/>
              </w:rPr>
              <w:t>ХАРАКТЕРИСТИКА ЕТАПІВ ДОКАПІТАЛІЗАЦІЇ АТ КБ «ПРИВАТБАНК»</w:t>
            </w:r>
            <w:r w:rsidR="00A909F4" w:rsidRPr="00A909F4">
              <w:rPr>
                <w:webHidden/>
              </w:rPr>
              <w:tab/>
            </w:r>
            <w:r w:rsidR="00A909F4" w:rsidRPr="00A909F4">
              <w:rPr>
                <w:webHidden/>
              </w:rPr>
              <w:fldChar w:fldCharType="begin"/>
            </w:r>
            <w:r w:rsidR="00A909F4" w:rsidRPr="00A909F4">
              <w:rPr>
                <w:webHidden/>
              </w:rPr>
              <w:instrText xml:space="preserve"> PAGEREF _Toc137414318 \h </w:instrText>
            </w:r>
            <w:r w:rsidR="00A909F4" w:rsidRPr="00A909F4">
              <w:rPr>
                <w:webHidden/>
              </w:rPr>
            </w:r>
            <w:r w:rsidR="00A909F4" w:rsidRPr="00A909F4">
              <w:rPr>
                <w:webHidden/>
              </w:rPr>
              <w:fldChar w:fldCharType="separate"/>
            </w:r>
            <w:r w:rsidR="00A50A86">
              <w:rPr>
                <w:webHidden/>
              </w:rPr>
              <w:t>78</w:t>
            </w:r>
            <w:r w:rsidR="00A909F4" w:rsidRPr="00A909F4">
              <w:rPr>
                <w:webHidden/>
              </w:rPr>
              <w:fldChar w:fldCharType="end"/>
            </w:r>
          </w:hyperlink>
        </w:p>
        <w:p w14:paraId="06C5D79B" w14:textId="70935F99" w:rsidR="00A909F4" w:rsidRPr="00A909F4" w:rsidRDefault="00E36248" w:rsidP="00A909F4">
          <w:pPr>
            <w:pStyle w:val="21"/>
            <w:tabs>
              <w:tab w:val="right" w:leader="dot" w:pos="9911"/>
            </w:tabs>
            <w:rPr>
              <w:rFonts w:eastAsiaTheme="minorEastAsia"/>
              <w:kern w:val="2"/>
              <w:lang w:val="ru-RU"/>
              <w14:ligatures w14:val="standardContextual"/>
            </w:rPr>
          </w:pPr>
          <w:hyperlink w:anchor="_Toc137414319" w:history="1">
            <w:r w:rsidR="00A909F4" w:rsidRPr="00A909F4">
              <w:rPr>
                <w:rStyle w:val="a6"/>
                <w:caps/>
              </w:rPr>
              <w:t>ДОДАТОК К АНАЛІЗ ЯКОСТІ КРЕДИТНОГО ПОРТФЕЛЯ АТ КБ «ПРИВАТБАНК»</w:t>
            </w:r>
            <w:r w:rsidR="00A909F4" w:rsidRPr="00A909F4">
              <w:rPr>
                <w:webHidden/>
              </w:rPr>
              <w:tab/>
            </w:r>
            <w:r w:rsidR="00A909F4" w:rsidRPr="00A909F4">
              <w:rPr>
                <w:webHidden/>
              </w:rPr>
              <w:fldChar w:fldCharType="begin"/>
            </w:r>
            <w:r w:rsidR="00A909F4" w:rsidRPr="00A909F4">
              <w:rPr>
                <w:webHidden/>
              </w:rPr>
              <w:instrText xml:space="preserve"> PAGEREF _Toc137414319 \h </w:instrText>
            </w:r>
            <w:r w:rsidR="00A909F4" w:rsidRPr="00A909F4">
              <w:rPr>
                <w:webHidden/>
              </w:rPr>
            </w:r>
            <w:r w:rsidR="00A909F4" w:rsidRPr="00A909F4">
              <w:rPr>
                <w:webHidden/>
              </w:rPr>
              <w:fldChar w:fldCharType="separate"/>
            </w:r>
            <w:r w:rsidR="00A50A86">
              <w:rPr>
                <w:webHidden/>
              </w:rPr>
              <w:t>79</w:t>
            </w:r>
            <w:r w:rsidR="00A909F4" w:rsidRPr="00A909F4">
              <w:rPr>
                <w:webHidden/>
              </w:rPr>
              <w:fldChar w:fldCharType="end"/>
            </w:r>
          </w:hyperlink>
        </w:p>
        <w:p w14:paraId="6EED11FF" w14:textId="5E0AE318" w:rsidR="00A909F4" w:rsidRPr="00A909F4" w:rsidRDefault="00E36248" w:rsidP="00A909F4">
          <w:pPr>
            <w:pStyle w:val="21"/>
            <w:tabs>
              <w:tab w:val="right" w:leader="dot" w:pos="9911"/>
            </w:tabs>
            <w:rPr>
              <w:rFonts w:eastAsiaTheme="minorEastAsia"/>
              <w:kern w:val="2"/>
              <w:lang w:val="ru-RU"/>
              <w14:ligatures w14:val="standardContextual"/>
            </w:rPr>
          </w:pPr>
          <w:hyperlink w:anchor="_Toc137414320" w:history="1">
            <w:r w:rsidR="00A909F4" w:rsidRPr="00A909F4">
              <w:rPr>
                <w:rStyle w:val="a6"/>
                <w:caps/>
              </w:rPr>
              <w:t>ДОДАТОК Л ВИХІДНІ ДАНІ ДЛЯ МОДЕЛІ ФСБ</w:t>
            </w:r>
            <w:r w:rsidR="00A909F4" w:rsidRPr="00A909F4">
              <w:rPr>
                <w:webHidden/>
              </w:rPr>
              <w:tab/>
            </w:r>
            <w:r w:rsidR="00A909F4" w:rsidRPr="00A909F4">
              <w:rPr>
                <w:webHidden/>
              </w:rPr>
              <w:fldChar w:fldCharType="begin"/>
            </w:r>
            <w:r w:rsidR="00A909F4" w:rsidRPr="00A909F4">
              <w:rPr>
                <w:webHidden/>
              </w:rPr>
              <w:instrText xml:space="preserve"> PAGEREF _Toc137414320 \h </w:instrText>
            </w:r>
            <w:r w:rsidR="00A909F4" w:rsidRPr="00A909F4">
              <w:rPr>
                <w:webHidden/>
              </w:rPr>
            </w:r>
            <w:r w:rsidR="00A909F4" w:rsidRPr="00A909F4">
              <w:rPr>
                <w:webHidden/>
              </w:rPr>
              <w:fldChar w:fldCharType="separate"/>
            </w:r>
            <w:r w:rsidR="00A50A86">
              <w:rPr>
                <w:webHidden/>
              </w:rPr>
              <w:t>81</w:t>
            </w:r>
            <w:r w:rsidR="00A909F4" w:rsidRPr="00A909F4">
              <w:rPr>
                <w:webHidden/>
              </w:rPr>
              <w:fldChar w:fldCharType="end"/>
            </w:r>
          </w:hyperlink>
        </w:p>
        <w:p w14:paraId="28A0FA13" w14:textId="17D868C9" w:rsidR="00C261AE" w:rsidRPr="00F00EB0" w:rsidRDefault="00F058E3" w:rsidP="00A909F4">
          <w:pPr>
            <w:spacing w:after="0" w:line="360" w:lineRule="auto"/>
            <w:jc w:val="both"/>
            <w:rPr>
              <w:rFonts w:ascii="Times New Roman" w:hAnsi="Times New Roman" w:cs="Times New Roman"/>
              <w:color w:val="000000" w:themeColor="text1"/>
              <w:lang w:val="uk-UA"/>
            </w:rPr>
          </w:pPr>
          <w:r w:rsidRPr="00A909F4">
            <w:rPr>
              <w:rFonts w:ascii="Times New Roman" w:hAnsi="Times New Roman" w:cs="Times New Roman"/>
              <w:color w:val="000000" w:themeColor="text1"/>
              <w:sz w:val="28"/>
              <w:szCs w:val="28"/>
              <w:lang w:val="uk-UA"/>
            </w:rPr>
            <w:fldChar w:fldCharType="end"/>
          </w:r>
        </w:p>
      </w:sdtContent>
    </w:sdt>
    <w:p w14:paraId="42339B6B" w14:textId="77777777" w:rsidR="009C6173" w:rsidRPr="00F00EB0" w:rsidRDefault="009C6173" w:rsidP="00C261AE">
      <w:pPr>
        <w:jc w:val="center"/>
        <w:rPr>
          <w:rFonts w:ascii="Times New Roman" w:hAnsi="Times New Roman" w:cs="Times New Roman"/>
          <w:b/>
          <w:color w:val="000000" w:themeColor="text1"/>
          <w:sz w:val="28"/>
          <w:lang w:val="uk-UA"/>
        </w:rPr>
        <w:sectPr w:rsidR="009C6173" w:rsidRPr="00F00EB0" w:rsidSect="004D60A5">
          <w:endnotePr>
            <w:numFmt w:val="decimal"/>
          </w:endnotePr>
          <w:pgSz w:w="11906" w:h="16838"/>
          <w:pgMar w:top="1134" w:right="567" w:bottom="1134" w:left="1418" w:header="709" w:footer="709" w:gutter="0"/>
          <w:cols w:space="708"/>
          <w:titlePg/>
          <w:docGrid w:linePitch="360"/>
        </w:sectPr>
      </w:pPr>
    </w:p>
    <w:p w14:paraId="09170082" w14:textId="1841CAE1" w:rsidR="00C261AE" w:rsidRPr="00F00EB0" w:rsidRDefault="00D90F03" w:rsidP="00C261AE">
      <w:pPr>
        <w:jc w:val="center"/>
        <w:rPr>
          <w:rFonts w:ascii="Times New Roman" w:hAnsi="Times New Roman" w:cs="Times New Roman"/>
          <w:b/>
          <w:color w:val="000000" w:themeColor="text1"/>
          <w:sz w:val="28"/>
          <w:lang w:val="uk-UA"/>
        </w:rPr>
      </w:pPr>
      <w:r w:rsidRPr="00F00EB0">
        <w:rPr>
          <w:rFonts w:ascii="Times New Roman" w:hAnsi="Times New Roman" w:cs="Times New Roman"/>
          <w:noProof/>
          <w:color w:val="000000" w:themeColor="text1"/>
          <w:lang w:eastAsia="ru-RU"/>
        </w:rPr>
        <w:lastRenderedPageBreak/>
        <mc:AlternateContent>
          <mc:Choice Requires="wps">
            <w:drawing>
              <wp:anchor distT="0" distB="0" distL="114300" distR="114300" simplePos="0" relativeHeight="251644416" behindDoc="0" locked="0" layoutInCell="1" allowOverlap="1" wp14:anchorId="2C4279B1" wp14:editId="2DF5C2FB">
                <wp:simplePos x="0" y="0"/>
                <wp:positionH relativeFrom="column">
                  <wp:posOffset>5838825</wp:posOffset>
                </wp:positionH>
                <wp:positionV relativeFrom="paragraph">
                  <wp:posOffset>-349250</wp:posOffset>
                </wp:positionV>
                <wp:extent cx="160020" cy="182880"/>
                <wp:effectExtent l="0" t="0" r="0" b="7620"/>
                <wp:wrapNone/>
                <wp:docPr id="123943157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 cy="18288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D6C743E" id="Прямоугольник 8" o:spid="_x0000_s1026" style="position:absolute;margin-left:459.75pt;margin-top:-27.5pt;width:12.6pt;height:14.4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" fillcolor="white [3201]" strokecolor="white [3212]" strokeweight="1pt">
                <v:path arrowok="t"/>
              </v:rect>
            </w:pict>
          </mc:Fallback>
        </mc:AlternateContent>
      </w:r>
      <w:r w:rsidRPr="00F00EB0">
        <w:rPr>
          <w:rFonts w:ascii="Times New Roman" w:hAnsi="Times New Roman" w:cs="Times New Roman"/>
          <w:noProof/>
          <w:color w:val="000000" w:themeColor="text1"/>
          <w:lang w:eastAsia="ru-RU"/>
        </w:rPr>
        <mc:AlternateContent>
          <mc:Choice Requires="wps">
            <w:drawing>
              <wp:anchor distT="0" distB="0" distL="114300" distR="114300" simplePos="0" relativeHeight="251643392" behindDoc="0" locked="0" layoutInCell="1" allowOverlap="1" wp14:anchorId="7886BF68" wp14:editId="0569267A">
                <wp:simplePos x="0" y="0"/>
                <wp:positionH relativeFrom="column">
                  <wp:posOffset>5998210</wp:posOffset>
                </wp:positionH>
                <wp:positionV relativeFrom="paragraph">
                  <wp:posOffset>-292100</wp:posOffset>
                </wp:positionV>
                <wp:extent cx="520700" cy="277495"/>
                <wp:effectExtent l="0" t="0" r="0" b="8255"/>
                <wp:wrapNone/>
                <wp:docPr id="846596880"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0700" cy="27749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C87E5C4" id="Прямоугольник 7" o:spid="_x0000_s1026" style="position:absolute;margin-left:472.3pt;margin-top:-23pt;width:41pt;height:21.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" fillcolor="white [3201]" strokecolor="white [3212]" strokeweight="1pt">
                <v:path arrowok="t"/>
              </v:rect>
            </w:pict>
          </mc:Fallback>
        </mc:AlternateContent>
      </w:r>
      <w:r w:rsidR="00C261AE" w:rsidRPr="00F00EB0">
        <w:rPr>
          <w:rFonts w:ascii="Times New Roman" w:hAnsi="Times New Roman" w:cs="Times New Roman"/>
          <w:b/>
          <w:color w:val="000000" w:themeColor="text1"/>
          <w:sz w:val="28"/>
          <w:lang w:val="uk-UA"/>
        </w:rPr>
        <w:t>ПЕРЕЛІК СКОРОЧЕНЬ, УМОВНИХ ПОЗНАК І ТЕРМІНІВ</w:t>
      </w:r>
    </w:p>
    <w:p w14:paraId="527B4195" w14:textId="77777777" w:rsidR="00C261AE" w:rsidRPr="00F00EB0" w:rsidRDefault="00C261AE" w:rsidP="00C261AE">
      <w:pPr>
        <w:jc w:val="center"/>
        <w:rPr>
          <w:rFonts w:ascii="Times New Roman" w:hAnsi="Times New Roman" w:cs="Times New Roman"/>
          <w:b/>
          <w:color w:val="000000" w:themeColor="text1"/>
          <w:sz w:val="28"/>
          <w:lang w:val="uk-UA"/>
        </w:rPr>
      </w:pPr>
    </w:p>
    <w:p w14:paraId="5D8FE079" w14:textId="77777777" w:rsidR="00C261AE" w:rsidRPr="00F00EB0" w:rsidRDefault="00C261AE" w:rsidP="00C261AE">
      <w:pPr>
        <w:jc w:val="center"/>
        <w:rPr>
          <w:rFonts w:ascii="Times New Roman" w:hAnsi="Times New Roman" w:cs="Times New Roman"/>
          <w:b/>
          <w:color w:val="000000" w:themeColor="text1"/>
          <w:sz w:val="28"/>
          <w:lang w:val="uk-UA"/>
        </w:rPr>
      </w:pPr>
    </w:p>
    <w:p w14:paraId="73A358A5" w14:textId="14495DAB" w:rsidR="00C261AE" w:rsidRPr="00F00EB0" w:rsidRDefault="00C261AE" w:rsidP="00C261AE">
      <w:pPr>
        <w:rPr>
          <w:rFonts w:ascii="Times New Roman" w:hAnsi="Times New Roman" w:cs="Times New Roman"/>
          <w:color w:val="000000" w:themeColor="text1"/>
          <w:sz w:val="28"/>
          <w:lang w:val="uk-UA"/>
        </w:rPr>
      </w:pPr>
      <w:r w:rsidRPr="00F00EB0">
        <w:rPr>
          <w:rFonts w:ascii="Times New Roman" w:hAnsi="Times New Roman" w:cs="Times New Roman"/>
          <w:color w:val="000000" w:themeColor="text1"/>
          <w:sz w:val="28"/>
          <w:lang w:val="uk-UA"/>
        </w:rPr>
        <w:t>НБУ – Національний банк України</w:t>
      </w:r>
      <w:r w:rsidR="009B5D07" w:rsidRPr="00F00EB0">
        <w:rPr>
          <w:rFonts w:ascii="Times New Roman" w:hAnsi="Times New Roman" w:cs="Times New Roman"/>
          <w:color w:val="000000" w:themeColor="text1"/>
          <w:sz w:val="28"/>
          <w:lang w:val="uk-UA"/>
        </w:rPr>
        <w:t>.</w:t>
      </w:r>
    </w:p>
    <w:p w14:paraId="2BA094E0" w14:textId="5D9B12EE" w:rsidR="009C6173" w:rsidRPr="00F00EB0" w:rsidRDefault="00C261AE" w:rsidP="00C261AE">
      <w:pPr>
        <w:ind w:right="-569"/>
        <w:rPr>
          <w:rFonts w:ascii="Times New Roman" w:hAnsi="Times New Roman" w:cs="Times New Roman"/>
          <w:color w:val="000000" w:themeColor="text1"/>
          <w:sz w:val="28"/>
          <w:lang w:val="uk-UA"/>
        </w:rPr>
      </w:pPr>
      <w:r w:rsidRPr="00F00EB0">
        <w:rPr>
          <w:rFonts w:ascii="Times New Roman" w:hAnsi="Times New Roman" w:cs="Times New Roman"/>
          <w:color w:val="000000" w:themeColor="text1"/>
          <w:sz w:val="28"/>
          <w:lang w:val="uk-UA"/>
        </w:rPr>
        <w:t>ФСБ – фінансова стійкість банку</w:t>
      </w:r>
      <w:r w:rsidR="009B5D07" w:rsidRPr="00F00EB0">
        <w:rPr>
          <w:rFonts w:ascii="Times New Roman" w:hAnsi="Times New Roman" w:cs="Times New Roman"/>
          <w:color w:val="000000" w:themeColor="text1"/>
          <w:sz w:val="28"/>
          <w:lang w:val="uk-UA"/>
        </w:rPr>
        <w:t>.</w:t>
      </w:r>
    </w:p>
    <w:p w14:paraId="723DB29A" w14:textId="17972ACA" w:rsidR="00562976" w:rsidRPr="00F00EB0" w:rsidRDefault="00562976" w:rsidP="00C261AE">
      <w:pPr>
        <w:ind w:right="-569"/>
        <w:rPr>
          <w:rFonts w:ascii="Times New Roman" w:hAnsi="Times New Roman" w:cs="Times New Roman"/>
          <w:color w:val="000000" w:themeColor="text1"/>
          <w:sz w:val="28"/>
          <w:lang w:val="uk-UA"/>
        </w:rPr>
      </w:pPr>
      <w:r w:rsidRPr="00F00EB0">
        <w:rPr>
          <w:rFonts w:ascii="Times New Roman" w:hAnsi="Times New Roman" w:cs="Times New Roman"/>
          <w:color w:val="000000" w:themeColor="text1"/>
          <w:sz w:val="28"/>
          <w:lang w:val="uk-UA"/>
        </w:rPr>
        <w:t>ФСБ</w:t>
      </w:r>
      <w:r w:rsidRPr="00F00EB0">
        <w:rPr>
          <w:rFonts w:ascii="Times New Roman" w:hAnsi="Times New Roman" w:cs="Times New Roman"/>
          <w:color w:val="000000" w:themeColor="text1"/>
          <w:sz w:val="28"/>
          <w:szCs w:val="28"/>
          <w:lang w:val="uk-UA"/>
        </w:rPr>
        <w:t>С – фінансова стійкість банківської системи</w:t>
      </w:r>
    </w:p>
    <w:p w14:paraId="5C8CB836" w14:textId="4B5991E7" w:rsidR="00C261AE" w:rsidRPr="00F00EB0" w:rsidRDefault="00C261AE" w:rsidP="00C261AE">
      <w:pPr>
        <w:ind w:right="-569"/>
        <w:rPr>
          <w:rFonts w:ascii="Times New Roman" w:hAnsi="Times New Roman" w:cs="Times New Roman"/>
          <w:b/>
          <w:color w:val="000000" w:themeColor="text1"/>
          <w:sz w:val="28"/>
          <w:szCs w:val="28"/>
          <w:lang w:val="uk-UA"/>
        </w:rPr>
      </w:pPr>
      <w:r w:rsidRPr="00F00EB0">
        <w:rPr>
          <w:rFonts w:ascii="Times New Roman" w:hAnsi="Times New Roman" w:cs="Times New Roman"/>
          <w:b/>
          <w:color w:val="000000" w:themeColor="text1"/>
          <w:sz w:val="28"/>
          <w:szCs w:val="28"/>
          <w:lang w:val="uk-UA"/>
        </w:rPr>
        <w:br w:type="page"/>
      </w:r>
    </w:p>
    <w:p w14:paraId="1D83DCA4" w14:textId="77777777" w:rsidR="00C261AE" w:rsidRPr="00F00EB0" w:rsidRDefault="00C261AE" w:rsidP="00C261AE">
      <w:pPr>
        <w:tabs>
          <w:tab w:val="left" w:pos="709"/>
        </w:tabs>
        <w:spacing w:after="0" w:line="360" w:lineRule="auto"/>
        <w:ind w:firstLine="709"/>
        <w:jc w:val="center"/>
        <w:rPr>
          <w:rFonts w:ascii="Times New Roman" w:hAnsi="Times New Roman" w:cs="Times New Roman"/>
          <w:b/>
          <w:color w:val="000000" w:themeColor="text1"/>
          <w:sz w:val="28"/>
          <w:szCs w:val="28"/>
          <w:lang w:val="uk-UA"/>
        </w:rPr>
        <w:sectPr w:rsidR="00C261AE" w:rsidRPr="00F00EB0" w:rsidSect="004D60A5">
          <w:endnotePr>
            <w:numFmt w:val="decimal"/>
          </w:endnotePr>
          <w:pgSz w:w="11906" w:h="16838"/>
          <w:pgMar w:top="1134" w:right="567" w:bottom="1134" w:left="1418" w:header="709" w:footer="709" w:gutter="0"/>
          <w:cols w:space="708"/>
          <w:titlePg/>
          <w:docGrid w:linePitch="360"/>
        </w:sectPr>
      </w:pPr>
    </w:p>
    <w:p w14:paraId="66B43E11" w14:textId="77777777" w:rsidR="00C261AE" w:rsidRPr="00F00EB0" w:rsidRDefault="00C261AE" w:rsidP="00936706">
      <w:pPr>
        <w:pStyle w:val="10"/>
        <w:ind w:firstLine="709"/>
        <w:rPr>
          <w:rFonts w:cs="Times New Roman"/>
          <w:b/>
          <w:color w:val="000000" w:themeColor="text1"/>
          <w:lang w:val="uk-UA"/>
        </w:rPr>
      </w:pPr>
      <w:bookmarkStart w:id="4" w:name="_Toc137414301"/>
      <w:r w:rsidRPr="00F00EB0">
        <w:rPr>
          <w:rFonts w:cs="Times New Roman"/>
          <w:b/>
          <w:color w:val="000000" w:themeColor="text1"/>
          <w:lang w:val="uk-UA"/>
        </w:rPr>
        <w:lastRenderedPageBreak/>
        <w:t>ВСТУП</w:t>
      </w:r>
      <w:bookmarkEnd w:id="4"/>
    </w:p>
    <w:p w14:paraId="2BBDFEC0" w14:textId="5F12CFDD" w:rsidR="00C261AE" w:rsidRPr="00F00EB0" w:rsidRDefault="00C261AE" w:rsidP="006C294A">
      <w:pPr>
        <w:tabs>
          <w:tab w:val="left" w:pos="709"/>
        </w:tabs>
        <w:spacing w:after="0" w:line="360" w:lineRule="auto"/>
        <w:ind w:right="-285" w:firstLine="709"/>
        <w:jc w:val="both"/>
        <w:rPr>
          <w:rFonts w:ascii="Times New Roman" w:hAnsi="Times New Roman" w:cs="Times New Roman"/>
          <w:color w:val="000000" w:themeColor="text1"/>
          <w:sz w:val="28"/>
          <w:szCs w:val="28"/>
          <w:lang w:val="uk-UA"/>
        </w:rPr>
      </w:pPr>
    </w:p>
    <w:p w14:paraId="6FBD3383" w14:textId="77777777" w:rsidR="00480B26" w:rsidRPr="00F00EB0" w:rsidRDefault="00480B26" w:rsidP="006C294A">
      <w:pPr>
        <w:tabs>
          <w:tab w:val="left" w:pos="709"/>
        </w:tabs>
        <w:spacing w:after="0" w:line="360" w:lineRule="auto"/>
        <w:ind w:right="-285" w:firstLine="709"/>
        <w:jc w:val="both"/>
        <w:rPr>
          <w:rFonts w:ascii="Times New Roman" w:hAnsi="Times New Roman" w:cs="Times New Roman"/>
          <w:color w:val="000000" w:themeColor="text1"/>
          <w:sz w:val="28"/>
          <w:szCs w:val="28"/>
          <w:lang w:val="uk-UA"/>
        </w:rPr>
      </w:pPr>
    </w:p>
    <w:p w14:paraId="210E57BD" w14:textId="34796428" w:rsidR="00283ABF" w:rsidRPr="00F00EB0" w:rsidRDefault="00283ABF" w:rsidP="00283ABF">
      <w:pPr>
        <w:tabs>
          <w:tab w:val="left" w:pos="709"/>
        </w:tabs>
        <w:spacing w:after="0" w:line="360" w:lineRule="auto"/>
        <w:ind w:firstLine="709"/>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Фінансова стійкість – це важлива складова фінансового стану банку, яка гарантує його спроможність забезпечувати безперервну та ефективну діяльність у довгостроковій перспективі. Крім того, фінансова стійкість є важливою для всіх стейкхолдерів, з якими співпрацює банк, таких як клієнти, акціонери, регуляторні органи та інші зацікавлені сторони.</w:t>
      </w:r>
    </w:p>
    <w:p w14:paraId="3E48A52F" w14:textId="7C7D1DDD" w:rsidR="00283ABF" w:rsidRPr="00F00EB0" w:rsidRDefault="00283ABF" w:rsidP="00283ABF">
      <w:pPr>
        <w:tabs>
          <w:tab w:val="left" w:pos="709"/>
        </w:tabs>
        <w:spacing w:after="0" w:line="360" w:lineRule="auto"/>
        <w:ind w:firstLine="709"/>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В умовах воєнного стану та активної фази бойових дій, які негативно впливають на макро- та мікросистеми України, актуальність забезпечення фінансової стійкості банків</w:t>
      </w:r>
      <w:r w:rsidR="00042CAE" w:rsidRPr="00F00EB0">
        <w:rPr>
          <w:rFonts w:ascii="Times New Roman" w:eastAsia="Times New Roman" w:hAnsi="Times New Roman" w:cs="Times New Roman"/>
          <w:color w:val="000000" w:themeColor="text1"/>
          <w:sz w:val="28"/>
          <w:szCs w:val="28"/>
          <w:lang w:val="uk-UA"/>
        </w:rPr>
        <w:t xml:space="preserve"> (далі ФСБ)</w:t>
      </w:r>
      <w:r w:rsidRPr="00F00EB0">
        <w:rPr>
          <w:rFonts w:ascii="Times New Roman" w:eastAsia="Times New Roman" w:hAnsi="Times New Roman" w:cs="Times New Roman"/>
          <w:color w:val="000000" w:themeColor="text1"/>
          <w:sz w:val="28"/>
          <w:szCs w:val="28"/>
          <w:lang w:val="uk-UA"/>
        </w:rPr>
        <w:t xml:space="preserve"> значно посилюється. Кризовий потенціал банків наростає через зниження кредитоспроможності позичальників, що збільшує кредитні втрати, зменшення економічної активності клієнтів та їх</w:t>
      </w:r>
      <w:r w:rsidR="00A86E34" w:rsidRPr="00F00EB0">
        <w:rPr>
          <w:rFonts w:ascii="Times New Roman" w:eastAsia="Times New Roman" w:hAnsi="Times New Roman" w:cs="Times New Roman"/>
          <w:color w:val="000000" w:themeColor="text1"/>
          <w:sz w:val="28"/>
          <w:szCs w:val="28"/>
          <w:lang w:val="uk-UA"/>
        </w:rPr>
        <w:t xml:space="preserve"> </w:t>
      </w:r>
      <w:r w:rsidRPr="00F00EB0">
        <w:rPr>
          <w:rFonts w:ascii="Times New Roman" w:eastAsia="Times New Roman" w:hAnsi="Times New Roman" w:cs="Times New Roman"/>
          <w:color w:val="000000" w:themeColor="text1"/>
          <w:sz w:val="28"/>
          <w:szCs w:val="28"/>
          <w:lang w:val="uk-UA"/>
        </w:rPr>
        <w:t>платоспроможність, що впливає на попит на банківські послуги, а також через руйнування інфраструктури та інші наслідки війни.</w:t>
      </w:r>
    </w:p>
    <w:p w14:paraId="5E2764D3" w14:textId="258B6F3F" w:rsidR="00283ABF" w:rsidRPr="00F00EB0" w:rsidRDefault="00283ABF" w:rsidP="00283ABF">
      <w:pPr>
        <w:tabs>
          <w:tab w:val="left" w:pos="709"/>
        </w:tabs>
        <w:spacing w:after="0" w:line="360" w:lineRule="auto"/>
        <w:ind w:firstLine="709"/>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 xml:space="preserve">У </w:t>
      </w:r>
      <w:r w:rsidR="00A86E34" w:rsidRPr="00F00EB0">
        <w:rPr>
          <w:rFonts w:ascii="Times New Roman" w:eastAsia="Times New Roman" w:hAnsi="Times New Roman" w:cs="Times New Roman"/>
          <w:color w:val="000000" w:themeColor="text1"/>
          <w:sz w:val="28"/>
          <w:szCs w:val="28"/>
          <w:lang w:val="uk-UA"/>
        </w:rPr>
        <w:t>цих</w:t>
      </w:r>
      <w:r w:rsidRPr="00F00EB0">
        <w:rPr>
          <w:rFonts w:ascii="Times New Roman" w:eastAsia="Times New Roman" w:hAnsi="Times New Roman" w:cs="Times New Roman"/>
          <w:color w:val="000000" w:themeColor="text1"/>
          <w:sz w:val="28"/>
          <w:szCs w:val="28"/>
          <w:lang w:val="uk-UA"/>
        </w:rPr>
        <w:t xml:space="preserve"> умовах забезпечення </w:t>
      </w:r>
      <w:r w:rsidR="00042CAE" w:rsidRPr="00F00EB0">
        <w:rPr>
          <w:rFonts w:ascii="Times New Roman" w:eastAsia="Times New Roman" w:hAnsi="Times New Roman" w:cs="Times New Roman"/>
          <w:color w:val="000000" w:themeColor="text1"/>
          <w:sz w:val="28"/>
          <w:szCs w:val="28"/>
          <w:lang w:val="uk-UA"/>
        </w:rPr>
        <w:t xml:space="preserve">ФСБ </w:t>
      </w:r>
      <w:r w:rsidRPr="00F00EB0">
        <w:rPr>
          <w:rFonts w:ascii="Times New Roman" w:eastAsia="Times New Roman" w:hAnsi="Times New Roman" w:cs="Times New Roman"/>
          <w:color w:val="000000" w:themeColor="text1"/>
          <w:sz w:val="28"/>
          <w:szCs w:val="28"/>
          <w:lang w:val="uk-UA"/>
        </w:rPr>
        <w:t>є необхідним для збереження довіри клієнтів, забезпечення стійкості банківської системи та підтримки економічного розвитку країни. Крім того, це є стратегічно важливим завданням для менеджменту банку, яке впливає на його внутрішні та зовнішні взаємодії та забезпечує його конкурентоспроможність у довгостроковій перспективі.</w:t>
      </w:r>
    </w:p>
    <w:p w14:paraId="56D63389" w14:textId="37048C4E" w:rsidR="00B16869" w:rsidRPr="00F00EB0" w:rsidRDefault="00B16869" w:rsidP="00B16869">
      <w:pPr>
        <w:tabs>
          <w:tab w:val="left" w:pos="709"/>
        </w:tabs>
        <w:spacing w:after="0" w:line="360" w:lineRule="auto"/>
        <w:ind w:firstLine="709"/>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 xml:space="preserve">Мета кваліфікаційної роботи полягає в дослідженні теоретичних підходів щодо механізму забезпечення </w:t>
      </w:r>
      <w:r w:rsidR="00042CAE" w:rsidRPr="00F00EB0">
        <w:rPr>
          <w:rFonts w:ascii="Times New Roman" w:eastAsia="Times New Roman" w:hAnsi="Times New Roman" w:cs="Times New Roman"/>
          <w:color w:val="000000" w:themeColor="text1"/>
          <w:sz w:val="28"/>
          <w:szCs w:val="28"/>
          <w:lang w:val="uk-UA"/>
        </w:rPr>
        <w:t xml:space="preserve">ФСБ </w:t>
      </w:r>
      <w:r w:rsidRPr="00F00EB0">
        <w:rPr>
          <w:rFonts w:ascii="Times New Roman" w:eastAsia="Times New Roman" w:hAnsi="Times New Roman" w:cs="Times New Roman"/>
          <w:color w:val="000000" w:themeColor="text1"/>
          <w:sz w:val="28"/>
          <w:szCs w:val="28"/>
          <w:lang w:val="uk-UA"/>
        </w:rPr>
        <w:t xml:space="preserve">та його вдосконалення на основі формалізації функціональних залежностей між макроіндикаторами та рівнем </w:t>
      </w:r>
      <w:r w:rsidR="00042CAE" w:rsidRPr="00F00EB0">
        <w:rPr>
          <w:rFonts w:ascii="Times New Roman" w:eastAsia="Times New Roman" w:hAnsi="Times New Roman" w:cs="Times New Roman"/>
          <w:color w:val="000000" w:themeColor="text1"/>
          <w:sz w:val="28"/>
          <w:szCs w:val="28"/>
          <w:lang w:val="uk-UA"/>
        </w:rPr>
        <w:t>ФСБ</w:t>
      </w:r>
      <w:r w:rsidRPr="00F00EB0">
        <w:rPr>
          <w:rFonts w:ascii="Times New Roman" w:eastAsia="Times New Roman" w:hAnsi="Times New Roman" w:cs="Times New Roman"/>
          <w:color w:val="000000" w:themeColor="text1"/>
          <w:sz w:val="28"/>
          <w:szCs w:val="28"/>
          <w:lang w:val="uk-UA"/>
        </w:rPr>
        <w:t>.</w:t>
      </w:r>
    </w:p>
    <w:p w14:paraId="3CDA6A7A" w14:textId="536375F2" w:rsidR="003C0C00" w:rsidRPr="00F00EB0" w:rsidRDefault="005D7CF7" w:rsidP="007F2A34">
      <w:pPr>
        <w:tabs>
          <w:tab w:val="left" w:pos="709"/>
        </w:tabs>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Досягнення мети роботи </w:t>
      </w:r>
      <w:r w:rsidR="00625C44" w:rsidRPr="00F00EB0">
        <w:rPr>
          <w:rFonts w:ascii="Times New Roman" w:hAnsi="Times New Roman" w:cs="Times New Roman"/>
          <w:color w:val="000000" w:themeColor="text1"/>
          <w:sz w:val="28"/>
          <w:szCs w:val="28"/>
          <w:lang w:val="uk-UA"/>
        </w:rPr>
        <w:t>забезпечується реалізацією наступних завдань</w:t>
      </w:r>
      <w:r w:rsidR="003C0C00" w:rsidRPr="00F00EB0">
        <w:rPr>
          <w:rFonts w:ascii="Times New Roman" w:hAnsi="Times New Roman" w:cs="Times New Roman"/>
          <w:color w:val="000000" w:themeColor="text1"/>
          <w:sz w:val="28"/>
          <w:szCs w:val="28"/>
          <w:lang w:val="uk-UA"/>
        </w:rPr>
        <w:t>:</w:t>
      </w:r>
    </w:p>
    <w:p w14:paraId="0161E0C6" w14:textId="4BAD74D0" w:rsidR="00C261AE" w:rsidRPr="00F00EB0" w:rsidRDefault="00625C44" w:rsidP="00042CAE">
      <w:pPr>
        <w:widowControl w:val="0"/>
        <w:numPr>
          <w:ilvl w:val="0"/>
          <w:numId w:val="13"/>
        </w:numPr>
        <w:tabs>
          <w:tab w:val="left" w:pos="993"/>
          <w:tab w:val="left" w:pos="1134"/>
        </w:tabs>
        <w:autoSpaceDE w:val="0"/>
        <w:autoSpaceDN w:val="0"/>
        <w:adjustRightInd w:val="0"/>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szCs w:val="28"/>
          <w:lang w:val="uk-UA"/>
        </w:rPr>
        <w:t>узагальнено підходи до визначення поняття</w:t>
      </w:r>
      <w:r w:rsidR="00C261AE" w:rsidRPr="00F00EB0">
        <w:rPr>
          <w:rFonts w:ascii="Times New Roman" w:eastAsia="Calibri" w:hAnsi="Times New Roman" w:cs="Times New Roman"/>
          <w:color w:val="000000" w:themeColor="text1"/>
          <w:sz w:val="28"/>
          <w:szCs w:val="28"/>
          <w:lang w:val="uk-UA"/>
        </w:rPr>
        <w:t xml:space="preserve"> «</w:t>
      </w:r>
      <w:r w:rsidR="00042CAE" w:rsidRPr="00F00EB0">
        <w:rPr>
          <w:rFonts w:ascii="Times New Roman" w:eastAsia="Calibri" w:hAnsi="Times New Roman" w:cs="Times New Roman"/>
          <w:color w:val="000000" w:themeColor="text1"/>
          <w:sz w:val="28"/>
          <w:szCs w:val="28"/>
          <w:lang w:val="uk-UA"/>
        </w:rPr>
        <w:t>ФСБ</w:t>
      </w:r>
      <w:r w:rsidR="00C261AE" w:rsidRPr="00F00EB0">
        <w:rPr>
          <w:rFonts w:ascii="Times New Roman" w:eastAsia="Calibri" w:hAnsi="Times New Roman" w:cs="Times New Roman"/>
          <w:color w:val="000000" w:themeColor="text1"/>
          <w:sz w:val="28"/>
          <w:szCs w:val="28"/>
          <w:lang w:val="uk-UA"/>
        </w:rPr>
        <w:t>»</w:t>
      </w:r>
      <w:r w:rsidR="00042CAE" w:rsidRPr="00F00EB0">
        <w:rPr>
          <w:rFonts w:ascii="Times New Roman" w:eastAsia="Calibri" w:hAnsi="Times New Roman" w:cs="Times New Roman"/>
          <w:color w:val="000000" w:themeColor="text1"/>
          <w:sz w:val="28"/>
          <w:szCs w:val="28"/>
          <w:lang w:val="uk-UA"/>
        </w:rPr>
        <w:t>,</w:t>
      </w:r>
      <w:r w:rsidR="00C261AE" w:rsidRPr="00F00EB0">
        <w:rPr>
          <w:rFonts w:ascii="Times New Roman" w:eastAsia="Calibri" w:hAnsi="Times New Roman" w:cs="Times New Roman"/>
          <w:color w:val="000000" w:themeColor="text1"/>
          <w:sz w:val="28"/>
          <w:szCs w:val="28"/>
          <w:lang w:val="uk-UA"/>
        </w:rPr>
        <w:t xml:space="preserve"> </w:t>
      </w:r>
      <w:r w:rsidRPr="00F00EB0">
        <w:rPr>
          <w:rFonts w:ascii="Times New Roman" w:eastAsia="Calibri" w:hAnsi="Times New Roman" w:cs="Times New Roman"/>
          <w:color w:val="000000" w:themeColor="text1"/>
          <w:sz w:val="28"/>
          <w:szCs w:val="28"/>
          <w:lang w:val="uk-UA"/>
        </w:rPr>
        <w:t>систематизовано її види</w:t>
      </w:r>
      <w:r w:rsidR="00042CAE" w:rsidRPr="00F00EB0">
        <w:rPr>
          <w:rFonts w:ascii="Times New Roman" w:eastAsia="Calibri" w:hAnsi="Times New Roman" w:cs="Times New Roman"/>
          <w:color w:val="000000" w:themeColor="text1"/>
          <w:sz w:val="28"/>
          <w:szCs w:val="28"/>
          <w:lang w:val="uk-UA"/>
        </w:rPr>
        <w:t xml:space="preserve"> та </w:t>
      </w:r>
      <w:r w:rsidR="00B77420" w:rsidRPr="00F00EB0">
        <w:rPr>
          <w:rFonts w:ascii="Times New Roman" w:eastAsia="Calibri" w:hAnsi="Times New Roman" w:cs="Times New Roman"/>
          <w:color w:val="000000" w:themeColor="text1"/>
          <w:sz w:val="28"/>
          <w:szCs w:val="28"/>
          <w:lang w:val="uk-UA"/>
        </w:rPr>
        <w:t xml:space="preserve">розроблено структуризацію факторів, що чинять вплив на </w:t>
      </w:r>
      <w:r w:rsidR="00042CAE" w:rsidRPr="00F00EB0">
        <w:rPr>
          <w:rFonts w:ascii="Times New Roman" w:eastAsia="Times New Roman" w:hAnsi="Times New Roman" w:cs="Times New Roman"/>
          <w:color w:val="000000" w:themeColor="text1"/>
          <w:sz w:val="28"/>
          <w:szCs w:val="28"/>
          <w:lang w:val="uk-UA"/>
        </w:rPr>
        <w:t>ФСБ</w:t>
      </w:r>
      <w:r w:rsidR="00C261AE" w:rsidRPr="00F00EB0">
        <w:rPr>
          <w:rFonts w:ascii="Times New Roman" w:eastAsia="Calibri" w:hAnsi="Times New Roman" w:cs="Times New Roman"/>
          <w:color w:val="000000" w:themeColor="text1"/>
          <w:sz w:val="28"/>
          <w:szCs w:val="28"/>
          <w:lang w:val="uk-UA"/>
        </w:rPr>
        <w:t>;</w:t>
      </w:r>
    </w:p>
    <w:p w14:paraId="22F8CA6C" w14:textId="60DE7449" w:rsidR="00C261AE" w:rsidRPr="00F00EB0" w:rsidRDefault="00B77420" w:rsidP="007F2A34">
      <w:pPr>
        <w:widowControl w:val="0"/>
        <w:numPr>
          <w:ilvl w:val="0"/>
          <w:numId w:val="13"/>
        </w:numPr>
        <w:tabs>
          <w:tab w:val="left" w:pos="993"/>
          <w:tab w:val="left" w:pos="1134"/>
        </w:tabs>
        <w:autoSpaceDE w:val="0"/>
        <w:autoSpaceDN w:val="0"/>
        <w:adjustRightInd w:val="0"/>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szCs w:val="28"/>
          <w:lang w:val="uk-UA"/>
        </w:rPr>
        <w:t>сформовано системно-процесний</w:t>
      </w:r>
      <w:r w:rsidR="00A72F2F" w:rsidRPr="00F00EB0">
        <w:rPr>
          <w:rFonts w:ascii="Times New Roman" w:eastAsia="Calibri" w:hAnsi="Times New Roman" w:cs="Times New Roman"/>
          <w:color w:val="000000" w:themeColor="text1"/>
          <w:sz w:val="28"/>
          <w:szCs w:val="28"/>
          <w:lang w:val="uk-UA"/>
        </w:rPr>
        <w:t xml:space="preserve"> підхід до формування й реалізації механізму забезпечення </w:t>
      </w:r>
      <w:r w:rsidR="00042CAE" w:rsidRPr="00F00EB0">
        <w:rPr>
          <w:rFonts w:ascii="Times New Roman" w:eastAsia="Times New Roman" w:hAnsi="Times New Roman" w:cs="Times New Roman"/>
          <w:color w:val="000000" w:themeColor="text1"/>
          <w:sz w:val="28"/>
          <w:szCs w:val="28"/>
          <w:lang w:val="uk-UA"/>
        </w:rPr>
        <w:t>ФСБ</w:t>
      </w:r>
      <w:r w:rsidR="00C261AE" w:rsidRPr="00F00EB0">
        <w:rPr>
          <w:rFonts w:ascii="Times New Roman" w:eastAsia="Calibri" w:hAnsi="Times New Roman" w:cs="Times New Roman"/>
          <w:color w:val="000000" w:themeColor="text1"/>
          <w:sz w:val="28"/>
          <w:szCs w:val="28"/>
          <w:lang w:val="uk-UA"/>
        </w:rPr>
        <w:t>;</w:t>
      </w:r>
    </w:p>
    <w:p w14:paraId="4D46DAA0" w14:textId="3C26E439" w:rsidR="00A72F2F" w:rsidRPr="00F00EB0" w:rsidRDefault="00B77420" w:rsidP="007F2A34">
      <w:pPr>
        <w:widowControl w:val="0"/>
        <w:numPr>
          <w:ilvl w:val="0"/>
          <w:numId w:val="13"/>
        </w:numPr>
        <w:tabs>
          <w:tab w:val="left" w:pos="993"/>
          <w:tab w:val="left" w:pos="1134"/>
        </w:tabs>
        <w:autoSpaceDE w:val="0"/>
        <w:autoSpaceDN w:val="0"/>
        <w:adjustRightInd w:val="0"/>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szCs w:val="28"/>
          <w:lang w:val="uk-UA"/>
        </w:rPr>
        <w:t>проаналізовано</w:t>
      </w:r>
      <w:r w:rsidR="00C261AE" w:rsidRPr="00F00EB0">
        <w:rPr>
          <w:rFonts w:ascii="Times New Roman" w:eastAsia="Calibri" w:hAnsi="Times New Roman" w:cs="Times New Roman"/>
          <w:color w:val="000000" w:themeColor="text1"/>
          <w:sz w:val="28"/>
          <w:szCs w:val="28"/>
          <w:lang w:val="uk-UA"/>
        </w:rPr>
        <w:t xml:space="preserve"> </w:t>
      </w:r>
      <w:r w:rsidR="00A72F2F" w:rsidRPr="00F00EB0">
        <w:rPr>
          <w:rFonts w:ascii="Times New Roman" w:eastAsia="Calibri" w:hAnsi="Times New Roman" w:cs="Times New Roman"/>
          <w:color w:val="000000" w:themeColor="text1"/>
          <w:sz w:val="28"/>
          <w:szCs w:val="28"/>
          <w:lang w:val="uk-UA"/>
        </w:rPr>
        <w:t>фінансов</w:t>
      </w:r>
      <w:r w:rsidRPr="00F00EB0">
        <w:rPr>
          <w:rFonts w:ascii="Times New Roman" w:eastAsia="Calibri" w:hAnsi="Times New Roman" w:cs="Times New Roman"/>
          <w:color w:val="000000" w:themeColor="text1"/>
          <w:sz w:val="28"/>
          <w:szCs w:val="28"/>
          <w:lang w:val="uk-UA"/>
        </w:rPr>
        <w:t>у</w:t>
      </w:r>
      <w:r w:rsidR="00A72F2F" w:rsidRPr="00F00EB0">
        <w:rPr>
          <w:rFonts w:ascii="Times New Roman" w:eastAsia="Calibri" w:hAnsi="Times New Roman" w:cs="Times New Roman"/>
          <w:color w:val="000000" w:themeColor="text1"/>
          <w:sz w:val="28"/>
          <w:szCs w:val="28"/>
          <w:lang w:val="uk-UA"/>
        </w:rPr>
        <w:t xml:space="preserve"> </w:t>
      </w:r>
      <w:r w:rsidRPr="00F00EB0">
        <w:rPr>
          <w:rFonts w:ascii="Times New Roman" w:eastAsia="Calibri" w:hAnsi="Times New Roman" w:cs="Times New Roman"/>
          <w:color w:val="000000" w:themeColor="text1"/>
          <w:sz w:val="28"/>
          <w:szCs w:val="28"/>
          <w:lang w:val="uk-UA"/>
        </w:rPr>
        <w:t>стійкість</w:t>
      </w:r>
      <w:r w:rsidR="00A72F2F" w:rsidRPr="00F00EB0">
        <w:rPr>
          <w:rFonts w:ascii="Times New Roman" w:eastAsia="Calibri" w:hAnsi="Times New Roman" w:cs="Times New Roman"/>
          <w:color w:val="000000" w:themeColor="text1"/>
          <w:sz w:val="28"/>
          <w:szCs w:val="28"/>
          <w:lang w:val="uk-UA"/>
        </w:rPr>
        <w:t xml:space="preserve"> банківської системи</w:t>
      </w:r>
      <w:r w:rsidRPr="00F00EB0">
        <w:rPr>
          <w:rFonts w:ascii="Times New Roman" w:eastAsia="Calibri" w:hAnsi="Times New Roman" w:cs="Times New Roman"/>
          <w:color w:val="000000" w:themeColor="text1"/>
          <w:sz w:val="28"/>
          <w:szCs w:val="28"/>
          <w:lang w:val="uk-UA"/>
        </w:rPr>
        <w:t xml:space="preserve"> України</w:t>
      </w:r>
      <w:r w:rsidR="00A72F2F" w:rsidRPr="00F00EB0">
        <w:rPr>
          <w:rFonts w:ascii="Times New Roman" w:eastAsia="Calibri" w:hAnsi="Times New Roman" w:cs="Times New Roman"/>
          <w:color w:val="000000" w:themeColor="text1"/>
          <w:sz w:val="28"/>
          <w:szCs w:val="28"/>
          <w:lang w:val="uk-UA"/>
        </w:rPr>
        <w:t xml:space="preserve"> </w:t>
      </w:r>
      <w:r w:rsidRPr="00F00EB0">
        <w:rPr>
          <w:rFonts w:ascii="Times New Roman" w:eastAsia="Calibri" w:hAnsi="Times New Roman" w:cs="Times New Roman"/>
          <w:color w:val="000000" w:themeColor="text1"/>
          <w:sz w:val="28"/>
          <w:szCs w:val="28"/>
          <w:lang w:val="uk-UA"/>
        </w:rPr>
        <w:t>та визначено фактори, що детермінують її рівень</w:t>
      </w:r>
      <w:r w:rsidR="00C261AE" w:rsidRPr="00F00EB0">
        <w:rPr>
          <w:rFonts w:ascii="Times New Roman" w:eastAsia="Calibri" w:hAnsi="Times New Roman" w:cs="Times New Roman"/>
          <w:color w:val="000000" w:themeColor="text1"/>
          <w:sz w:val="28"/>
          <w:szCs w:val="28"/>
          <w:lang w:val="uk-UA"/>
        </w:rPr>
        <w:t>;</w:t>
      </w:r>
    </w:p>
    <w:p w14:paraId="710FFE7C" w14:textId="44986FD2" w:rsidR="00A72F2F" w:rsidRPr="00F00EB0" w:rsidRDefault="00B77420" w:rsidP="007F2A34">
      <w:pPr>
        <w:widowControl w:val="0"/>
        <w:numPr>
          <w:ilvl w:val="0"/>
          <w:numId w:val="13"/>
        </w:numPr>
        <w:tabs>
          <w:tab w:val="left" w:pos="993"/>
          <w:tab w:val="left" w:pos="1134"/>
        </w:tabs>
        <w:autoSpaceDE w:val="0"/>
        <w:autoSpaceDN w:val="0"/>
        <w:adjustRightInd w:val="0"/>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szCs w:val="28"/>
          <w:lang w:val="uk-UA"/>
        </w:rPr>
        <w:lastRenderedPageBreak/>
        <w:t>проведено аналіз фінансової стійкості АТ КБ «ПриватБанк» в контексті результативності</w:t>
      </w:r>
      <w:r w:rsidR="00A72F2F" w:rsidRPr="00F00EB0">
        <w:rPr>
          <w:rFonts w:ascii="Times New Roman" w:eastAsia="Calibri" w:hAnsi="Times New Roman" w:cs="Times New Roman"/>
          <w:color w:val="000000" w:themeColor="text1"/>
          <w:sz w:val="28"/>
          <w:szCs w:val="28"/>
          <w:lang w:val="uk-UA"/>
        </w:rPr>
        <w:t xml:space="preserve"> механізм</w:t>
      </w:r>
      <w:r w:rsidRPr="00F00EB0">
        <w:rPr>
          <w:rFonts w:ascii="Times New Roman" w:eastAsia="Calibri" w:hAnsi="Times New Roman" w:cs="Times New Roman"/>
          <w:color w:val="000000" w:themeColor="text1"/>
          <w:sz w:val="28"/>
          <w:szCs w:val="28"/>
          <w:lang w:val="uk-UA"/>
        </w:rPr>
        <w:t>у</w:t>
      </w:r>
      <w:r w:rsidR="00A72F2F" w:rsidRPr="00F00EB0">
        <w:rPr>
          <w:rFonts w:ascii="Times New Roman" w:eastAsia="Calibri" w:hAnsi="Times New Roman" w:cs="Times New Roman"/>
          <w:color w:val="000000" w:themeColor="text1"/>
          <w:sz w:val="28"/>
          <w:szCs w:val="28"/>
          <w:lang w:val="uk-UA"/>
        </w:rPr>
        <w:t xml:space="preserve"> забезпечення фінансової стійкості;</w:t>
      </w:r>
    </w:p>
    <w:p w14:paraId="62718C7A" w14:textId="411C3A38" w:rsidR="00B16869" w:rsidRPr="00F00EB0" w:rsidRDefault="00B16869" w:rsidP="00B16869">
      <w:pPr>
        <w:widowControl w:val="0"/>
        <w:numPr>
          <w:ilvl w:val="0"/>
          <w:numId w:val="13"/>
        </w:numPr>
        <w:tabs>
          <w:tab w:val="left" w:pos="993"/>
          <w:tab w:val="left" w:pos="1134"/>
        </w:tabs>
        <w:autoSpaceDE w:val="0"/>
        <w:autoSpaceDN w:val="0"/>
        <w:adjustRightInd w:val="0"/>
        <w:spacing w:after="0" w:line="360" w:lineRule="auto"/>
        <w:ind w:left="0" w:firstLine="709"/>
        <w:contextualSpacing/>
        <w:jc w:val="both"/>
        <w:rPr>
          <w:rFonts w:ascii="Times New Roman"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szCs w:val="28"/>
          <w:lang w:val="uk-UA"/>
        </w:rPr>
        <w:t>розроб</w:t>
      </w:r>
      <w:r w:rsidR="00042CAE" w:rsidRPr="00F00EB0">
        <w:rPr>
          <w:rFonts w:ascii="Times New Roman" w:eastAsia="Calibri" w:hAnsi="Times New Roman" w:cs="Times New Roman"/>
          <w:color w:val="000000" w:themeColor="text1"/>
          <w:sz w:val="28"/>
          <w:szCs w:val="28"/>
          <w:lang w:val="uk-UA"/>
        </w:rPr>
        <w:t>лено</w:t>
      </w:r>
      <w:r w:rsidRPr="00F00EB0">
        <w:rPr>
          <w:rFonts w:ascii="Times New Roman" w:eastAsia="Times New Roman" w:hAnsi="Times New Roman" w:cs="Times New Roman"/>
          <w:color w:val="000000" w:themeColor="text1"/>
          <w:sz w:val="28"/>
          <w:szCs w:val="24"/>
          <w:lang w:val="uk-UA"/>
        </w:rPr>
        <w:t xml:space="preserve"> науково-методичний підхід до обґрунтування впливу макрофакторів на фінансову стійкість </w:t>
      </w:r>
      <w:r w:rsidR="00042CAE" w:rsidRPr="00F00EB0">
        <w:rPr>
          <w:rFonts w:ascii="Times New Roman" w:eastAsia="Calibri" w:hAnsi="Times New Roman" w:cs="Times New Roman"/>
          <w:color w:val="000000" w:themeColor="text1"/>
          <w:sz w:val="28"/>
          <w:szCs w:val="28"/>
          <w:lang w:val="uk-UA"/>
        </w:rPr>
        <w:t>АТ КБ «ПриватБанк»</w:t>
      </w:r>
      <w:r w:rsidRPr="00F00EB0">
        <w:rPr>
          <w:rFonts w:ascii="Times New Roman" w:hAnsi="Times New Roman" w:cs="Times New Roman"/>
          <w:color w:val="000000" w:themeColor="text1"/>
          <w:sz w:val="28"/>
          <w:szCs w:val="28"/>
          <w:lang w:val="uk-UA"/>
        </w:rPr>
        <w:t>.</w:t>
      </w:r>
    </w:p>
    <w:p w14:paraId="63D5828C" w14:textId="480FAE1A" w:rsidR="00C261AE" w:rsidRPr="00F00EB0" w:rsidRDefault="00C261AE" w:rsidP="00C03F69">
      <w:pPr>
        <w:tabs>
          <w:tab w:val="left" w:pos="709"/>
        </w:tabs>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Об’єктом дослідження є </w:t>
      </w:r>
      <w:r w:rsidR="0066109D" w:rsidRPr="00F00EB0">
        <w:rPr>
          <w:rFonts w:ascii="Times New Roman" w:hAnsi="Times New Roman" w:cs="Times New Roman"/>
          <w:color w:val="000000" w:themeColor="text1"/>
          <w:sz w:val="28"/>
          <w:szCs w:val="28"/>
          <w:lang w:val="uk-UA"/>
        </w:rPr>
        <w:t>фінансова стійкість банку як особливого типу фінансового інституту</w:t>
      </w:r>
      <w:r w:rsidRPr="00F00EB0">
        <w:rPr>
          <w:rFonts w:ascii="Times New Roman" w:hAnsi="Times New Roman" w:cs="Times New Roman"/>
          <w:color w:val="000000" w:themeColor="text1"/>
          <w:sz w:val="28"/>
          <w:szCs w:val="28"/>
          <w:lang w:val="uk-UA"/>
        </w:rPr>
        <w:t xml:space="preserve">. Предметом дослідження є </w:t>
      </w:r>
      <w:r w:rsidR="0066109D" w:rsidRPr="00F00EB0">
        <w:rPr>
          <w:rFonts w:ascii="Times New Roman" w:eastAsia="Calibri" w:hAnsi="Times New Roman" w:cs="Times New Roman"/>
          <w:color w:val="000000" w:themeColor="text1"/>
          <w:sz w:val="28"/>
          <w:szCs w:val="28"/>
          <w:lang w:val="uk-UA"/>
        </w:rPr>
        <w:t xml:space="preserve">формування й реалізація механізму забезпечення </w:t>
      </w:r>
      <w:r w:rsidR="00042CAE" w:rsidRPr="00F00EB0">
        <w:rPr>
          <w:rFonts w:ascii="Times New Roman" w:eastAsia="Calibri" w:hAnsi="Times New Roman" w:cs="Times New Roman"/>
          <w:color w:val="000000" w:themeColor="text1"/>
          <w:sz w:val="28"/>
          <w:szCs w:val="28"/>
          <w:lang w:val="uk-UA"/>
        </w:rPr>
        <w:t>ФСБ</w:t>
      </w:r>
      <w:r w:rsidR="0066109D" w:rsidRPr="00F00EB0">
        <w:rPr>
          <w:rFonts w:ascii="Times New Roman" w:eastAsia="Calibri" w:hAnsi="Times New Roman" w:cs="Times New Roman"/>
          <w:color w:val="000000" w:themeColor="text1"/>
          <w:sz w:val="28"/>
          <w:szCs w:val="28"/>
          <w:lang w:val="uk-UA"/>
        </w:rPr>
        <w:t xml:space="preserve"> України</w:t>
      </w:r>
      <w:r w:rsidRPr="00F00EB0">
        <w:rPr>
          <w:rFonts w:ascii="Times New Roman" w:hAnsi="Times New Roman" w:cs="Times New Roman"/>
          <w:color w:val="000000" w:themeColor="text1"/>
          <w:sz w:val="28"/>
          <w:szCs w:val="28"/>
          <w:lang w:val="uk-UA"/>
        </w:rPr>
        <w:t>.</w:t>
      </w:r>
    </w:p>
    <w:p w14:paraId="5353CC7B" w14:textId="3B68E088" w:rsidR="004C34BD" w:rsidRPr="00F00EB0" w:rsidRDefault="004C34BD" w:rsidP="004C34BD">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У процесі дослідження використано загальнонаукові методи пізнання, як аналіз та синтез, індукція та дедукція, абстрагування і конкретизація (під час уточнення сутності поняття «ФСБ», систематизації факторів впливу на ФСБ, систематизації підходів до формування механізму забезпечення ФСБ та визначенні його складових); порівняльний, коефіцієнтний, графічний та табличний аналіз (під час оцінювання рівня фінансової стійкості банківської системи та АТ КБ «ПриватБанк»); </w:t>
      </w:r>
      <w:r w:rsidR="00B16869" w:rsidRPr="00F00EB0">
        <w:rPr>
          <w:rFonts w:ascii="Times New Roman" w:hAnsi="Times New Roman" w:cs="Times New Roman"/>
          <w:color w:val="000000" w:themeColor="text1"/>
          <w:sz w:val="28"/>
          <w:szCs w:val="28"/>
          <w:lang w:val="uk-UA"/>
        </w:rPr>
        <w:t>економетричний аналіз</w:t>
      </w:r>
      <w:r w:rsidRPr="00F00EB0">
        <w:rPr>
          <w:rFonts w:ascii="Times New Roman" w:hAnsi="Times New Roman" w:cs="Times New Roman"/>
          <w:color w:val="000000" w:themeColor="text1"/>
          <w:sz w:val="28"/>
          <w:szCs w:val="28"/>
          <w:lang w:val="uk-UA"/>
        </w:rPr>
        <w:t xml:space="preserve"> </w:t>
      </w:r>
      <w:r w:rsidR="00042CAE" w:rsidRPr="00F00EB0">
        <w:rPr>
          <w:rFonts w:ascii="Times New Roman" w:hAnsi="Times New Roman" w:cs="Times New Roman"/>
          <w:color w:val="000000" w:themeColor="text1"/>
          <w:sz w:val="28"/>
          <w:szCs w:val="28"/>
          <w:lang w:val="uk-UA"/>
        </w:rPr>
        <w:t xml:space="preserve">за допомогою MS Office Excel </w:t>
      </w:r>
      <w:r w:rsidRPr="00F00EB0">
        <w:rPr>
          <w:rFonts w:ascii="Times New Roman" w:hAnsi="Times New Roman" w:cs="Times New Roman"/>
          <w:color w:val="000000" w:themeColor="text1"/>
          <w:sz w:val="28"/>
          <w:szCs w:val="28"/>
          <w:lang w:val="uk-UA"/>
        </w:rPr>
        <w:t>(</w:t>
      </w:r>
      <w:r w:rsidR="00B16869" w:rsidRPr="00F00EB0">
        <w:rPr>
          <w:rFonts w:ascii="Times New Roman" w:hAnsi="Times New Roman" w:cs="Times New Roman"/>
          <w:color w:val="000000" w:themeColor="text1"/>
          <w:sz w:val="28"/>
          <w:szCs w:val="28"/>
          <w:lang w:val="uk-UA"/>
        </w:rPr>
        <w:t>для</w:t>
      </w:r>
      <w:r w:rsidRPr="00F00EB0">
        <w:rPr>
          <w:rFonts w:ascii="Times New Roman" w:hAnsi="Times New Roman" w:cs="Times New Roman"/>
          <w:color w:val="000000" w:themeColor="text1"/>
          <w:sz w:val="28"/>
          <w:szCs w:val="28"/>
          <w:lang w:val="uk-UA"/>
        </w:rPr>
        <w:t xml:space="preserve"> </w:t>
      </w:r>
      <w:r w:rsidR="00B16869" w:rsidRPr="00F00EB0">
        <w:rPr>
          <w:rFonts w:ascii="Times New Roman" w:hAnsi="Times New Roman" w:cs="Times New Roman"/>
          <w:color w:val="000000" w:themeColor="text1"/>
          <w:sz w:val="28"/>
          <w:szCs w:val="28"/>
          <w:lang w:val="uk-UA"/>
        </w:rPr>
        <w:t xml:space="preserve">обґрунтування впливу макрофакторів на </w:t>
      </w:r>
      <w:r w:rsidR="00042CAE" w:rsidRPr="00F00EB0">
        <w:rPr>
          <w:rFonts w:ascii="Times New Roman" w:hAnsi="Times New Roman" w:cs="Times New Roman"/>
          <w:color w:val="000000" w:themeColor="text1"/>
          <w:sz w:val="28"/>
          <w:szCs w:val="28"/>
          <w:lang w:val="uk-UA"/>
        </w:rPr>
        <w:t>ФСБ</w:t>
      </w:r>
      <w:r w:rsidRPr="00F00EB0">
        <w:rPr>
          <w:rFonts w:ascii="Times New Roman" w:hAnsi="Times New Roman" w:cs="Times New Roman"/>
          <w:color w:val="000000" w:themeColor="text1"/>
          <w:sz w:val="28"/>
          <w:szCs w:val="28"/>
          <w:lang w:val="uk-UA"/>
        </w:rPr>
        <w:t xml:space="preserve">). </w:t>
      </w:r>
    </w:p>
    <w:p w14:paraId="4970C1C0" w14:textId="134D1AD9" w:rsidR="00042CAE" w:rsidRPr="00F00EB0" w:rsidRDefault="00042CAE" w:rsidP="00042CAE">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Робота складається зі вступу, двох розділів (теоретичного та аналітичного), висновків, списку використаних джерел та додаткків. У першому розділі уточнено сутність поняття «ФСБ», систематизовано види та фактори впливу на ФСБ; розроблено системно-процесний підхід механізму забезпечення ФСБ. У другому розділі проведено аналіз фінансової стійкості банківської системи та </w:t>
      </w:r>
      <w:r w:rsidRPr="00F00EB0">
        <w:rPr>
          <w:rFonts w:ascii="Times New Roman" w:eastAsia="Calibri" w:hAnsi="Times New Roman" w:cs="Times New Roman"/>
          <w:color w:val="000000" w:themeColor="text1"/>
          <w:sz w:val="28"/>
          <w:szCs w:val="28"/>
          <w:lang w:val="uk-UA"/>
        </w:rPr>
        <w:t xml:space="preserve">АТ КБ «ПриватБанк» та </w:t>
      </w:r>
      <w:r w:rsidRPr="00F00EB0">
        <w:rPr>
          <w:rFonts w:ascii="Times New Roman" w:hAnsi="Times New Roman" w:cs="Times New Roman"/>
          <w:color w:val="000000" w:themeColor="text1"/>
          <w:sz w:val="28"/>
          <w:szCs w:val="28"/>
          <w:lang w:val="uk-UA"/>
        </w:rPr>
        <w:t xml:space="preserve">охарактеризовано механізм забезпечення фінансової стійкості в ньому; </w:t>
      </w:r>
      <w:r w:rsidRPr="00F00EB0">
        <w:rPr>
          <w:rFonts w:ascii="Times New Roman" w:eastAsia="Calibri" w:hAnsi="Times New Roman" w:cs="Times New Roman"/>
          <w:color w:val="000000" w:themeColor="text1"/>
          <w:sz w:val="28"/>
          <w:szCs w:val="28"/>
          <w:lang w:val="uk-UA"/>
        </w:rPr>
        <w:t>розроблено</w:t>
      </w:r>
      <w:r w:rsidRPr="00F00EB0">
        <w:rPr>
          <w:rFonts w:ascii="Times New Roman" w:eastAsia="Times New Roman" w:hAnsi="Times New Roman" w:cs="Times New Roman"/>
          <w:color w:val="000000" w:themeColor="text1"/>
          <w:sz w:val="28"/>
          <w:szCs w:val="24"/>
          <w:lang w:val="uk-UA"/>
        </w:rPr>
        <w:t xml:space="preserve"> науково-методичний підхід до обґрунтування впливу макрофакторів на фінансову стійкість </w:t>
      </w:r>
      <w:r w:rsidRPr="00F00EB0">
        <w:rPr>
          <w:rFonts w:ascii="Times New Roman" w:eastAsia="Calibri" w:hAnsi="Times New Roman" w:cs="Times New Roman"/>
          <w:color w:val="000000" w:themeColor="text1"/>
          <w:sz w:val="28"/>
          <w:szCs w:val="28"/>
          <w:lang w:val="uk-UA"/>
        </w:rPr>
        <w:t>АТ КБ «ПриватБанк»</w:t>
      </w:r>
      <w:r w:rsidRPr="00F00EB0">
        <w:rPr>
          <w:rFonts w:ascii="Times New Roman" w:hAnsi="Times New Roman" w:cs="Times New Roman"/>
          <w:color w:val="000000" w:themeColor="text1"/>
          <w:sz w:val="28"/>
          <w:szCs w:val="28"/>
          <w:lang w:val="uk-UA"/>
        </w:rPr>
        <w:t xml:space="preserve">. </w:t>
      </w:r>
    </w:p>
    <w:p w14:paraId="341F5314" w14:textId="5FD6FFD8" w:rsidR="000A01B4" w:rsidRPr="00F00EB0" w:rsidRDefault="000A01B4" w:rsidP="00E41F1D">
      <w:pPr>
        <w:tabs>
          <w:tab w:val="left" w:pos="709"/>
        </w:tabs>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Теоретичну основу дослідження сформували положення та висновки, що містяться </w:t>
      </w:r>
      <w:r w:rsidR="00E41F1D" w:rsidRPr="00F00EB0">
        <w:rPr>
          <w:rFonts w:ascii="Times New Roman" w:hAnsi="Times New Roman" w:cs="Times New Roman"/>
          <w:color w:val="000000" w:themeColor="text1"/>
          <w:sz w:val="28"/>
          <w:szCs w:val="28"/>
          <w:lang w:val="uk-UA"/>
        </w:rPr>
        <w:t xml:space="preserve">в працях вітчизняних та зарубіжних науковців, присвячених проблемам аналізу та забезпечення </w:t>
      </w:r>
      <w:r w:rsidR="00042CAE" w:rsidRPr="00F00EB0">
        <w:rPr>
          <w:rFonts w:ascii="Times New Roman" w:hAnsi="Times New Roman" w:cs="Times New Roman"/>
          <w:color w:val="000000" w:themeColor="text1"/>
          <w:sz w:val="28"/>
          <w:szCs w:val="28"/>
          <w:lang w:val="uk-UA"/>
        </w:rPr>
        <w:t>ФСБ</w:t>
      </w:r>
      <w:r w:rsidRPr="00F00EB0">
        <w:rPr>
          <w:rFonts w:ascii="Times New Roman" w:hAnsi="Times New Roman" w:cs="Times New Roman"/>
          <w:color w:val="000000" w:themeColor="text1"/>
          <w:sz w:val="28"/>
          <w:szCs w:val="28"/>
          <w:lang w:val="uk-UA"/>
        </w:rPr>
        <w:t xml:space="preserve">. </w:t>
      </w:r>
    </w:p>
    <w:p w14:paraId="2FAB83DC" w14:textId="02774E25" w:rsidR="00076822" w:rsidRPr="00F00EB0" w:rsidRDefault="00DA6A71" w:rsidP="00042CAE">
      <w:pPr>
        <w:spacing w:after="0" w:line="360" w:lineRule="auto"/>
        <w:ind w:firstLine="709"/>
        <w:jc w:val="both"/>
        <w:rPr>
          <w:color w:val="000000" w:themeColor="text1"/>
          <w:lang w:val="uk-UA"/>
        </w:rPr>
      </w:pPr>
      <w:bookmarkStart w:id="5" w:name="_Hlk138054310"/>
      <w:r w:rsidRPr="00F00EB0">
        <w:rPr>
          <w:rFonts w:ascii="Times New Roman" w:hAnsi="Times New Roman" w:cs="Times New Roman"/>
          <w:color w:val="000000" w:themeColor="text1"/>
          <w:sz w:val="28"/>
          <w:szCs w:val="28"/>
          <w:lang w:val="uk-UA"/>
        </w:rPr>
        <w:t xml:space="preserve">Практичне значення одержаних результатів полягає в тому, що практичні рекомендації </w:t>
      </w:r>
      <w:r w:rsidR="00042CAE" w:rsidRPr="00F00EB0">
        <w:rPr>
          <w:rFonts w:ascii="Times New Roman" w:hAnsi="Times New Roman" w:cs="Times New Roman"/>
          <w:color w:val="000000" w:themeColor="text1"/>
          <w:sz w:val="28"/>
          <w:szCs w:val="28"/>
          <w:lang w:val="uk-UA"/>
        </w:rPr>
        <w:t>можуть бути використані банками України для вдосконалення аналітичного інструментарію забезпечення фінансової стійкості банку, зокрема стрес-тестування</w:t>
      </w:r>
      <w:r w:rsidR="00D00194">
        <w:rPr>
          <w:rFonts w:ascii="Times New Roman" w:hAnsi="Times New Roman" w:cs="Times New Roman"/>
          <w:color w:val="000000" w:themeColor="text1"/>
          <w:sz w:val="28"/>
          <w:szCs w:val="28"/>
          <w:lang w:val="uk-UA"/>
        </w:rPr>
        <w:t>.</w:t>
      </w:r>
      <w:bookmarkEnd w:id="5"/>
      <w:r w:rsidR="00076822" w:rsidRPr="00F00EB0">
        <w:rPr>
          <w:rFonts w:ascii="Times New Roman" w:hAnsi="Times New Roman" w:cs="Times New Roman"/>
          <w:color w:val="000000" w:themeColor="text1"/>
          <w:sz w:val="28"/>
          <w:szCs w:val="28"/>
          <w:lang w:val="uk-UA"/>
        </w:rPr>
        <w:br w:type="page"/>
      </w:r>
    </w:p>
    <w:p w14:paraId="73EAF8B6" w14:textId="5420894B" w:rsidR="00076822" w:rsidRPr="00F00EB0" w:rsidRDefault="00076822" w:rsidP="008E2344">
      <w:pPr>
        <w:pStyle w:val="10"/>
        <w:ind w:firstLine="709"/>
        <w:jc w:val="both"/>
        <w:rPr>
          <w:rFonts w:cs="Times New Roman"/>
          <w:b/>
          <w:color w:val="000000" w:themeColor="text1"/>
          <w:lang w:val="uk-UA"/>
        </w:rPr>
      </w:pPr>
      <w:bookmarkStart w:id="6" w:name="_Toc137414302"/>
      <w:r w:rsidRPr="00F00EB0">
        <w:rPr>
          <w:rFonts w:cs="Times New Roman"/>
          <w:b/>
          <w:color w:val="000000" w:themeColor="text1"/>
          <w:lang w:val="uk-UA"/>
        </w:rPr>
        <w:lastRenderedPageBreak/>
        <w:t>1</w:t>
      </w:r>
      <w:r w:rsidR="00936706" w:rsidRPr="00F00EB0">
        <w:rPr>
          <w:rFonts w:cs="Times New Roman"/>
          <w:b/>
          <w:color w:val="000000" w:themeColor="text1"/>
          <w:lang w:val="uk-UA"/>
        </w:rPr>
        <w:t> </w:t>
      </w:r>
      <w:r w:rsidR="00E172BA" w:rsidRPr="00F00EB0">
        <w:rPr>
          <w:rFonts w:cs="Times New Roman"/>
          <w:b/>
          <w:color w:val="000000" w:themeColor="text1"/>
          <w:lang w:val="uk-UA"/>
        </w:rPr>
        <w:t>ТЕОРЕТИЧНІ</w:t>
      </w:r>
      <w:r w:rsidRPr="00F00EB0">
        <w:rPr>
          <w:rFonts w:cs="Times New Roman"/>
          <w:b/>
          <w:color w:val="000000" w:themeColor="text1"/>
          <w:lang w:val="uk-UA"/>
        </w:rPr>
        <w:t xml:space="preserve"> </w:t>
      </w:r>
      <w:r w:rsidR="00F900D3" w:rsidRPr="00F00EB0">
        <w:rPr>
          <w:rFonts w:cs="Times New Roman"/>
          <w:b/>
          <w:color w:val="000000" w:themeColor="text1"/>
          <w:lang w:val="uk-UA"/>
        </w:rPr>
        <w:t xml:space="preserve">ОСНОВИ </w:t>
      </w:r>
      <w:r w:rsidRPr="00F00EB0">
        <w:rPr>
          <w:rFonts w:cs="Times New Roman"/>
          <w:b/>
          <w:color w:val="000000" w:themeColor="text1"/>
          <w:lang w:val="uk-UA"/>
        </w:rPr>
        <w:t>ЗАБЕЗПЕЧЕННЯ ФІНАНСОВО</w:t>
      </w:r>
      <w:r w:rsidR="00936706" w:rsidRPr="00F00EB0">
        <w:rPr>
          <w:rFonts w:cs="Times New Roman"/>
          <w:b/>
          <w:color w:val="000000" w:themeColor="text1"/>
          <w:lang w:val="uk-UA"/>
        </w:rPr>
        <w:t>Ї</w:t>
      </w:r>
      <w:r w:rsidRPr="00F00EB0">
        <w:rPr>
          <w:rFonts w:cs="Times New Roman"/>
          <w:b/>
          <w:color w:val="000000" w:themeColor="text1"/>
          <w:lang w:val="uk-UA"/>
        </w:rPr>
        <w:t xml:space="preserve"> СТІЙК</w:t>
      </w:r>
      <w:r w:rsidR="00936706" w:rsidRPr="00F00EB0">
        <w:rPr>
          <w:rFonts w:cs="Times New Roman"/>
          <w:b/>
          <w:color w:val="000000" w:themeColor="text1"/>
          <w:lang w:val="uk-UA"/>
        </w:rPr>
        <w:t>О</w:t>
      </w:r>
      <w:r w:rsidRPr="00F00EB0">
        <w:rPr>
          <w:rFonts w:cs="Times New Roman"/>
          <w:b/>
          <w:color w:val="000000" w:themeColor="text1"/>
          <w:lang w:val="uk-UA"/>
        </w:rPr>
        <w:t>СТ</w:t>
      </w:r>
      <w:r w:rsidR="00936706" w:rsidRPr="00F00EB0">
        <w:rPr>
          <w:rFonts w:cs="Times New Roman"/>
          <w:b/>
          <w:color w:val="000000" w:themeColor="text1"/>
          <w:lang w:val="uk-UA"/>
        </w:rPr>
        <w:t>І</w:t>
      </w:r>
      <w:r w:rsidRPr="00F00EB0">
        <w:rPr>
          <w:rFonts w:cs="Times New Roman"/>
          <w:b/>
          <w:color w:val="000000" w:themeColor="text1"/>
          <w:lang w:val="uk-UA"/>
        </w:rPr>
        <w:t xml:space="preserve"> БАНКУ</w:t>
      </w:r>
      <w:bookmarkEnd w:id="6"/>
    </w:p>
    <w:p w14:paraId="18544140" w14:textId="3E2451D0" w:rsidR="00076822" w:rsidRPr="00F00EB0" w:rsidRDefault="00076822" w:rsidP="001975B7">
      <w:pPr>
        <w:pStyle w:val="10"/>
        <w:ind w:firstLine="709"/>
        <w:jc w:val="both"/>
        <w:rPr>
          <w:rFonts w:cs="Times New Roman"/>
          <w:bCs/>
          <w:color w:val="000000" w:themeColor="text1"/>
          <w:lang w:val="uk-UA"/>
        </w:rPr>
      </w:pPr>
      <w:bookmarkStart w:id="7" w:name="_Toc137414303"/>
      <w:r w:rsidRPr="00F00EB0">
        <w:rPr>
          <w:rFonts w:cs="Times New Roman"/>
          <w:bCs/>
          <w:color w:val="000000" w:themeColor="text1"/>
          <w:lang w:val="uk-UA"/>
        </w:rPr>
        <w:t>1.1</w:t>
      </w:r>
      <w:r w:rsidR="00936706" w:rsidRPr="00F00EB0">
        <w:rPr>
          <w:rFonts w:cs="Times New Roman"/>
          <w:bCs/>
          <w:color w:val="000000" w:themeColor="text1"/>
          <w:lang w:val="uk-UA"/>
        </w:rPr>
        <w:t> </w:t>
      </w:r>
      <w:r w:rsidR="00E172BA" w:rsidRPr="00F00EB0">
        <w:rPr>
          <w:rFonts w:cs="Times New Roman"/>
          <w:bCs/>
          <w:color w:val="000000" w:themeColor="text1"/>
          <w:lang w:val="uk-UA"/>
        </w:rPr>
        <w:t>Сутність поняття</w:t>
      </w:r>
      <w:r w:rsidR="00D8627C" w:rsidRPr="00F00EB0">
        <w:rPr>
          <w:rFonts w:cs="Times New Roman"/>
          <w:bCs/>
          <w:color w:val="000000" w:themeColor="text1"/>
          <w:lang w:val="uk-UA"/>
        </w:rPr>
        <w:t xml:space="preserve"> </w:t>
      </w:r>
      <w:r w:rsidRPr="00F00EB0">
        <w:rPr>
          <w:rFonts w:cs="Times New Roman"/>
          <w:bCs/>
          <w:color w:val="000000" w:themeColor="text1"/>
          <w:lang w:val="uk-UA"/>
        </w:rPr>
        <w:t>«фінансова стійкість банку» та фактори, що визначають її рівень</w:t>
      </w:r>
      <w:bookmarkEnd w:id="7"/>
      <w:r w:rsidR="00E172BA" w:rsidRPr="00F00EB0">
        <w:rPr>
          <w:rFonts w:cs="Times New Roman"/>
          <w:bCs/>
          <w:color w:val="000000" w:themeColor="text1"/>
          <w:lang w:val="uk-UA"/>
        </w:rPr>
        <w:t xml:space="preserve"> </w:t>
      </w:r>
    </w:p>
    <w:p w14:paraId="20CE97D8" w14:textId="1CFBCA17" w:rsidR="005E1E69" w:rsidRPr="00F00EB0" w:rsidRDefault="005E1E69" w:rsidP="001975B7">
      <w:pPr>
        <w:spacing w:after="0" w:line="360" w:lineRule="auto"/>
        <w:ind w:firstLine="709"/>
        <w:contextualSpacing/>
        <w:jc w:val="both"/>
        <w:rPr>
          <w:rFonts w:ascii="Times New Roman" w:hAnsi="Times New Roman" w:cs="Times New Roman"/>
          <w:color w:val="000000" w:themeColor="text1"/>
          <w:sz w:val="28"/>
          <w:szCs w:val="28"/>
          <w:lang w:val="uk-UA"/>
        </w:rPr>
      </w:pPr>
    </w:p>
    <w:p w14:paraId="0284A6B5" w14:textId="77777777" w:rsidR="00EE403B" w:rsidRPr="00F00EB0" w:rsidRDefault="00EE403B" w:rsidP="001975B7">
      <w:pPr>
        <w:spacing w:after="0" w:line="360" w:lineRule="auto"/>
        <w:ind w:firstLine="709"/>
        <w:contextualSpacing/>
        <w:jc w:val="both"/>
        <w:rPr>
          <w:rFonts w:ascii="Times New Roman" w:hAnsi="Times New Roman" w:cs="Times New Roman"/>
          <w:color w:val="000000" w:themeColor="text1"/>
          <w:sz w:val="28"/>
          <w:szCs w:val="28"/>
          <w:lang w:val="uk-UA"/>
        </w:rPr>
      </w:pPr>
    </w:p>
    <w:p w14:paraId="23ACFC4E" w14:textId="77777777" w:rsidR="00462625" w:rsidRPr="00F00EB0" w:rsidRDefault="00F07FBC" w:rsidP="001975B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Банківська система має важливе значення для економіки країни, оскільки виконує низку важливих функцій, ефективна реалізація яких особливо важлива в поточних умовах функціонування. </w:t>
      </w:r>
    </w:p>
    <w:p w14:paraId="5CC369AF" w14:textId="5E9CD483" w:rsidR="00BA4316" w:rsidRPr="00F00EB0" w:rsidRDefault="00FA525E" w:rsidP="004D60A5">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На перше місце </w:t>
      </w:r>
      <w:r w:rsidR="00C634CE" w:rsidRPr="00F00EB0">
        <w:rPr>
          <w:rFonts w:ascii="Times New Roman" w:hAnsi="Times New Roman" w:cs="Times New Roman"/>
          <w:color w:val="000000" w:themeColor="text1"/>
          <w:sz w:val="28"/>
          <w:szCs w:val="28"/>
          <w:lang w:val="uk-UA"/>
        </w:rPr>
        <w:t xml:space="preserve">в умовах повномасштабної військової агресії з боку росії відіграє виконання </w:t>
      </w:r>
      <w:r w:rsidR="00E87ACB" w:rsidRPr="00F00EB0">
        <w:rPr>
          <w:rFonts w:ascii="Times New Roman" w:hAnsi="Times New Roman" w:cs="Times New Roman"/>
          <w:color w:val="000000" w:themeColor="text1"/>
          <w:sz w:val="28"/>
          <w:szCs w:val="28"/>
          <w:lang w:val="uk-UA"/>
        </w:rPr>
        <w:t>банками</w:t>
      </w:r>
      <w:r w:rsidR="00C634CE" w:rsidRPr="00F00EB0">
        <w:rPr>
          <w:rFonts w:ascii="Times New Roman" w:hAnsi="Times New Roman" w:cs="Times New Roman"/>
          <w:color w:val="000000" w:themeColor="text1"/>
          <w:sz w:val="28"/>
          <w:szCs w:val="28"/>
          <w:lang w:val="uk-UA"/>
        </w:rPr>
        <w:t xml:space="preserve"> стабілізаційної функції, оскільки війна </w:t>
      </w:r>
      <w:r w:rsidR="00E87ACB" w:rsidRPr="00F00EB0">
        <w:rPr>
          <w:rFonts w:ascii="Times New Roman" w:hAnsi="Times New Roman" w:cs="Times New Roman"/>
          <w:color w:val="000000" w:themeColor="text1"/>
          <w:sz w:val="28"/>
          <w:szCs w:val="28"/>
          <w:lang w:val="uk-UA"/>
        </w:rPr>
        <w:t>призводить</w:t>
      </w:r>
      <w:r w:rsidR="00C634CE" w:rsidRPr="00F00EB0">
        <w:rPr>
          <w:rFonts w:ascii="Times New Roman" w:hAnsi="Times New Roman" w:cs="Times New Roman"/>
          <w:color w:val="000000" w:themeColor="text1"/>
          <w:sz w:val="28"/>
          <w:szCs w:val="28"/>
          <w:lang w:val="uk-UA"/>
        </w:rPr>
        <w:t xml:space="preserve"> до наростання кризового потенціалу. Банки</w:t>
      </w:r>
      <w:r w:rsidR="00E87ACB" w:rsidRPr="00F00EB0">
        <w:rPr>
          <w:rFonts w:ascii="Times New Roman" w:hAnsi="Times New Roman" w:cs="Times New Roman"/>
          <w:color w:val="000000" w:themeColor="text1"/>
          <w:sz w:val="28"/>
          <w:szCs w:val="28"/>
          <w:lang w:val="uk-UA"/>
        </w:rPr>
        <w:t xml:space="preserve"> України</w:t>
      </w:r>
      <w:r w:rsidR="00C634CE" w:rsidRPr="00F00EB0">
        <w:rPr>
          <w:rFonts w:ascii="Times New Roman" w:hAnsi="Times New Roman" w:cs="Times New Roman"/>
          <w:color w:val="000000" w:themeColor="text1"/>
          <w:sz w:val="28"/>
          <w:szCs w:val="28"/>
          <w:lang w:val="uk-UA"/>
        </w:rPr>
        <w:t xml:space="preserve"> мають здійснювати ефективний ризик-менеджмент, забезпечувати достатню капіталізацію та ліквідність, а також ефективно контролювати кредитний портфель. За умови </w:t>
      </w:r>
      <w:r w:rsidR="00E87ACB" w:rsidRPr="00F00EB0">
        <w:rPr>
          <w:rFonts w:ascii="Times New Roman" w:hAnsi="Times New Roman" w:cs="Times New Roman"/>
          <w:color w:val="000000" w:themeColor="text1"/>
          <w:sz w:val="28"/>
          <w:szCs w:val="28"/>
          <w:lang w:val="uk-UA"/>
        </w:rPr>
        <w:t>виконання</w:t>
      </w:r>
      <w:r w:rsidR="00C634CE" w:rsidRPr="00F00EB0">
        <w:rPr>
          <w:rFonts w:ascii="Times New Roman" w:hAnsi="Times New Roman" w:cs="Times New Roman"/>
          <w:color w:val="000000" w:themeColor="text1"/>
          <w:sz w:val="28"/>
          <w:szCs w:val="28"/>
          <w:lang w:val="uk-UA"/>
        </w:rPr>
        <w:t xml:space="preserve"> стабілізаційної функції</w:t>
      </w:r>
      <w:r w:rsidR="00462625" w:rsidRPr="00F00EB0">
        <w:rPr>
          <w:rFonts w:ascii="Times New Roman" w:hAnsi="Times New Roman" w:cs="Times New Roman"/>
          <w:color w:val="000000" w:themeColor="text1"/>
          <w:sz w:val="28"/>
          <w:szCs w:val="28"/>
          <w:lang w:val="uk-UA"/>
        </w:rPr>
        <w:t xml:space="preserve"> банки </w:t>
      </w:r>
      <w:r w:rsidR="00E87ACB" w:rsidRPr="00F00EB0">
        <w:rPr>
          <w:rFonts w:ascii="Times New Roman" w:hAnsi="Times New Roman" w:cs="Times New Roman"/>
          <w:color w:val="000000" w:themeColor="text1"/>
          <w:sz w:val="28"/>
          <w:szCs w:val="28"/>
          <w:lang w:val="uk-UA"/>
        </w:rPr>
        <w:t xml:space="preserve">України </w:t>
      </w:r>
      <w:r w:rsidR="00462625" w:rsidRPr="00F00EB0">
        <w:rPr>
          <w:rFonts w:ascii="Times New Roman" w:hAnsi="Times New Roman" w:cs="Times New Roman"/>
          <w:color w:val="000000" w:themeColor="text1"/>
          <w:sz w:val="28"/>
          <w:szCs w:val="28"/>
          <w:lang w:val="uk-UA"/>
        </w:rPr>
        <w:t>зможуть забезпечити безперебійне функціонування платіжної системи шляхом швидких та безпечних механізмів здійснення платежів та переказів коштів як в межах країни, так і міжнародно.</w:t>
      </w:r>
      <w:r w:rsidR="00C634CE" w:rsidRPr="00F00EB0">
        <w:rPr>
          <w:rFonts w:ascii="Times New Roman" w:hAnsi="Times New Roman" w:cs="Times New Roman"/>
          <w:color w:val="000000" w:themeColor="text1"/>
          <w:sz w:val="28"/>
          <w:szCs w:val="28"/>
          <w:lang w:val="uk-UA"/>
        </w:rPr>
        <w:t xml:space="preserve"> </w:t>
      </w:r>
      <w:r w:rsidR="00462625" w:rsidRPr="00F00EB0">
        <w:rPr>
          <w:rFonts w:ascii="Times New Roman" w:hAnsi="Times New Roman" w:cs="Times New Roman"/>
          <w:color w:val="000000" w:themeColor="text1"/>
          <w:sz w:val="28"/>
          <w:szCs w:val="28"/>
          <w:lang w:val="uk-UA"/>
        </w:rPr>
        <w:t xml:space="preserve">Підтримка на належному рівні </w:t>
      </w:r>
      <w:r w:rsidR="000F4785" w:rsidRPr="00F00EB0">
        <w:rPr>
          <w:rFonts w:ascii="Times New Roman" w:hAnsi="Times New Roman" w:cs="Times New Roman"/>
          <w:color w:val="000000" w:themeColor="text1"/>
          <w:sz w:val="28"/>
          <w:szCs w:val="28"/>
          <w:lang w:val="uk-UA"/>
        </w:rPr>
        <w:t xml:space="preserve">ФСБ </w:t>
      </w:r>
      <w:r w:rsidR="00E87ACB" w:rsidRPr="00F00EB0">
        <w:rPr>
          <w:rFonts w:ascii="Times New Roman" w:hAnsi="Times New Roman" w:cs="Times New Roman"/>
          <w:color w:val="000000" w:themeColor="text1"/>
          <w:sz w:val="28"/>
          <w:szCs w:val="28"/>
          <w:lang w:val="uk-UA"/>
        </w:rPr>
        <w:t xml:space="preserve">також </w:t>
      </w:r>
      <w:r w:rsidR="00462625" w:rsidRPr="00F00EB0">
        <w:rPr>
          <w:rFonts w:ascii="Times New Roman" w:hAnsi="Times New Roman" w:cs="Times New Roman"/>
          <w:color w:val="000000" w:themeColor="text1"/>
          <w:sz w:val="28"/>
          <w:szCs w:val="28"/>
          <w:lang w:val="uk-UA"/>
        </w:rPr>
        <w:t>створить належні умови для ефективної операційної діяльності, що сформує фундамент довгострокової життєздатності банку.</w:t>
      </w:r>
      <w:r w:rsidR="004D60A5" w:rsidRPr="00F00EB0">
        <w:rPr>
          <w:rFonts w:ascii="Times New Roman" w:hAnsi="Times New Roman" w:cs="Times New Roman"/>
          <w:color w:val="000000" w:themeColor="text1"/>
          <w:sz w:val="28"/>
          <w:szCs w:val="28"/>
          <w:lang w:val="uk-UA"/>
        </w:rPr>
        <w:t xml:space="preserve"> </w:t>
      </w:r>
      <w:r w:rsidR="00462625" w:rsidRPr="00F00EB0">
        <w:rPr>
          <w:rFonts w:ascii="Times New Roman" w:hAnsi="Times New Roman" w:cs="Times New Roman"/>
          <w:color w:val="000000" w:themeColor="text1"/>
          <w:sz w:val="28"/>
          <w:szCs w:val="28"/>
          <w:lang w:val="uk-UA"/>
        </w:rPr>
        <w:t xml:space="preserve">Зважаючи </w:t>
      </w:r>
      <w:r w:rsidR="00D34C23" w:rsidRPr="00F00EB0">
        <w:rPr>
          <w:rFonts w:ascii="Times New Roman" w:hAnsi="Times New Roman" w:cs="Times New Roman"/>
          <w:color w:val="000000" w:themeColor="text1"/>
          <w:sz w:val="28"/>
          <w:szCs w:val="28"/>
          <w:lang w:val="uk-UA"/>
        </w:rPr>
        <w:t xml:space="preserve">на </w:t>
      </w:r>
      <w:r w:rsidR="00F25B21" w:rsidRPr="00F00EB0">
        <w:rPr>
          <w:rFonts w:ascii="Times New Roman" w:hAnsi="Times New Roman" w:cs="Times New Roman"/>
          <w:color w:val="000000" w:themeColor="text1"/>
          <w:sz w:val="28"/>
          <w:szCs w:val="28"/>
          <w:lang w:val="uk-UA"/>
        </w:rPr>
        <w:t>це</w:t>
      </w:r>
      <w:r w:rsidR="00D34C23" w:rsidRPr="00F00EB0">
        <w:rPr>
          <w:rFonts w:ascii="Times New Roman" w:hAnsi="Times New Roman" w:cs="Times New Roman"/>
          <w:color w:val="000000" w:themeColor="text1"/>
          <w:sz w:val="28"/>
          <w:szCs w:val="28"/>
          <w:lang w:val="uk-UA"/>
        </w:rPr>
        <w:t xml:space="preserve">, для </w:t>
      </w:r>
      <w:r w:rsidR="00740FA8" w:rsidRPr="00F00EB0">
        <w:rPr>
          <w:rFonts w:ascii="Times New Roman" w:hAnsi="Times New Roman" w:cs="Times New Roman"/>
          <w:color w:val="000000" w:themeColor="text1"/>
          <w:sz w:val="28"/>
          <w:szCs w:val="28"/>
          <w:lang w:val="uk-UA"/>
        </w:rPr>
        <w:t xml:space="preserve">банків </w:t>
      </w:r>
      <w:r w:rsidR="00D34C23" w:rsidRPr="00F00EB0">
        <w:rPr>
          <w:rFonts w:ascii="Times New Roman" w:hAnsi="Times New Roman" w:cs="Times New Roman"/>
          <w:color w:val="000000" w:themeColor="text1"/>
          <w:sz w:val="28"/>
          <w:szCs w:val="28"/>
          <w:lang w:val="uk-UA"/>
        </w:rPr>
        <w:t xml:space="preserve">України в поточних умовах </w:t>
      </w:r>
      <w:r w:rsidR="005E1E69" w:rsidRPr="00F00EB0">
        <w:rPr>
          <w:rFonts w:ascii="Times New Roman" w:hAnsi="Times New Roman" w:cs="Times New Roman"/>
          <w:color w:val="000000" w:themeColor="text1"/>
          <w:sz w:val="28"/>
          <w:szCs w:val="28"/>
          <w:lang w:val="uk-UA"/>
        </w:rPr>
        <w:t xml:space="preserve">одним з пріоритетів </w:t>
      </w:r>
      <w:r w:rsidR="00D34C23" w:rsidRPr="00F00EB0">
        <w:rPr>
          <w:rFonts w:ascii="Times New Roman" w:hAnsi="Times New Roman" w:cs="Times New Roman"/>
          <w:color w:val="000000" w:themeColor="text1"/>
          <w:sz w:val="28"/>
          <w:szCs w:val="28"/>
          <w:lang w:val="uk-UA"/>
        </w:rPr>
        <w:t>банківського менеджменту є забезпечення цільового рівня їх фінансової стійкості на основі застосування</w:t>
      </w:r>
      <w:r w:rsidR="004E22AE" w:rsidRPr="00F00EB0">
        <w:rPr>
          <w:rFonts w:ascii="Times New Roman" w:hAnsi="Times New Roman" w:cs="Times New Roman"/>
          <w:color w:val="000000" w:themeColor="text1"/>
          <w:sz w:val="28"/>
          <w:szCs w:val="28"/>
          <w:lang w:val="uk-UA"/>
        </w:rPr>
        <w:t xml:space="preserve"> нових </w:t>
      </w:r>
      <w:r w:rsidR="00D34C23" w:rsidRPr="00F00EB0">
        <w:rPr>
          <w:rFonts w:ascii="Times New Roman" w:hAnsi="Times New Roman" w:cs="Times New Roman"/>
          <w:color w:val="000000" w:themeColor="text1"/>
          <w:sz w:val="28"/>
          <w:szCs w:val="28"/>
          <w:lang w:val="uk-UA"/>
        </w:rPr>
        <w:t>інноваційних</w:t>
      </w:r>
      <w:r w:rsidR="004E22AE" w:rsidRPr="00F00EB0">
        <w:rPr>
          <w:rFonts w:ascii="Times New Roman" w:hAnsi="Times New Roman" w:cs="Times New Roman"/>
          <w:color w:val="000000" w:themeColor="text1"/>
          <w:sz w:val="28"/>
          <w:szCs w:val="28"/>
          <w:lang w:val="uk-UA"/>
        </w:rPr>
        <w:t xml:space="preserve"> </w:t>
      </w:r>
      <w:r w:rsidR="00D34C23" w:rsidRPr="00F00EB0">
        <w:rPr>
          <w:rFonts w:ascii="Times New Roman" w:hAnsi="Times New Roman" w:cs="Times New Roman"/>
          <w:color w:val="000000" w:themeColor="text1"/>
          <w:sz w:val="28"/>
          <w:szCs w:val="28"/>
          <w:lang w:val="uk-UA"/>
        </w:rPr>
        <w:t>інструментів, методів та механізмів</w:t>
      </w:r>
      <w:r w:rsidR="004E22AE" w:rsidRPr="00F00EB0">
        <w:rPr>
          <w:rFonts w:ascii="Times New Roman" w:hAnsi="Times New Roman" w:cs="Times New Roman"/>
          <w:color w:val="000000" w:themeColor="text1"/>
          <w:sz w:val="28"/>
          <w:szCs w:val="28"/>
          <w:lang w:val="uk-UA"/>
        </w:rPr>
        <w:t>, адекватн</w:t>
      </w:r>
      <w:r w:rsidR="00D34C23" w:rsidRPr="00F00EB0">
        <w:rPr>
          <w:rFonts w:ascii="Times New Roman" w:hAnsi="Times New Roman" w:cs="Times New Roman"/>
          <w:color w:val="000000" w:themeColor="text1"/>
          <w:sz w:val="28"/>
          <w:szCs w:val="28"/>
          <w:lang w:val="uk-UA"/>
        </w:rPr>
        <w:t>их</w:t>
      </w:r>
      <w:r w:rsidR="004E22AE" w:rsidRPr="00F00EB0">
        <w:rPr>
          <w:rFonts w:ascii="Times New Roman" w:hAnsi="Times New Roman" w:cs="Times New Roman"/>
          <w:color w:val="000000" w:themeColor="text1"/>
          <w:sz w:val="28"/>
          <w:szCs w:val="28"/>
          <w:lang w:val="uk-UA"/>
        </w:rPr>
        <w:t xml:space="preserve"> умовам сьогодення. </w:t>
      </w:r>
    </w:p>
    <w:p w14:paraId="39D01474" w14:textId="023A1E8B" w:rsidR="00DE1111" w:rsidRPr="00F00EB0" w:rsidRDefault="007D252D" w:rsidP="00DE1111">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Забезпечення </w:t>
      </w:r>
      <w:r w:rsidR="000F4785" w:rsidRPr="00F00EB0">
        <w:rPr>
          <w:rFonts w:ascii="Times New Roman" w:hAnsi="Times New Roman" w:cs="Times New Roman"/>
          <w:color w:val="000000" w:themeColor="text1"/>
          <w:sz w:val="28"/>
          <w:szCs w:val="28"/>
          <w:lang w:val="uk-UA"/>
        </w:rPr>
        <w:t>ФСБ</w:t>
      </w:r>
      <w:r w:rsidR="00DE1111" w:rsidRPr="00F00EB0">
        <w:rPr>
          <w:rFonts w:ascii="Times New Roman" w:hAnsi="Times New Roman" w:cs="Times New Roman"/>
          <w:color w:val="000000" w:themeColor="text1"/>
          <w:sz w:val="28"/>
          <w:szCs w:val="28"/>
          <w:lang w:val="uk-UA"/>
        </w:rPr>
        <w:t xml:space="preserve"> </w:t>
      </w:r>
      <w:r w:rsidRPr="00F00EB0">
        <w:rPr>
          <w:rFonts w:ascii="Times New Roman" w:hAnsi="Times New Roman" w:cs="Times New Roman"/>
          <w:color w:val="000000" w:themeColor="text1"/>
          <w:sz w:val="28"/>
          <w:szCs w:val="28"/>
          <w:lang w:val="uk-UA"/>
        </w:rPr>
        <w:t>потребує</w:t>
      </w:r>
      <w:r w:rsidR="00DE1111" w:rsidRPr="00F00EB0">
        <w:rPr>
          <w:rFonts w:ascii="Times New Roman" w:hAnsi="Times New Roman" w:cs="Times New Roman"/>
          <w:color w:val="000000" w:themeColor="text1"/>
          <w:sz w:val="28"/>
          <w:szCs w:val="28"/>
          <w:lang w:val="uk-UA"/>
        </w:rPr>
        <w:t xml:space="preserve"> уточнення </w:t>
      </w:r>
      <w:r w:rsidRPr="00F00EB0">
        <w:rPr>
          <w:rFonts w:ascii="Times New Roman" w:hAnsi="Times New Roman" w:cs="Times New Roman"/>
          <w:color w:val="000000" w:themeColor="text1"/>
          <w:sz w:val="28"/>
          <w:szCs w:val="28"/>
          <w:lang w:val="uk-UA"/>
        </w:rPr>
        <w:t>сутності цього поняття</w:t>
      </w:r>
      <w:r w:rsidR="00DE1111" w:rsidRPr="00F00EB0">
        <w:rPr>
          <w:rFonts w:ascii="Times New Roman" w:hAnsi="Times New Roman" w:cs="Times New Roman"/>
          <w:color w:val="000000" w:themeColor="text1"/>
          <w:sz w:val="28"/>
          <w:szCs w:val="28"/>
          <w:lang w:val="uk-UA"/>
        </w:rPr>
        <w:t>, оскільки</w:t>
      </w:r>
      <w:r w:rsidRPr="00F00EB0">
        <w:rPr>
          <w:rFonts w:ascii="Times New Roman" w:hAnsi="Times New Roman" w:cs="Times New Roman"/>
          <w:color w:val="000000" w:themeColor="text1"/>
          <w:sz w:val="28"/>
          <w:szCs w:val="28"/>
          <w:lang w:val="uk-UA"/>
        </w:rPr>
        <w:t xml:space="preserve"> на цій основі формується </w:t>
      </w:r>
      <w:r w:rsidR="0078246B" w:rsidRPr="00F00EB0">
        <w:rPr>
          <w:rFonts w:ascii="Times New Roman" w:hAnsi="Times New Roman" w:cs="Times New Roman"/>
          <w:color w:val="000000" w:themeColor="text1"/>
          <w:sz w:val="28"/>
          <w:szCs w:val="28"/>
          <w:lang w:val="uk-UA"/>
        </w:rPr>
        <w:t>об’єктне</w:t>
      </w:r>
      <w:r w:rsidRPr="00F00EB0">
        <w:rPr>
          <w:rFonts w:ascii="Times New Roman" w:hAnsi="Times New Roman" w:cs="Times New Roman"/>
          <w:color w:val="000000" w:themeColor="text1"/>
          <w:sz w:val="28"/>
          <w:szCs w:val="28"/>
          <w:lang w:val="uk-UA"/>
        </w:rPr>
        <w:t xml:space="preserve"> поле управління.</w:t>
      </w:r>
    </w:p>
    <w:p w14:paraId="3019E710" w14:textId="03035597" w:rsidR="00006620" w:rsidRPr="00F00EB0" w:rsidRDefault="00006620" w:rsidP="004D60A5">
      <w:pPr>
        <w:spacing w:after="0" w:line="360" w:lineRule="auto"/>
        <w:ind w:firstLine="709"/>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 xml:space="preserve">Використання Google Trend дозволило встановити, що пошукові запити користувачів інтернет-мережі щодо ФСБ («financial stability of the bank») є достаньо високими зі зростанням у періоди нестабільності або виникнення кризових явищ (рис. 1.1). </w:t>
      </w:r>
    </w:p>
    <w:p w14:paraId="6CC22016" w14:textId="77777777" w:rsidR="00006620" w:rsidRPr="00F00EB0" w:rsidRDefault="00006620" w:rsidP="00006620">
      <w:pPr>
        <w:spacing w:after="0" w:line="360" w:lineRule="auto"/>
        <w:jc w:val="both"/>
        <w:rPr>
          <w:rFonts w:ascii="Times New Roman" w:eastAsia="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lang w:eastAsia="ru-RU"/>
        </w:rPr>
        <w:lastRenderedPageBreak/>
        <w:drawing>
          <wp:inline distT="0" distB="0" distL="0" distR="0" wp14:anchorId="2214FCD9" wp14:editId="3E8C24E2">
            <wp:extent cx="6119495" cy="4814372"/>
            <wp:effectExtent l="0" t="0" r="0" b="0"/>
            <wp:docPr id="1324" name="Диаграмма 13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E55CC92" w14:textId="7F3F3A9C" w:rsidR="00006620" w:rsidRPr="00F00EB0" w:rsidRDefault="00006620" w:rsidP="00006620">
      <w:pPr>
        <w:spacing w:after="0" w:line="360" w:lineRule="auto"/>
        <w:jc w:val="center"/>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Рисунок 1.1 – Динаміка пошукових запитів у Google щодо проблем фінансової стійкості банків у світі та в Україні за період 2004 р. –2022</w:t>
      </w:r>
      <w:r w:rsidRPr="00F00EB0">
        <w:rPr>
          <w:rFonts w:ascii="Times New Roman" w:eastAsia="Times New Roman" w:hAnsi="Times New Roman" w:cs="Times New Roman"/>
          <w:color w:val="000000" w:themeColor="text1"/>
          <w:lang w:val="uk-UA"/>
        </w:rPr>
        <w:t> </w:t>
      </w:r>
      <w:r w:rsidRPr="00F00EB0">
        <w:rPr>
          <w:rFonts w:ascii="Times New Roman" w:eastAsia="Times New Roman" w:hAnsi="Times New Roman" w:cs="Times New Roman"/>
          <w:color w:val="000000" w:themeColor="text1"/>
          <w:sz w:val="28"/>
          <w:szCs w:val="28"/>
          <w:lang w:val="uk-UA"/>
        </w:rPr>
        <w:t>р. [побудовано автором із використанням інструментарію Google Trends (</w:t>
      </w:r>
      <w:hyperlink r:id="rId14">
        <w:r w:rsidRPr="00F00EB0">
          <w:rPr>
            <w:rFonts w:ascii="Times New Roman" w:eastAsia="Times New Roman" w:hAnsi="Times New Roman" w:cs="Times New Roman"/>
            <w:color w:val="000000" w:themeColor="text1"/>
            <w:sz w:val="28"/>
            <w:szCs w:val="28"/>
            <w:u w:val="single"/>
            <w:lang w:val="uk-UA"/>
          </w:rPr>
          <w:t>www.google.com/trends</w:t>
        </w:r>
      </w:hyperlink>
      <w:r w:rsidRPr="00F00EB0">
        <w:rPr>
          <w:rFonts w:ascii="Times New Roman" w:eastAsia="Times New Roman" w:hAnsi="Times New Roman" w:cs="Times New Roman"/>
          <w:color w:val="000000" w:themeColor="text1"/>
          <w:sz w:val="28"/>
          <w:szCs w:val="28"/>
          <w:lang w:val="uk-UA"/>
        </w:rPr>
        <w:t>)]</w:t>
      </w:r>
    </w:p>
    <w:p w14:paraId="6C96027C" w14:textId="77777777" w:rsidR="00006620" w:rsidRPr="00F00EB0" w:rsidRDefault="00006620" w:rsidP="00006620">
      <w:pPr>
        <w:spacing w:after="0" w:line="360" w:lineRule="auto"/>
        <w:ind w:firstLine="709"/>
        <w:jc w:val="both"/>
        <w:rPr>
          <w:rFonts w:ascii="Times New Roman" w:eastAsia="Times New Roman" w:hAnsi="Times New Roman" w:cs="Times New Roman"/>
          <w:color w:val="000000" w:themeColor="text1"/>
          <w:sz w:val="28"/>
          <w:szCs w:val="28"/>
          <w:lang w:val="uk-UA"/>
        </w:rPr>
      </w:pPr>
    </w:p>
    <w:p w14:paraId="2D925C15" w14:textId="77777777" w:rsidR="00006620" w:rsidRPr="00F00EB0" w:rsidRDefault="00006620" w:rsidP="00006620">
      <w:pPr>
        <w:spacing w:after="0" w:line="360" w:lineRule="auto"/>
        <w:ind w:firstLine="709"/>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Аналізуючи дані, наведені на рисунку 1.1, ми можемо підтвердити той факт, що тематика досліджень фінансової стійкості банку знаходиться в центрі постійного інтересу, що, на нашу думку, є наслідком важливості для функціонування мікро- та макросистем.</w:t>
      </w:r>
    </w:p>
    <w:p w14:paraId="5C2EF8C6" w14:textId="662F8711" w:rsidR="00327E93" w:rsidRPr="00F00EB0" w:rsidRDefault="0085306B" w:rsidP="00006620">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Поняття «ФСБ» пов’язане ієрархічними зв’язками з такими поняттями, як «стійкість банківської системи», «фінансова стійкість» та «банківська стійкість», але має свої особливості, орієнтовані на фінансову рівновагу, стійкість та життєздатність самого банку (рис. 1.</w:t>
      </w:r>
      <w:r w:rsidR="00006620" w:rsidRPr="00F00EB0">
        <w:rPr>
          <w:rFonts w:ascii="Times New Roman" w:hAnsi="Times New Roman" w:cs="Times New Roman"/>
          <w:color w:val="000000" w:themeColor="text1"/>
          <w:sz w:val="28"/>
          <w:szCs w:val="28"/>
          <w:lang w:val="uk-UA"/>
        </w:rPr>
        <w:t>2</w:t>
      </w:r>
      <w:r w:rsidRPr="00F00EB0">
        <w:rPr>
          <w:rFonts w:ascii="Times New Roman" w:hAnsi="Times New Roman" w:cs="Times New Roman"/>
          <w:color w:val="000000" w:themeColor="text1"/>
          <w:sz w:val="28"/>
          <w:szCs w:val="28"/>
          <w:lang w:val="uk-UA"/>
        </w:rPr>
        <w:t>).</w:t>
      </w:r>
    </w:p>
    <w:p w14:paraId="485D7882" w14:textId="77777777" w:rsidR="00327E93" w:rsidRPr="00F00EB0" w:rsidRDefault="00327E93">
      <w:pPr>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br w:type="page"/>
      </w:r>
    </w:p>
    <w:p w14:paraId="4792E15A" w14:textId="66037444" w:rsidR="00DD5D07" w:rsidRPr="00F00EB0" w:rsidRDefault="00D90F03" w:rsidP="00F90DDA">
      <w:pPr>
        <w:tabs>
          <w:tab w:val="center" w:pos="5315"/>
        </w:tabs>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lang w:eastAsia="ru-RU"/>
        </w:rPr>
        <w:lastRenderedPageBreak/>
        <mc:AlternateContent>
          <mc:Choice Requires="wps">
            <w:drawing>
              <wp:anchor distT="0" distB="0" distL="114300" distR="114300" simplePos="0" relativeHeight="251646464" behindDoc="0" locked="0" layoutInCell="1" allowOverlap="1" wp14:anchorId="6586CEC6" wp14:editId="39F7F5FF">
                <wp:simplePos x="0" y="0"/>
                <wp:positionH relativeFrom="column">
                  <wp:posOffset>369570</wp:posOffset>
                </wp:positionH>
                <wp:positionV relativeFrom="paragraph">
                  <wp:posOffset>-210185</wp:posOffset>
                </wp:positionV>
                <wp:extent cx="996950" cy="1724660"/>
                <wp:effectExtent l="10795" t="16510" r="26670" b="15240"/>
                <wp:wrapNone/>
                <wp:docPr id="618621277" name="Рівнобедрений трикут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996950" cy="1724660"/>
                        </a:xfrm>
                        <a:prstGeom prst="triangle">
                          <a:avLst>
                            <a:gd name="adj" fmla="val 48977"/>
                          </a:avLst>
                        </a:prstGeom>
                        <a:gradFill rotWithShape="1">
                          <a:gsLst>
                            <a:gs pos="0">
                              <a:srgbClr val="9B9B9B"/>
                            </a:gs>
                            <a:gs pos="50000">
                              <a:srgbClr val="8E8E8E"/>
                            </a:gs>
                            <a:gs pos="100000">
                              <a:srgbClr val="797979"/>
                            </a:gs>
                          </a:gsLst>
                          <a:lin ang="5400000"/>
                        </a:gradFill>
                        <a:ln w="635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22E265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івнобедрений трикутник 5" o:spid="_x0000_s1026" type="#_x0000_t5" style="position:absolute;margin-left:29.1pt;margin-top:-16.55pt;width:78.5pt;height:135.8pt;rotation:90;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" adj="10579" fillcolor="#9b9b9b" strokeweight=".5pt">
                <v:fill color2="#797979" rotate="t" colors="0 #9b9b9b;.5 #8e8e8e;1 #797979" focus="100%" type="gradient">
                  <o:fill v:ext="view" type="gradientUnscaled"/>
                </v:fill>
              </v:shape>
            </w:pict>
          </mc:Fallback>
        </mc:AlternateContent>
      </w:r>
      <w:bookmarkStart w:id="8" w:name="_Hlk136094864"/>
      <w:r w:rsidR="00F90DDA" w:rsidRPr="00F00EB0">
        <w:rPr>
          <w:rFonts w:ascii="Times New Roman" w:hAnsi="Times New Roman" w:cs="Times New Roman"/>
          <w:color w:val="000000" w:themeColor="text1"/>
          <w:sz w:val="28"/>
          <w:szCs w:val="28"/>
          <w:lang w:val="uk-UA"/>
        </w:rPr>
        <w:tab/>
      </w:r>
    </w:p>
    <w:p w14:paraId="5EF4184B" w14:textId="20BC0851" w:rsidR="00A1565C" w:rsidRPr="00F00EB0" w:rsidRDefault="00D90F03" w:rsidP="00C512D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53632" behindDoc="0" locked="0" layoutInCell="1" allowOverlap="1" wp14:anchorId="24A022E9" wp14:editId="417FE752">
                <wp:simplePos x="0" y="0"/>
                <wp:positionH relativeFrom="column">
                  <wp:posOffset>1483995</wp:posOffset>
                </wp:positionH>
                <wp:positionV relativeFrom="paragraph">
                  <wp:posOffset>24765</wp:posOffset>
                </wp:positionV>
                <wp:extent cx="4832985" cy="518160"/>
                <wp:effectExtent l="12700" t="12700" r="12065" b="12065"/>
                <wp:wrapNone/>
                <wp:docPr id="1073360078" name="Поле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2985" cy="518160"/>
                        </a:xfrm>
                        <a:prstGeom prst="rect">
                          <a:avLst/>
                        </a:prstGeom>
                        <a:solidFill>
                          <a:srgbClr val="FFFFFF"/>
                        </a:solidFill>
                        <a:ln w="6350">
                          <a:solidFill>
                            <a:srgbClr val="000000"/>
                          </a:solidFill>
                          <a:prstDash val="dash"/>
                          <a:miter lim="800000"/>
                          <a:headEnd/>
                          <a:tailEnd/>
                        </a:ln>
                      </wps:spPr>
                      <wps:txbx>
                        <w:txbxContent>
                          <w:p w14:paraId="7CFBB201" w14:textId="779F824D" w:rsidR="00A206EC" w:rsidRPr="00F413DA" w:rsidRDefault="00F413DA" w:rsidP="005C064B">
                            <w:pPr>
                              <w:spacing w:after="0" w:line="240" w:lineRule="auto"/>
                              <w:contextualSpacing/>
                              <w:jc w:val="both"/>
                              <w:rPr>
                                <w:rFonts w:ascii="Times New Roman" w:hAnsi="Times New Roman" w:cs="Times New Roman"/>
                                <w:iCs/>
                                <w:sz w:val="24"/>
                                <w:szCs w:val="24"/>
                                <w:lang w:val="uk-UA"/>
                              </w:rPr>
                            </w:pPr>
                            <w:r w:rsidRPr="00F413DA">
                              <w:rPr>
                                <w:rFonts w:ascii="Times New Roman" w:hAnsi="Times New Roman" w:cs="Times New Roman"/>
                                <w:iCs/>
                                <w:sz w:val="24"/>
                                <w:szCs w:val="24"/>
                                <w:lang w:val="uk-UA"/>
                              </w:rPr>
                              <w:t>Національний банк сприяє стійкості, допомагаючи банківській системі ефективно виконувати свої функції та бути стійкою до криз.</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4A022E9" id="_x0000_t202" coordsize="21600,21600" o:spt="202" path="m,l,21600r21600,l21600,xe">
                <v:stroke joinstyle="miter"/>
                <v:path gradientshapeok="t" o:connecttype="rect"/>
              </v:shapetype>
              <v:shape id="Поле 16" o:spid="_x0000_s1026" type="#_x0000_t202" style="position:absolute;left:0;text-align:left;margin-left:116.85pt;margin-top:1.95pt;width:380.55pt;height:40.8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" strokeweight=".5pt">
                <v:stroke dashstyle="dash"/>
                <v:textbox>
                  <w:txbxContent>
                    <w:p w14:paraId="7CFBB201" w14:textId="779F824D" w:rsidR="00A206EC" w:rsidRPr="00F413DA" w:rsidRDefault="00F413DA" w:rsidP="005C064B">
                      <w:pPr>
                        <w:spacing w:after="0" w:line="240" w:lineRule="auto"/>
                        <w:contextualSpacing/>
                        <w:jc w:val="both"/>
                        <w:rPr>
                          <w:rFonts w:ascii="Times New Roman" w:hAnsi="Times New Roman" w:cs="Times New Roman"/>
                          <w:iCs/>
                          <w:sz w:val="24"/>
                          <w:szCs w:val="24"/>
                          <w:lang w:val="uk-UA"/>
                        </w:rPr>
                      </w:pPr>
                      <w:r w:rsidRPr="00F413DA">
                        <w:rPr>
                          <w:rFonts w:ascii="Times New Roman" w:hAnsi="Times New Roman" w:cs="Times New Roman"/>
                          <w:iCs/>
                          <w:sz w:val="24"/>
                          <w:szCs w:val="24"/>
                          <w:lang w:val="uk-UA"/>
                        </w:rPr>
                        <w:t>Національний банк сприяє стійкості, допомагаючи банківській системі ефективно виконувати свої функції та бути стійкою до криз.</w:t>
                      </w:r>
                    </w:p>
                  </w:txbxContent>
                </v:textbox>
              </v:shape>
            </w:pict>
          </mc:Fallback>
        </mc:AlternateContent>
      </w: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47488" behindDoc="0" locked="0" layoutInCell="1" allowOverlap="1" wp14:anchorId="393F9B1E" wp14:editId="78A50A21">
                <wp:simplePos x="0" y="0"/>
                <wp:positionH relativeFrom="column">
                  <wp:posOffset>161290</wp:posOffset>
                </wp:positionH>
                <wp:positionV relativeFrom="paragraph">
                  <wp:posOffset>167640</wp:posOffset>
                </wp:positionV>
                <wp:extent cx="1012825" cy="345440"/>
                <wp:effectExtent l="13970" t="12700" r="11430" b="13335"/>
                <wp:wrapNone/>
                <wp:docPr id="151741591" name="Поле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2825" cy="345440"/>
                        </a:xfrm>
                        <a:prstGeom prst="rect">
                          <a:avLst/>
                        </a:prstGeom>
                        <a:solidFill>
                          <a:srgbClr val="FFFFFF"/>
                        </a:solidFill>
                        <a:ln w="6350">
                          <a:solidFill>
                            <a:srgbClr val="000000"/>
                          </a:solidFill>
                          <a:miter lim="800000"/>
                          <a:headEnd/>
                          <a:tailEnd/>
                        </a:ln>
                      </wps:spPr>
                      <wps:txbx>
                        <w:txbxContent>
                          <w:p w14:paraId="07B07BE8" w14:textId="77777777" w:rsidR="00A206EC" w:rsidRPr="001975B7" w:rsidRDefault="00A206EC" w:rsidP="005C064B">
                            <w:pPr>
                              <w:jc w:val="center"/>
                              <w:rPr>
                                <w:rFonts w:ascii="Times New Roman" w:hAnsi="Times New Roman" w:cs="Times New Roman"/>
                                <w:sz w:val="32"/>
                                <w:szCs w:val="32"/>
                                <w:lang w:val="uk-UA"/>
                              </w:rPr>
                            </w:pPr>
                            <w:r w:rsidRPr="001975B7">
                              <w:rPr>
                                <w:rFonts w:ascii="Times New Roman" w:hAnsi="Times New Roman" w:cs="Times New Roman"/>
                                <w:sz w:val="32"/>
                                <w:szCs w:val="32"/>
                                <w:lang w:val="uk-UA"/>
                              </w:rPr>
                              <w:t>НБУ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93F9B1E" id="Поле 7" o:spid="_x0000_s1027" type="#_x0000_t202" style="position:absolute;left:0;text-align:left;margin-left:12.7pt;margin-top:13.2pt;width:79.75pt;height:27.2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" strokeweight=".5pt">
                <v:textbox>
                  <w:txbxContent>
                    <w:p w14:paraId="07B07BE8" w14:textId="77777777" w:rsidR="00A206EC" w:rsidRPr="001975B7" w:rsidRDefault="00A206EC" w:rsidP="005C064B">
                      <w:pPr>
                        <w:jc w:val="center"/>
                        <w:rPr>
                          <w:rFonts w:ascii="Times New Roman" w:hAnsi="Times New Roman" w:cs="Times New Roman"/>
                          <w:sz w:val="32"/>
                          <w:szCs w:val="32"/>
                          <w:lang w:val="uk-UA"/>
                        </w:rPr>
                      </w:pPr>
                      <w:r w:rsidRPr="001975B7">
                        <w:rPr>
                          <w:rFonts w:ascii="Times New Roman" w:hAnsi="Times New Roman" w:cs="Times New Roman"/>
                          <w:sz w:val="32"/>
                          <w:szCs w:val="32"/>
                          <w:lang w:val="uk-UA"/>
                        </w:rPr>
                        <w:t>НБУ</w:t>
                      </w:r>
                    </w:p>
                  </w:txbxContent>
                </v:textbox>
              </v:shape>
            </w:pict>
          </mc:Fallback>
        </mc:AlternateContent>
      </w:r>
    </w:p>
    <w:p w14:paraId="5E2BAD02" w14:textId="6FA5ED40" w:rsidR="005C064B" w:rsidRPr="00F00EB0" w:rsidRDefault="00404762" w:rsidP="0056454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49536" behindDoc="0" locked="0" layoutInCell="1" allowOverlap="1" wp14:anchorId="78C11056" wp14:editId="3322A20F">
                <wp:simplePos x="0" y="0"/>
                <wp:positionH relativeFrom="column">
                  <wp:posOffset>370476</wp:posOffset>
                </wp:positionH>
                <wp:positionV relativeFrom="paragraph">
                  <wp:posOffset>212907</wp:posOffset>
                </wp:positionV>
                <wp:extent cx="220436" cy="1524000"/>
                <wp:effectExtent l="19050" t="0" r="27305" b="38100"/>
                <wp:wrapNone/>
                <wp:docPr id="26099656" name="Стрілка вниз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20436" cy="1524000"/>
                        </a:xfrm>
                        <a:prstGeom prst="downArrow">
                          <a:avLst>
                            <a:gd name="adj1" fmla="val 50000"/>
                            <a:gd name="adj2" fmla="val 48939"/>
                          </a:avLst>
                        </a:prstGeom>
                        <a:gradFill rotWithShape="1">
                          <a:gsLst>
                            <a:gs pos="0">
                              <a:srgbClr val="9B9B9B"/>
                            </a:gs>
                            <a:gs pos="50000">
                              <a:srgbClr val="8E8E8E"/>
                            </a:gs>
                            <a:gs pos="100000">
                              <a:srgbClr val="797979"/>
                            </a:gs>
                          </a:gsLst>
                          <a:lin ang="5400000"/>
                        </a:gradFill>
                        <a:ln w="635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5BE44C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9" o:spid="_x0000_s1026" type="#_x0000_t67" style="position:absolute;margin-left:29.15pt;margin-top:16.75pt;width:17.35pt;height:120pt;flip:x;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" adj="20071" fillcolor="#9b9b9b" strokeweight=".5pt">
                <v:fill color2="#797979" rotate="t" colors="0 #9b9b9b;.5 #8e8e8e;1 #797979" focus="100%" type="gradient">
                  <o:fill v:ext="view" type="gradientUnscaled"/>
                </v:fill>
              </v:shape>
            </w:pict>
          </mc:Fallback>
        </mc:AlternateContent>
      </w:r>
      <w:r w:rsidR="00D90F03"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60800" behindDoc="0" locked="0" layoutInCell="1" allowOverlap="1" wp14:anchorId="2B334955" wp14:editId="2768B308">
                <wp:simplePos x="0" y="0"/>
                <wp:positionH relativeFrom="column">
                  <wp:posOffset>5935980</wp:posOffset>
                </wp:positionH>
                <wp:positionV relativeFrom="paragraph">
                  <wp:posOffset>265430</wp:posOffset>
                </wp:positionV>
                <wp:extent cx="0" cy="562610"/>
                <wp:effectExtent l="54610" t="7620" r="59690" b="20320"/>
                <wp:wrapNone/>
                <wp:docPr id="1186991266" name="Пряма зі стрілкою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62610"/>
                        </a:xfrm>
                        <a:prstGeom prst="straightConnector1">
                          <a:avLst/>
                        </a:prstGeom>
                        <a:noFill/>
                        <a:ln w="6350">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05776B0" id="_x0000_t32" coordsize="21600,21600" o:spt="32" o:oned="t" path="m,l21600,21600e" filled="f">
                <v:path arrowok="t" fillok="f" o:connecttype="none"/>
                <o:lock v:ext="edit" shapetype="t"/>
              </v:shapetype>
              <v:shape id="Пряма зі стрілкою 31" o:spid="_x0000_s1026" type="#_x0000_t32" style="position:absolute;margin-left:467.4pt;margin-top:20.9pt;width:0;height:44.3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" strokeweight=".5pt">
                <v:stroke dashstyle="longDash" endarrow="block" joinstyle="miter"/>
              </v:shape>
            </w:pict>
          </mc:Fallback>
        </mc:AlternateContent>
      </w:r>
      <w:r w:rsidR="00D90F03"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59776" behindDoc="0" locked="0" layoutInCell="1" allowOverlap="1" wp14:anchorId="1D00E6A9" wp14:editId="7270615C">
                <wp:simplePos x="0" y="0"/>
                <wp:positionH relativeFrom="column">
                  <wp:posOffset>6207125</wp:posOffset>
                </wp:positionH>
                <wp:positionV relativeFrom="paragraph">
                  <wp:posOffset>265430</wp:posOffset>
                </wp:positionV>
                <wp:extent cx="0" cy="562610"/>
                <wp:effectExtent l="59055" t="7620" r="55245" b="20320"/>
                <wp:wrapNone/>
                <wp:docPr id="30838984" name="Пряма зі стрілкою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62610"/>
                        </a:xfrm>
                        <a:prstGeom prst="straightConnector1">
                          <a:avLst/>
                        </a:prstGeom>
                        <a:noFill/>
                        <a:ln w="6350">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D7C31EB" id="Пряма зі стрілкою 30" o:spid="_x0000_s1026" type="#_x0000_t32" style="position:absolute;margin-left:488.75pt;margin-top:20.9pt;width:0;height:44.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" strokeweight=".5pt">
                <v:stroke dashstyle="longDash" endarrow="block" joinstyle="miter"/>
              </v:shape>
            </w:pict>
          </mc:Fallback>
        </mc:AlternateContent>
      </w:r>
      <w:r w:rsidR="00D90F03"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51584" behindDoc="0" locked="0" layoutInCell="1" allowOverlap="1" wp14:anchorId="21180E7B" wp14:editId="1411ABF6">
                <wp:simplePos x="0" y="0"/>
                <wp:positionH relativeFrom="column">
                  <wp:posOffset>1454150</wp:posOffset>
                </wp:positionH>
                <wp:positionV relativeFrom="paragraph">
                  <wp:posOffset>285115</wp:posOffset>
                </wp:positionV>
                <wp:extent cx="4361180" cy="444500"/>
                <wp:effectExtent l="11430" t="8255" r="8890" b="13970"/>
                <wp:wrapNone/>
                <wp:docPr id="1711130150" name="Блок-схема: альтернативний процес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1180" cy="444500"/>
                        </a:xfrm>
                        <a:prstGeom prst="flowChartAlternateProcess">
                          <a:avLst/>
                        </a:prstGeom>
                        <a:gradFill rotWithShape="0">
                          <a:gsLst>
                            <a:gs pos="0">
                              <a:srgbClr val="9B9B9B"/>
                            </a:gs>
                            <a:gs pos="50000">
                              <a:srgbClr val="8E8E8E"/>
                            </a:gs>
                            <a:gs pos="100000">
                              <a:srgbClr val="797979"/>
                            </a:gs>
                          </a:gsLst>
                          <a:lin ang="5400000"/>
                        </a:gra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270DFA3"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ий процес 12" o:spid="_x0000_s1026" type="#_x0000_t176" style="position:absolute;margin-left:114.5pt;margin-top:22.45pt;width:343.4pt;height:3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" fillcolor="#9b9b9b" strokeweight="1pt">
                <v:fill color2="#797979" colors="0 #9b9b9b;.5 #8e8e8e;1 #797979" focus="100%" type="gradient">
                  <o:fill v:ext="view" type="gradientUnscaled"/>
                </v:fill>
              </v:shape>
            </w:pict>
          </mc:Fallback>
        </mc:AlternateContent>
      </w:r>
    </w:p>
    <w:p w14:paraId="0304FB8C" w14:textId="65B86E7A" w:rsidR="005C064B" w:rsidRPr="00F00EB0" w:rsidRDefault="00D90F03" w:rsidP="0056454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54656" behindDoc="0" locked="0" layoutInCell="1" allowOverlap="1" wp14:anchorId="68331193" wp14:editId="2F12C3DE">
                <wp:simplePos x="0" y="0"/>
                <wp:positionH relativeFrom="column">
                  <wp:posOffset>1011555</wp:posOffset>
                </wp:positionH>
                <wp:positionV relativeFrom="paragraph">
                  <wp:posOffset>-351790</wp:posOffset>
                </wp:positionV>
                <wp:extent cx="104775" cy="840105"/>
                <wp:effectExtent l="1270" t="131445" r="0" b="144780"/>
                <wp:wrapNone/>
                <wp:docPr id="519557586" name="Стрілка вниз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7408935" flipH="1">
                          <a:off x="0" y="0"/>
                          <a:ext cx="104775" cy="840105"/>
                        </a:xfrm>
                        <a:prstGeom prst="downArrow">
                          <a:avLst>
                            <a:gd name="adj1" fmla="val 50000"/>
                            <a:gd name="adj2" fmla="val 50893"/>
                          </a:avLst>
                        </a:prstGeom>
                        <a:gradFill rotWithShape="1">
                          <a:gsLst>
                            <a:gs pos="0">
                              <a:srgbClr val="9B9B9B"/>
                            </a:gs>
                            <a:gs pos="50000">
                              <a:srgbClr val="8E8E8E"/>
                            </a:gs>
                            <a:gs pos="100000">
                              <a:srgbClr val="797979"/>
                            </a:gs>
                          </a:gsLst>
                          <a:lin ang="5400000"/>
                        </a:gradFill>
                        <a:ln w="635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12E8E7C" id="Стрілка вниз 17" o:spid="_x0000_s1026" type="#_x0000_t67" style="position:absolute;margin-left:79.65pt;margin-top:-27.7pt;width:8.25pt;height:66.15pt;rotation:4577761fd;flip:x;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" adj="20229" fillcolor="#9b9b9b" strokeweight=".5pt">
                <v:fill color2="#797979" rotate="t" colors="0 #9b9b9b;.5 #8e8e8e;1 #797979" focus="100%" type="gradient">
                  <o:fill v:ext="view" type="gradientUnscaled"/>
                </v:fill>
              </v:shape>
            </w:pict>
          </mc:Fallback>
        </mc:AlternateContent>
      </w: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52608" behindDoc="0" locked="0" layoutInCell="1" allowOverlap="1" wp14:anchorId="45E66036" wp14:editId="43E19E3A">
                <wp:simplePos x="0" y="0"/>
                <wp:positionH relativeFrom="column">
                  <wp:posOffset>2226310</wp:posOffset>
                </wp:positionH>
                <wp:positionV relativeFrom="paragraph">
                  <wp:posOffset>38100</wp:posOffset>
                </wp:positionV>
                <wp:extent cx="3108325" cy="305435"/>
                <wp:effectExtent l="12065" t="10795" r="13335" b="7620"/>
                <wp:wrapNone/>
                <wp:docPr id="39559895" name="Пол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8325" cy="305435"/>
                        </a:xfrm>
                        <a:prstGeom prst="rect">
                          <a:avLst/>
                        </a:prstGeom>
                        <a:solidFill>
                          <a:srgbClr val="FFFFFF"/>
                        </a:solidFill>
                        <a:ln w="6350">
                          <a:solidFill>
                            <a:srgbClr val="000000"/>
                          </a:solidFill>
                          <a:miter lim="800000"/>
                          <a:headEnd/>
                          <a:tailEnd/>
                        </a:ln>
                      </wps:spPr>
                      <wps:txbx>
                        <w:txbxContent>
                          <w:p w14:paraId="765D8672" w14:textId="77777777" w:rsidR="00A206EC" w:rsidRPr="001975B7" w:rsidRDefault="00A206EC" w:rsidP="005C064B">
                            <w:pPr>
                              <w:jc w:val="center"/>
                              <w:rPr>
                                <w:rFonts w:ascii="Times New Roman" w:hAnsi="Times New Roman" w:cs="Times New Roman"/>
                                <w:sz w:val="24"/>
                                <w:szCs w:val="24"/>
                                <w:lang w:val="uk-UA"/>
                              </w:rPr>
                            </w:pPr>
                            <w:r w:rsidRPr="001975B7">
                              <w:rPr>
                                <w:rFonts w:ascii="Times New Roman" w:hAnsi="Times New Roman" w:cs="Times New Roman"/>
                                <w:sz w:val="24"/>
                                <w:szCs w:val="24"/>
                                <w:lang w:val="uk-UA"/>
                              </w:rPr>
                              <w:t>СТІЙКІСТЬ БАНКІВСЬКОЇ СИСТЕМИ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5E66036" id="Поле 13" o:spid="_x0000_s1028" type="#_x0000_t202" style="position:absolute;left:0;text-align:left;margin-left:175.3pt;margin-top:3pt;width:244.75pt;height:24.0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" strokeweight=".5pt">
                <v:textbox>
                  <w:txbxContent>
                    <w:p w14:paraId="765D8672" w14:textId="77777777" w:rsidR="00A206EC" w:rsidRPr="001975B7" w:rsidRDefault="00A206EC" w:rsidP="005C064B">
                      <w:pPr>
                        <w:jc w:val="center"/>
                        <w:rPr>
                          <w:rFonts w:ascii="Times New Roman" w:hAnsi="Times New Roman" w:cs="Times New Roman"/>
                          <w:sz w:val="24"/>
                          <w:szCs w:val="24"/>
                          <w:lang w:val="uk-UA"/>
                        </w:rPr>
                      </w:pPr>
                      <w:r w:rsidRPr="001975B7">
                        <w:rPr>
                          <w:rFonts w:ascii="Times New Roman" w:hAnsi="Times New Roman" w:cs="Times New Roman"/>
                          <w:sz w:val="24"/>
                          <w:szCs w:val="24"/>
                          <w:lang w:val="uk-UA"/>
                        </w:rPr>
                        <w:t>СТІЙКІСТЬ БАНКІВСЬКОЇ СИСТЕМИ</w:t>
                      </w:r>
                    </w:p>
                  </w:txbxContent>
                </v:textbox>
              </v:shape>
            </w:pict>
          </mc:Fallback>
        </mc:AlternateContent>
      </w:r>
    </w:p>
    <w:p w14:paraId="45A768D4" w14:textId="174A3DF6" w:rsidR="005C064B" w:rsidRPr="00F00EB0" w:rsidRDefault="00D90F03" w:rsidP="0056454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57728" behindDoc="0" locked="0" layoutInCell="1" allowOverlap="1" wp14:anchorId="536F6E7E" wp14:editId="2CEA0CB1">
                <wp:simplePos x="0" y="0"/>
                <wp:positionH relativeFrom="column">
                  <wp:posOffset>651510</wp:posOffset>
                </wp:positionH>
                <wp:positionV relativeFrom="paragraph">
                  <wp:posOffset>184785</wp:posOffset>
                </wp:positionV>
                <wp:extent cx="5422900" cy="858520"/>
                <wp:effectExtent l="8890" t="6985" r="6985" b="10795"/>
                <wp:wrapNone/>
                <wp:docPr id="1501091194" name="Поле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858520"/>
                        </a:xfrm>
                        <a:prstGeom prst="rect">
                          <a:avLst/>
                        </a:prstGeom>
                        <a:solidFill>
                          <a:srgbClr val="FFFFFF"/>
                        </a:solidFill>
                        <a:ln w="6350">
                          <a:solidFill>
                            <a:srgbClr val="000000"/>
                          </a:solidFill>
                          <a:prstDash val="dash"/>
                          <a:miter lim="800000"/>
                          <a:headEnd/>
                          <a:tailEnd/>
                        </a:ln>
                      </wps:spPr>
                      <wps:txbx>
                        <w:txbxContent>
                          <w:p w14:paraId="252B95B3" w14:textId="4E5C4CDC" w:rsidR="00A206EC" w:rsidRPr="00F413DA" w:rsidRDefault="00F413DA" w:rsidP="00F413DA">
                            <w:pPr>
                              <w:spacing w:after="0" w:line="192" w:lineRule="auto"/>
                              <w:contextualSpacing/>
                              <w:jc w:val="both"/>
                              <w:rPr>
                                <w:rFonts w:ascii="Times New Roman" w:hAnsi="Times New Roman" w:cs="Times New Roman"/>
                                <w:iCs/>
                                <w:sz w:val="24"/>
                                <w:szCs w:val="24"/>
                                <w:lang w:val="uk-UA"/>
                              </w:rPr>
                            </w:pPr>
                            <w:r w:rsidRPr="00F413DA">
                              <w:rPr>
                                <w:rFonts w:ascii="Times New Roman" w:hAnsi="Times New Roman" w:cs="Times New Roman"/>
                                <w:iCs/>
                                <w:sz w:val="24"/>
                                <w:szCs w:val="24"/>
                                <w:lang w:val="uk-UA"/>
                              </w:rPr>
                              <w:t xml:space="preserve">стан, при якому реалізується її сутність і призначення в економіці, адекватно ефективно виконуються її функції, а також забезпечується здатність відновлювати цей стан після будь-яких відхилень від безпечних параметрів, викликаних дією кризових </w:t>
                            </w:r>
                            <w:r w:rsidR="00C45B15">
                              <w:rPr>
                                <w:rFonts w:ascii="Times New Roman" w:hAnsi="Times New Roman" w:cs="Times New Roman"/>
                                <w:iCs/>
                                <w:sz w:val="24"/>
                                <w:szCs w:val="24"/>
                                <w:lang w:val="uk-UA"/>
                              </w:rPr>
                              <w:t>факторів</w:t>
                            </w:r>
                            <w:r w:rsidRPr="00F413DA">
                              <w:rPr>
                                <w:rFonts w:ascii="Times New Roman" w:hAnsi="Times New Roman" w:cs="Times New Roman"/>
                                <w:iCs/>
                                <w:sz w:val="24"/>
                                <w:szCs w:val="24"/>
                                <w:lang w:val="uk-UA"/>
                              </w:rPr>
                              <w:t xml:space="preserve"> (спадом економіки, фінансовою кризою, трансформацією економіки</w:t>
                            </w:r>
                            <w:r w:rsidR="00C45B15">
                              <w:rPr>
                                <w:rFonts w:ascii="Times New Roman" w:hAnsi="Times New Roman" w:cs="Times New Roman"/>
                                <w:iCs/>
                                <w:sz w:val="24"/>
                                <w:szCs w:val="24"/>
                                <w:lang w:val="uk-UA"/>
                              </w:rPr>
                              <w:t>, зростанням системних ризиків</w:t>
                            </w:r>
                            <w:r w:rsidRPr="00F413DA">
                              <w:rPr>
                                <w:rFonts w:ascii="Times New Roman" w:hAnsi="Times New Roman" w:cs="Times New Roman"/>
                                <w:iCs/>
                                <w:sz w:val="24"/>
                                <w:szCs w:val="24"/>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36F6E7E" id="Поле 20" o:spid="_x0000_s1029" type="#_x0000_t202" style="position:absolute;left:0;text-align:left;margin-left:51.3pt;margin-top:14.55pt;width:427pt;height:67.6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" strokeweight=".5pt">
                <v:stroke dashstyle="dash"/>
                <v:textbox>
                  <w:txbxContent>
                    <w:p w14:paraId="252B95B3" w14:textId="4E5C4CDC" w:rsidR="00A206EC" w:rsidRPr="00F413DA" w:rsidRDefault="00F413DA" w:rsidP="00F413DA">
                      <w:pPr>
                        <w:spacing w:after="0" w:line="192" w:lineRule="auto"/>
                        <w:contextualSpacing/>
                        <w:jc w:val="both"/>
                        <w:rPr>
                          <w:rFonts w:ascii="Times New Roman" w:hAnsi="Times New Roman" w:cs="Times New Roman"/>
                          <w:iCs/>
                          <w:sz w:val="24"/>
                          <w:szCs w:val="24"/>
                          <w:lang w:val="uk-UA"/>
                        </w:rPr>
                      </w:pPr>
                      <w:r w:rsidRPr="00F413DA">
                        <w:rPr>
                          <w:rFonts w:ascii="Times New Roman" w:hAnsi="Times New Roman" w:cs="Times New Roman"/>
                          <w:iCs/>
                          <w:sz w:val="24"/>
                          <w:szCs w:val="24"/>
                          <w:lang w:val="uk-UA"/>
                        </w:rPr>
                        <w:t xml:space="preserve">стан, при якому реалізується її сутність і призначення в економіці, адекватно ефективно виконуються її функції, а також забезпечується здатність відновлювати цей стан після будь-яких відхилень від безпечних параметрів, викликаних дією кризових </w:t>
                      </w:r>
                      <w:r w:rsidR="00C45B15">
                        <w:rPr>
                          <w:rFonts w:ascii="Times New Roman" w:hAnsi="Times New Roman" w:cs="Times New Roman"/>
                          <w:iCs/>
                          <w:sz w:val="24"/>
                          <w:szCs w:val="24"/>
                          <w:lang w:val="uk-UA"/>
                        </w:rPr>
                        <w:t>факторів</w:t>
                      </w:r>
                      <w:r w:rsidRPr="00F413DA">
                        <w:rPr>
                          <w:rFonts w:ascii="Times New Roman" w:hAnsi="Times New Roman" w:cs="Times New Roman"/>
                          <w:iCs/>
                          <w:sz w:val="24"/>
                          <w:szCs w:val="24"/>
                          <w:lang w:val="uk-UA"/>
                        </w:rPr>
                        <w:t xml:space="preserve"> (спадом економіки, фінансовою кризою, трансформацією економіки</w:t>
                      </w:r>
                      <w:r w:rsidR="00C45B15">
                        <w:rPr>
                          <w:rFonts w:ascii="Times New Roman" w:hAnsi="Times New Roman" w:cs="Times New Roman"/>
                          <w:iCs/>
                          <w:sz w:val="24"/>
                          <w:szCs w:val="24"/>
                          <w:lang w:val="uk-UA"/>
                        </w:rPr>
                        <w:t>, зростанням системних ризиків</w:t>
                      </w:r>
                      <w:r w:rsidRPr="00F413DA">
                        <w:rPr>
                          <w:rFonts w:ascii="Times New Roman" w:hAnsi="Times New Roman" w:cs="Times New Roman"/>
                          <w:iCs/>
                          <w:sz w:val="24"/>
                          <w:szCs w:val="24"/>
                          <w:lang w:val="uk-UA"/>
                        </w:rPr>
                        <w:t>).</w:t>
                      </w:r>
                    </w:p>
                  </w:txbxContent>
                </v:textbox>
              </v:shape>
            </w:pict>
          </mc:Fallback>
        </mc:AlternateContent>
      </w: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65920" behindDoc="0" locked="0" layoutInCell="1" allowOverlap="1" wp14:anchorId="18B14D4C" wp14:editId="3805D45C">
                <wp:simplePos x="0" y="0"/>
                <wp:positionH relativeFrom="column">
                  <wp:posOffset>5496560</wp:posOffset>
                </wp:positionH>
                <wp:positionV relativeFrom="paragraph">
                  <wp:posOffset>105410</wp:posOffset>
                </wp:positionV>
                <wp:extent cx="256540" cy="100330"/>
                <wp:effectExtent l="26670" t="20955" r="25400" b="17780"/>
                <wp:wrapNone/>
                <wp:docPr id="156281876" name="Подвійна стрілка вліво/вправо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flipV="1">
                          <a:off x="0" y="0"/>
                          <a:ext cx="256540" cy="100330"/>
                        </a:xfrm>
                        <a:prstGeom prst="leftRightArrow">
                          <a:avLst>
                            <a:gd name="adj1" fmla="val 50000"/>
                            <a:gd name="adj2" fmla="val 49174"/>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D23C68F"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Подвійна стрілка вліво/вправо 43" o:spid="_x0000_s1026" type="#_x0000_t69" style="position:absolute;margin-left:432.8pt;margin-top:8.3pt;width:20.2pt;height:7.9pt;rotation:-90;flip:y;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" adj="4154" strokeweight="1pt"/>
            </w:pict>
          </mc:Fallback>
        </mc:AlternateContent>
      </w: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64896" behindDoc="0" locked="0" layoutInCell="1" allowOverlap="1" wp14:anchorId="2ADDF8BB" wp14:editId="29E457B7">
                <wp:simplePos x="0" y="0"/>
                <wp:positionH relativeFrom="column">
                  <wp:posOffset>1917700</wp:posOffset>
                </wp:positionH>
                <wp:positionV relativeFrom="paragraph">
                  <wp:posOffset>85725</wp:posOffset>
                </wp:positionV>
                <wp:extent cx="256540" cy="99695"/>
                <wp:effectExtent l="29210" t="20320" r="23495" b="18415"/>
                <wp:wrapNone/>
                <wp:docPr id="563675275" name="Подвійна стрілка вліво/вправо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flipV="1">
                          <a:off x="0" y="0"/>
                          <a:ext cx="256540" cy="99695"/>
                        </a:xfrm>
                        <a:prstGeom prst="leftRightArrow">
                          <a:avLst>
                            <a:gd name="adj1" fmla="val 50000"/>
                            <a:gd name="adj2" fmla="val 49487"/>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8C891EC" id="Подвійна стрілка вліво/вправо 42" o:spid="_x0000_s1026" type="#_x0000_t69" style="position:absolute;margin-left:151pt;margin-top:6.75pt;width:20.2pt;height:7.85pt;rotation:-90;flip:y;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" adj="4154" strokeweight="1pt"/>
            </w:pict>
          </mc:Fallback>
        </mc:AlternateContent>
      </w: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61824" behindDoc="0" locked="0" layoutInCell="1" allowOverlap="1" wp14:anchorId="7EF272BC" wp14:editId="1C7E11AC">
                <wp:simplePos x="0" y="0"/>
                <wp:positionH relativeFrom="column">
                  <wp:posOffset>6207125</wp:posOffset>
                </wp:positionH>
                <wp:positionV relativeFrom="paragraph">
                  <wp:posOffset>244475</wp:posOffset>
                </wp:positionV>
                <wp:extent cx="0" cy="562610"/>
                <wp:effectExtent l="59055" t="9525" r="55245" b="18415"/>
                <wp:wrapNone/>
                <wp:docPr id="138044904" name="Пряма зі стрілкою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62610"/>
                        </a:xfrm>
                        <a:prstGeom prst="straightConnector1">
                          <a:avLst/>
                        </a:prstGeom>
                        <a:noFill/>
                        <a:ln w="6350">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5563165" id="Пряма зі стрілкою 32" o:spid="_x0000_s1026" type="#_x0000_t32" style="position:absolute;margin-left:488.75pt;margin-top:19.25pt;width:0;height:44.3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" strokeweight=".5pt">
                <v:stroke dashstyle="longDash" endarrow="block" joinstyle="miter"/>
              </v:shape>
            </w:pict>
          </mc:Fallback>
        </mc:AlternateContent>
      </w:r>
    </w:p>
    <w:p w14:paraId="7A9F6AC3" w14:textId="50CFAC5B" w:rsidR="005C064B" w:rsidRPr="00F00EB0" w:rsidRDefault="005C064B" w:rsidP="00564547">
      <w:pPr>
        <w:spacing w:after="0" w:line="360" w:lineRule="auto"/>
        <w:ind w:firstLine="709"/>
        <w:contextualSpacing/>
        <w:jc w:val="both"/>
        <w:rPr>
          <w:rFonts w:ascii="Times New Roman" w:hAnsi="Times New Roman" w:cs="Times New Roman"/>
          <w:color w:val="000000" w:themeColor="text1"/>
          <w:sz w:val="28"/>
          <w:szCs w:val="28"/>
          <w:lang w:val="uk-UA"/>
        </w:rPr>
      </w:pPr>
    </w:p>
    <w:p w14:paraId="4A140017" w14:textId="7D30B62D" w:rsidR="005C064B" w:rsidRPr="00F00EB0" w:rsidRDefault="00D90F03" w:rsidP="0056454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62848" behindDoc="0" locked="0" layoutInCell="1" allowOverlap="1" wp14:anchorId="501C677C" wp14:editId="510D4F56">
                <wp:simplePos x="0" y="0"/>
                <wp:positionH relativeFrom="column">
                  <wp:posOffset>6207125</wp:posOffset>
                </wp:positionH>
                <wp:positionV relativeFrom="paragraph">
                  <wp:posOffset>152491</wp:posOffset>
                </wp:positionV>
                <wp:extent cx="0" cy="858520"/>
                <wp:effectExtent l="76200" t="0" r="57150" b="55880"/>
                <wp:wrapNone/>
                <wp:docPr id="1843842270" name="Пряма зі стрілкою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8520"/>
                        </a:xfrm>
                        <a:prstGeom prst="straightConnector1">
                          <a:avLst/>
                        </a:prstGeom>
                        <a:noFill/>
                        <a:ln w="6350">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033B71" id="Пряма зі стрілкою 33" o:spid="_x0000_s1026" type="#_x0000_t32" style="position:absolute;margin-left:488.75pt;margin-top:12pt;width:0;height:67.6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" strokeweight=".5pt">
                <v:stroke dashstyle="longDash" endarrow="block" joinstyle="miter"/>
              </v:shape>
            </w:pict>
          </mc:Fallback>
        </mc:AlternateContent>
      </w:r>
    </w:p>
    <w:p w14:paraId="4A467CF7" w14:textId="44E3C060" w:rsidR="005C064B" w:rsidRPr="00F00EB0" w:rsidRDefault="00D90F03" w:rsidP="0056454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50560" behindDoc="0" locked="0" layoutInCell="1" allowOverlap="1" wp14:anchorId="057736A6" wp14:editId="4C7F4FDA">
                <wp:simplePos x="0" y="0"/>
                <wp:positionH relativeFrom="column">
                  <wp:posOffset>373107</wp:posOffset>
                </wp:positionH>
                <wp:positionV relativeFrom="paragraph">
                  <wp:posOffset>202928</wp:posOffset>
                </wp:positionV>
                <wp:extent cx="5703932" cy="305435"/>
                <wp:effectExtent l="0" t="0" r="11430" b="18415"/>
                <wp:wrapNone/>
                <wp:docPr id="1309860219" name="Поле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3932" cy="305435"/>
                        </a:xfrm>
                        <a:prstGeom prst="rect">
                          <a:avLst/>
                        </a:prstGeom>
                        <a:solidFill>
                          <a:srgbClr val="FFFFFF"/>
                        </a:solidFill>
                        <a:ln w="6350">
                          <a:solidFill>
                            <a:srgbClr val="000000"/>
                          </a:solidFill>
                          <a:miter lim="800000"/>
                          <a:headEnd/>
                          <a:tailEnd/>
                        </a:ln>
                      </wps:spPr>
                      <wps:txbx>
                        <w:txbxContent>
                          <w:p w14:paraId="03AF47AE" w14:textId="77777777" w:rsidR="00A206EC" w:rsidRPr="001975B7" w:rsidRDefault="00A206EC" w:rsidP="005C064B">
                            <w:pPr>
                              <w:jc w:val="center"/>
                              <w:rPr>
                                <w:rFonts w:ascii="Times New Roman" w:hAnsi="Times New Roman" w:cs="Times New Roman"/>
                                <w:sz w:val="24"/>
                                <w:szCs w:val="24"/>
                                <w:lang w:val="uk-UA"/>
                              </w:rPr>
                            </w:pPr>
                            <w:r w:rsidRPr="001975B7">
                              <w:rPr>
                                <w:rFonts w:ascii="Times New Roman" w:hAnsi="Times New Roman" w:cs="Times New Roman"/>
                                <w:sz w:val="24"/>
                                <w:szCs w:val="24"/>
                                <w:lang w:val="uk-UA"/>
                              </w:rPr>
                              <w:t>БАНКІВСЬКА СТІЙКІСТЬ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57736A6" id="Поле 11" o:spid="_x0000_s1030" type="#_x0000_t202" style="position:absolute;left:0;text-align:left;margin-left:29.4pt;margin-top:16pt;width:449.15pt;height:24.0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" strokeweight=".5pt">
                <v:textbox>
                  <w:txbxContent>
                    <w:p w14:paraId="03AF47AE" w14:textId="77777777" w:rsidR="00A206EC" w:rsidRPr="001975B7" w:rsidRDefault="00A206EC" w:rsidP="005C064B">
                      <w:pPr>
                        <w:jc w:val="center"/>
                        <w:rPr>
                          <w:rFonts w:ascii="Times New Roman" w:hAnsi="Times New Roman" w:cs="Times New Roman"/>
                          <w:sz w:val="24"/>
                          <w:szCs w:val="24"/>
                          <w:lang w:val="uk-UA"/>
                        </w:rPr>
                      </w:pPr>
                      <w:r w:rsidRPr="001975B7">
                        <w:rPr>
                          <w:rFonts w:ascii="Times New Roman" w:hAnsi="Times New Roman" w:cs="Times New Roman"/>
                          <w:sz w:val="24"/>
                          <w:szCs w:val="24"/>
                          <w:lang w:val="uk-UA"/>
                        </w:rPr>
                        <w:t>БАНКІВСЬКА СТІЙКІСТЬ</w:t>
                      </w:r>
                    </w:p>
                  </w:txbxContent>
                </v:textbox>
              </v:shape>
            </w:pict>
          </mc:Fallback>
        </mc:AlternateContent>
      </w:r>
    </w:p>
    <w:p w14:paraId="5DC7B907" w14:textId="27955D5C" w:rsidR="005C064B" w:rsidRPr="00F00EB0" w:rsidRDefault="00404762" w:rsidP="0056454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37248" behindDoc="0" locked="0" layoutInCell="1" allowOverlap="1" wp14:anchorId="434BA206" wp14:editId="20421F92">
                <wp:simplePos x="0" y="0"/>
                <wp:positionH relativeFrom="column">
                  <wp:posOffset>653505</wp:posOffset>
                </wp:positionH>
                <wp:positionV relativeFrom="paragraph">
                  <wp:posOffset>234133</wp:posOffset>
                </wp:positionV>
                <wp:extent cx="208915" cy="2002971"/>
                <wp:effectExtent l="19050" t="0" r="19685" b="35560"/>
                <wp:wrapNone/>
                <wp:docPr id="1252527248" name="Стрілка вниз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08915" cy="2002971"/>
                        </a:xfrm>
                        <a:prstGeom prst="downArrow">
                          <a:avLst>
                            <a:gd name="adj1" fmla="val 50000"/>
                            <a:gd name="adj2" fmla="val 49210"/>
                          </a:avLst>
                        </a:prstGeom>
                        <a:gradFill rotWithShape="1">
                          <a:gsLst>
                            <a:gs pos="0">
                              <a:srgbClr val="9B9B9B"/>
                            </a:gs>
                            <a:gs pos="50000">
                              <a:srgbClr val="8E8E8E"/>
                            </a:gs>
                            <a:gs pos="100000">
                              <a:srgbClr val="797979"/>
                            </a:gs>
                          </a:gsLst>
                          <a:lin ang="5400000"/>
                        </a:gradFill>
                        <a:ln w="635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F87B51A" id="Стрілка вниз 56" o:spid="_x0000_s1026" type="#_x0000_t67" style="position:absolute;margin-left:51.45pt;margin-top:18.45pt;width:16.45pt;height:157.7pt;flip:x;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" adj="20491" fillcolor="#9b9b9b" strokeweight=".5pt">
                <v:fill color2="#797979" rotate="t" colors="0 #9b9b9b;.5 #8e8e8e;1 #797979" focus="100%" type="gradient">
                  <o:fill v:ext="view" type="gradientUnscaled"/>
                </v:fill>
              </v:shape>
            </w:pict>
          </mc:Fallback>
        </mc:AlternateContent>
      </w: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45440" behindDoc="0" locked="0" layoutInCell="1" allowOverlap="1" wp14:anchorId="7587DB9F" wp14:editId="54B2D75B">
                <wp:simplePos x="0" y="0"/>
                <wp:positionH relativeFrom="column">
                  <wp:posOffset>915489</wp:posOffset>
                </wp:positionH>
                <wp:positionV relativeFrom="paragraph">
                  <wp:posOffset>228691</wp:posOffset>
                </wp:positionV>
                <wp:extent cx="5379720" cy="612140"/>
                <wp:effectExtent l="8890" t="6350" r="12065" b="10160"/>
                <wp:wrapNone/>
                <wp:docPr id="1441663384"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9720" cy="612140"/>
                        </a:xfrm>
                        <a:prstGeom prst="rect">
                          <a:avLst/>
                        </a:prstGeom>
                        <a:solidFill>
                          <a:srgbClr val="FFFFFF"/>
                        </a:solidFill>
                        <a:ln w="6350">
                          <a:solidFill>
                            <a:srgbClr val="000000"/>
                          </a:solidFill>
                          <a:prstDash val="lgDash"/>
                          <a:miter lim="800000"/>
                          <a:headEnd/>
                          <a:tailEnd/>
                        </a:ln>
                      </wps:spPr>
                      <wps:txbx>
                        <w:txbxContent>
                          <w:p w14:paraId="47F4716F" w14:textId="3F81E3CC" w:rsidR="00A206EC" w:rsidRPr="00C45B15" w:rsidRDefault="00C45B15" w:rsidP="00C45B15">
                            <w:pPr>
                              <w:spacing w:after="0" w:line="192" w:lineRule="auto"/>
                              <w:jc w:val="both"/>
                              <w:rPr>
                                <w:rFonts w:ascii="Times New Roman" w:hAnsi="Times New Roman" w:cs="Times New Roman"/>
                                <w:i/>
                                <w:sz w:val="24"/>
                                <w:szCs w:val="24"/>
                                <w:lang w:val="uk-UA"/>
                              </w:rPr>
                            </w:pPr>
                            <w:r>
                              <w:rPr>
                                <w:rFonts w:ascii="Times New Roman" w:hAnsi="Times New Roman" w:cs="Times New Roman"/>
                                <w:sz w:val="24"/>
                                <w:szCs w:val="24"/>
                                <w:lang w:val="uk-UA"/>
                              </w:rPr>
                              <w:t xml:space="preserve">стан, </w:t>
                            </w:r>
                            <w:r w:rsidR="00E1169E" w:rsidRPr="00C45B15">
                              <w:rPr>
                                <w:rFonts w:ascii="Times New Roman" w:hAnsi="Times New Roman" w:cs="Times New Roman"/>
                                <w:sz w:val="24"/>
                                <w:szCs w:val="24"/>
                                <w:lang w:val="uk-UA"/>
                              </w:rPr>
                              <w:t xml:space="preserve">що передбачає забезпечення цілісності та здатності виконувати функції у процесі адаптації до зовнішнього середовища при стабільному зростанні фінансових показників, незалежно від впливу </w:t>
                            </w:r>
                            <w:r>
                              <w:rPr>
                                <w:rFonts w:ascii="Times New Roman" w:hAnsi="Times New Roman" w:cs="Times New Roman"/>
                                <w:sz w:val="24"/>
                                <w:szCs w:val="24"/>
                                <w:lang w:val="uk-UA"/>
                              </w:rPr>
                              <w:t>кризових факторів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587DB9F" id="Поле 3" o:spid="_x0000_s1031" type="#_x0000_t202" style="position:absolute;left:0;text-align:left;margin-left:72.1pt;margin-top:18pt;width:423.6pt;height:48.2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" strokeweight=".5pt">
                <v:stroke dashstyle="longDash"/>
                <v:textbox>
                  <w:txbxContent>
                    <w:p w14:paraId="47F4716F" w14:textId="3F81E3CC" w:rsidR="00A206EC" w:rsidRPr="00C45B15" w:rsidRDefault="00C45B15" w:rsidP="00C45B15">
                      <w:pPr>
                        <w:spacing w:after="0" w:line="192" w:lineRule="auto"/>
                        <w:jc w:val="both"/>
                        <w:rPr>
                          <w:rFonts w:ascii="Times New Roman" w:hAnsi="Times New Roman" w:cs="Times New Roman"/>
                          <w:i/>
                          <w:sz w:val="24"/>
                          <w:szCs w:val="24"/>
                          <w:lang w:val="uk-UA"/>
                        </w:rPr>
                      </w:pPr>
                      <w:r>
                        <w:rPr>
                          <w:rFonts w:ascii="Times New Roman" w:hAnsi="Times New Roman" w:cs="Times New Roman"/>
                          <w:sz w:val="24"/>
                          <w:szCs w:val="24"/>
                          <w:lang w:val="uk-UA"/>
                        </w:rPr>
                        <w:t xml:space="preserve">стан, </w:t>
                      </w:r>
                      <w:r w:rsidR="00E1169E" w:rsidRPr="00C45B15">
                        <w:rPr>
                          <w:rFonts w:ascii="Times New Roman" w:hAnsi="Times New Roman" w:cs="Times New Roman"/>
                          <w:sz w:val="24"/>
                          <w:szCs w:val="24"/>
                          <w:lang w:val="uk-UA"/>
                        </w:rPr>
                        <w:t xml:space="preserve">що передбачає забезпечення цілісності та здатності виконувати функції у процесі адаптації до зовнішнього середовища при стабільному зростанні фінансових показників, незалежно від впливу </w:t>
                      </w:r>
                      <w:r>
                        <w:rPr>
                          <w:rFonts w:ascii="Times New Roman" w:hAnsi="Times New Roman" w:cs="Times New Roman"/>
                          <w:sz w:val="24"/>
                          <w:szCs w:val="24"/>
                          <w:lang w:val="uk-UA"/>
                        </w:rPr>
                        <w:t>кризових факторів</w:t>
                      </w:r>
                    </w:p>
                  </w:txbxContent>
                </v:textbox>
              </v:shape>
            </w:pict>
          </mc:Fallback>
        </mc:AlternateContent>
      </w:r>
    </w:p>
    <w:p w14:paraId="1DED568A" w14:textId="069C32E4" w:rsidR="005C064B" w:rsidRPr="00F00EB0" w:rsidRDefault="005C064B" w:rsidP="00564547">
      <w:pPr>
        <w:spacing w:after="0" w:line="360" w:lineRule="auto"/>
        <w:ind w:firstLine="709"/>
        <w:contextualSpacing/>
        <w:jc w:val="both"/>
        <w:rPr>
          <w:rFonts w:ascii="Times New Roman" w:hAnsi="Times New Roman" w:cs="Times New Roman"/>
          <w:color w:val="000000" w:themeColor="text1"/>
          <w:sz w:val="28"/>
          <w:szCs w:val="28"/>
          <w:lang w:val="uk-UA"/>
        </w:rPr>
      </w:pPr>
    </w:p>
    <w:p w14:paraId="5004ACDD" w14:textId="1BBA4606" w:rsidR="005C064B" w:rsidRPr="00F00EB0" w:rsidRDefault="00D90F03" w:rsidP="0056454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55680" behindDoc="0" locked="0" layoutInCell="1" allowOverlap="1" wp14:anchorId="5A456A3B" wp14:editId="5FC6C6CF">
                <wp:simplePos x="0" y="0"/>
                <wp:positionH relativeFrom="column">
                  <wp:posOffset>643890</wp:posOffset>
                </wp:positionH>
                <wp:positionV relativeFrom="paragraph">
                  <wp:posOffset>298450</wp:posOffset>
                </wp:positionV>
                <wp:extent cx="5588000" cy="522605"/>
                <wp:effectExtent l="10795" t="8255" r="11430" b="12065"/>
                <wp:wrapNone/>
                <wp:docPr id="1291045809" name="Блок-схема: альтернативний процес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88000" cy="522605"/>
                        </a:xfrm>
                        <a:prstGeom prst="flowChartAlternateProcess">
                          <a:avLst/>
                        </a:prstGeom>
                        <a:gradFill rotWithShape="0">
                          <a:gsLst>
                            <a:gs pos="0">
                              <a:srgbClr val="9B9B9B"/>
                            </a:gs>
                            <a:gs pos="50000">
                              <a:srgbClr val="8E8E8E"/>
                            </a:gs>
                            <a:gs pos="100000">
                              <a:srgbClr val="797979"/>
                            </a:gs>
                          </a:gsLst>
                          <a:lin ang="5400000"/>
                        </a:gra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BAC9490" id="Блок-схема: альтернативний процес 18" o:spid="_x0000_s1026" type="#_x0000_t176" style="position:absolute;margin-left:50.7pt;margin-top:23.5pt;width:440pt;height:41.1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" fillcolor="#9b9b9b" strokeweight="1pt">
                <v:fill color2="#797979" colors="0 #9b9b9b;.5 #8e8e8e;1 #797979" focus="100%" type="gradient">
                  <o:fill v:ext="view" type="gradientUnscaled"/>
                </v:fill>
              </v:shape>
            </w:pict>
          </mc:Fallback>
        </mc:AlternateContent>
      </w:r>
    </w:p>
    <w:p w14:paraId="6A55491C" w14:textId="2C9E9A11" w:rsidR="005C064B" w:rsidRPr="00F00EB0" w:rsidRDefault="00D90F03" w:rsidP="0056454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56704" behindDoc="0" locked="0" layoutInCell="1" allowOverlap="1" wp14:anchorId="6492C177" wp14:editId="3B6D6C61">
                <wp:simplePos x="0" y="0"/>
                <wp:positionH relativeFrom="column">
                  <wp:posOffset>952500</wp:posOffset>
                </wp:positionH>
                <wp:positionV relativeFrom="paragraph">
                  <wp:posOffset>100330</wp:posOffset>
                </wp:positionV>
                <wp:extent cx="5121910" cy="360680"/>
                <wp:effectExtent l="10160" t="12065" r="11430" b="8255"/>
                <wp:wrapNone/>
                <wp:docPr id="782944161" name="Поле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1910" cy="360680"/>
                        </a:xfrm>
                        <a:prstGeom prst="rect">
                          <a:avLst/>
                        </a:prstGeom>
                        <a:solidFill>
                          <a:srgbClr val="FFFFFF"/>
                        </a:solidFill>
                        <a:ln w="6350">
                          <a:solidFill>
                            <a:srgbClr val="000000"/>
                          </a:solidFill>
                          <a:miter lim="800000"/>
                          <a:headEnd/>
                          <a:tailEnd/>
                        </a:ln>
                      </wps:spPr>
                      <wps:txbx>
                        <w:txbxContent>
                          <w:p w14:paraId="5EE8D476" w14:textId="29D9C8F1" w:rsidR="00A206EC" w:rsidRPr="001975B7" w:rsidRDefault="00A206EC" w:rsidP="005C064B">
                            <w:pPr>
                              <w:jc w:val="center"/>
                              <w:rPr>
                                <w:rFonts w:ascii="Times New Roman" w:hAnsi="Times New Roman" w:cs="Times New Roman"/>
                                <w:sz w:val="24"/>
                                <w:szCs w:val="24"/>
                                <w:lang w:val="uk-UA"/>
                              </w:rPr>
                            </w:pPr>
                            <w:r w:rsidRPr="001975B7">
                              <w:rPr>
                                <w:rFonts w:ascii="Times New Roman" w:hAnsi="Times New Roman" w:cs="Times New Roman"/>
                                <w:sz w:val="24"/>
                                <w:szCs w:val="24"/>
                                <w:lang w:val="uk-UA"/>
                              </w:rPr>
                              <w:t>ФІНАНСОВА СТІЙКІСТЬ</w:t>
                            </w:r>
                            <w:r w:rsidR="00C45B15">
                              <w:rPr>
                                <w:rFonts w:ascii="Times New Roman" w:hAnsi="Times New Roman" w:cs="Times New Roman"/>
                                <w:sz w:val="24"/>
                                <w:szCs w:val="24"/>
                                <w:lang w:val="uk-UA"/>
                              </w:rPr>
                              <w:t xml:space="preserve"> БАНКІВСЬКОЇ СИСТЕМИ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492C177" id="Поле 19" o:spid="_x0000_s1032" type="#_x0000_t202" style="position:absolute;left:0;text-align:left;margin-left:75pt;margin-top:7.9pt;width:403.3pt;height:28.4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" strokeweight=".5pt">
                <v:textbox>
                  <w:txbxContent>
                    <w:p w14:paraId="5EE8D476" w14:textId="29D9C8F1" w:rsidR="00A206EC" w:rsidRPr="001975B7" w:rsidRDefault="00A206EC" w:rsidP="005C064B">
                      <w:pPr>
                        <w:jc w:val="center"/>
                        <w:rPr>
                          <w:rFonts w:ascii="Times New Roman" w:hAnsi="Times New Roman" w:cs="Times New Roman"/>
                          <w:sz w:val="24"/>
                          <w:szCs w:val="24"/>
                          <w:lang w:val="uk-UA"/>
                        </w:rPr>
                      </w:pPr>
                      <w:r w:rsidRPr="001975B7">
                        <w:rPr>
                          <w:rFonts w:ascii="Times New Roman" w:hAnsi="Times New Roman" w:cs="Times New Roman"/>
                          <w:sz w:val="24"/>
                          <w:szCs w:val="24"/>
                          <w:lang w:val="uk-UA"/>
                        </w:rPr>
                        <w:t>ФІНАНСОВА СТІЙКІСТЬ</w:t>
                      </w:r>
                      <w:r w:rsidR="00C45B15">
                        <w:rPr>
                          <w:rFonts w:ascii="Times New Roman" w:hAnsi="Times New Roman" w:cs="Times New Roman"/>
                          <w:sz w:val="24"/>
                          <w:szCs w:val="24"/>
                          <w:lang w:val="uk-UA"/>
                        </w:rPr>
                        <w:t xml:space="preserve"> БАНКІВСЬКОЇ СИСТЕМИ</w:t>
                      </w:r>
                    </w:p>
                  </w:txbxContent>
                </v:textbox>
              </v:shape>
            </w:pict>
          </mc:Fallback>
        </mc:AlternateContent>
      </w:r>
    </w:p>
    <w:p w14:paraId="680F1624" w14:textId="708CA0AC" w:rsidR="005C064B" w:rsidRPr="00F00EB0" w:rsidRDefault="00D90F03" w:rsidP="0056454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lang w:eastAsia="ru-RU"/>
        </w:rPr>
        <mc:AlternateContent>
          <mc:Choice Requires="wps">
            <w:drawing>
              <wp:anchor distT="0" distB="0" distL="114300" distR="114300" simplePos="0" relativeHeight="251648512" behindDoc="0" locked="0" layoutInCell="1" allowOverlap="1" wp14:anchorId="0F75DFE4" wp14:editId="5DFCD839">
                <wp:simplePos x="0" y="0"/>
                <wp:positionH relativeFrom="column">
                  <wp:posOffset>918210</wp:posOffset>
                </wp:positionH>
                <wp:positionV relativeFrom="paragraph">
                  <wp:posOffset>250825</wp:posOffset>
                </wp:positionV>
                <wp:extent cx="5156200" cy="688340"/>
                <wp:effectExtent l="8890" t="12065" r="6985" b="13970"/>
                <wp:wrapNone/>
                <wp:docPr id="777448940" name="Поле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56200" cy="688340"/>
                        </a:xfrm>
                        <a:prstGeom prst="rect">
                          <a:avLst/>
                        </a:prstGeom>
                        <a:solidFill>
                          <a:srgbClr val="FFFFFF"/>
                        </a:solidFill>
                        <a:ln w="6350">
                          <a:solidFill>
                            <a:srgbClr val="000000"/>
                          </a:solidFill>
                          <a:prstDash val="dash"/>
                          <a:miter lim="800000"/>
                          <a:headEnd/>
                          <a:tailEnd/>
                        </a:ln>
                      </wps:spPr>
                      <wps:txbx>
                        <w:txbxContent>
                          <w:p w14:paraId="25A34588" w14:textId="2F7BD264" w:rsidR="00A206EC" w:rsidRPr="00DE7AB9" w:rsidRDefault="00DE7AB9" w:rsidP="008A576A">
                            <w:pPr>
                              <w:spacing w:after="0" w:line="192" w:lineRule="auto"/>
                              <w:contextualSpacing/>
                              <w:jc w:val="both"/>
                              <w:rPr>
                                <w:rFonts w:ascii="Times New Roman" w:hAnsi="Times New Roman" w:cs="Times New Roman"/>
                                <w:iCs/>
                                <w:sz w:val="24"/>
                                <w:szCs w:val="24"/>
                                <w:lang w:val="uk-UA"/>
                              </w:rPr>
                            </w:pPr>
                            <w:r w:rsidRPr="00DE7AB9">
                              <w:rPr>
                                <w:rFonts w:ascii="Times New Roman" w:hAnsi="Times New Roman" w:cs="Times New Roman"/>
                                <w:iCs/>
                                <w:sz w:val="24"/>
                                <w:szCs w:val="24"/>
                                <w:lang w:val="uk-UA"/>
                              </w:rPr>
                              <w:t xml:space="preserve">стан, за якого банківська система, яка включає фінансових посередників, ринки та інфраструктуру, здатна протистояти потрясінням </w:t>
                            </w:r>
                            <w:r>
                              <w:rPr>
                                <w:rFonts w:ascii="Times New Roman" w:hAnsi="Times New Roman" w:cs="Times New Roman"/>
                                <w:iCs/>
                                <w:sz w:val="24"/>
                                <w:szCs w:val="24"/>
                                <w:lang w:val="uk-UA"/>
                              </w:rPr>
                              <w:t>та</w:t>
                            </w:r>
                            <w:r w:rsidRPr="00DE7AB9">
                              <w:rPr>
                                <w:rFonts w:ascii="Times New Roman" w:hAnsi="Times New Roman" w:cs="Times New Roman"/>
                                <w:iCs/>
                                <w:sz w:val="24"/>
                                <w:szCs w:val="24"/>
                                <w:lang w:val="uk-UA"/>
                              </w:rPr>
                              <w:t xml:space="preserve"> усуненню фінансових дисбалансів</w:t>
                            </w:r>
                            <w:r w:rsidR="008A576A">
                              <w:rPr>
                                <w:rFonts w:ascii="Times New Roman" w:hAnsi="Times New Roman" w:cs="Times New Roman"/>
                                <w:iCs/>
                                <w:sz w:val="24"/>
                                <w:szCs w:val="24"/>
                                <w:lang w:val="uk-UA"/>
                              </w:rPr>
                              <w:t>, що</w:t>
                            </w:r>
                            <w:r w:rsidR="008A576A" w:rsidRPr="008A576A">
                              <w:t xml:space="preserve"> </w:t>
                            </w:r>
                            <w:r w:rsidR="008A576A" w:rsidRPr="008A576A">
                              <w:rPr>
                                <w:rFonts w:ascii="Times New Roman" w:hAnsi="Times New Roman" w:cs="Times New Roman"/>
                                <w:iCs/>
                                <w:sz w:val="24"/>
                                <w:szCs w:val="24"/>
                                <w:lang w:val="uk-UA"/>
                              </w:rPr>
                              <w:t>виникають ендогенно або в результаті значних несприятливих і непередбачених подій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F75DFE4" id="Поле 8" o:spid="_x0000_s1033" type="#_x0000_t202" style="position:absolute;left:0;text-align:left;margin-left:72.3pt;margin-top:19.75pt;width:406pt;height:54.2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" strokeweight=".5pt">
                <v:stroke dashstyle="dash"/>
                <v:textbox>
                  <w:txbxContent>
                    <w:p w14:paraId="25A34588" w14:textId="2F7BD264" w:rsidR="00A206EC" w:rsidRPr="00DE7AB9" w:rsidRDefault="00DE7AB9" w:rsidP="008A576A">
                      <w:pPr>
                        <w:spacing w:after="0" w:line="192" w:lineRule="auto"/>
                        <w:contextualSpacing/>
                        <w:jc w:val="both"/>
                        <w:rPr>
                          <w:rFonts w:ascii="Times New Roman" w:hAnsi="Times New Roman" w:cs="Times New Roman"/>
                          <w:iCs/>
                          <w:sz w:val="24"/>
                          <w:szCs w:val="24"/>
                          <w:lang w:val="uk-UA"/>
                        </w:rPr>
                      </w:pPr>
                      <w:r w:rsidRPr="00DE7AB9">
                        <w:rPr>
                          <w:rFonts w:ascii="Times New Roman" w:hAnsi="Times New Roman" w:cs="Times New Roman"/>
                          <w:iCs/>
                          <w:sz w:val="24"/>
                          <w:szCs w:val="24"/>
                          <w:lang w:val="uk-UA"/>
                        </w:rPr>
                        <w:t xml:space="preserve">стан, за якого банківська система, яка включає фінансових посередників, ринки та інфраструктуру, здатна протистояти потрясінням </w:t>
                      </w:r>
                      <w:r>
                        <w:rPr>
                          <w:rFonts w:ascii="Times New Roman" w:hAnsi="Times New Roman" w:cs="Times New Roman"/>
                          <w:iCs/>
                          <w:sz w:val="24"/>
                          <w:szCs w:val="24"/>
                          <w:lang w:val="uk-UA"/>
                        </w:rPr>
                        <w:t>та</w:t>
                      </w:r>
                      <w:r w:rsidRPr="00DE7AB9">
                        <w:rPr>
                          <w:rFonts w:ascii="Times New Roman" w:hAnsi="Times New Roman" w:cs="Times New Roman"/>
                          <w:iCs/>
                          <w:sz w:val="24"/>
                          <w:szCs w:val="24"/>
                          <w:lang w:val="uk-UA"/>
                        </w:rPr>
                        <w:t xml:space="preserve"> усуненню фінансових дисбалансів</w:t>
                      </w:r>
                      <w:r w:rsidR="008A576A">
                        <w:rPr>
                          <w:rFonts w:ascii="Times New Roman" w:hAnsi="Times New Roman" w:cs="Times New Roman"/>
                          <w:iCs/>
                          <w:sz w:val="24"/>
                          <w:szCs w:val="24"/>
                          <w:lang w:val="uk-UA"/>
                        </w:rPr>
                        <w:t>, що</w:t>
                      </w:r>
                      <w:r w:rsidR="008A576A" w:rsidRPr="008A576A">
                        <w:t xml:space="preserve"> </w:t>
                      </w:r>
                      <w:r w:rsidR="008A576A" w:rsidRPr="008A576A">
                        <w:rPr>
                          <w:rFonts w:ascii="Times New Roman" w:hAnsi="Times New Roman" w:cs="Times New Roman"/>
                          <w:iCs/>
                          <w:sz w:val="24"/>
                          <w:szCs w:val="24"/>
                          <w:lang w:val="uk-UA"/>
                        </w:rPr>
                        <w:t>виникають ендогенно або в результаті значних несприятливих і непередбачених подій</w:t>
                      </w:r>
                    </w:p>
                  </w:txbxContent>
                </v:textbox>
              </v:shape>
            </w:pict>
          </mc:Fallback>
        </mc:AlternateContent>
      </w:r>
      <w:r w:rsidRPr="00F00EB0">
        <w:rPr>
          <w:rFonts w:ascii="Times New Roman" w:hAnsi="Times New Roman" w:cs="Times New Roman"/>
          <w:noProof/>
          <w:color w:val="000000" w:themeColor="text1"/>
          <w:lang w:eastAsia="ru-RU"/>
        </w:rPr>
        <mc:AlternateContent>
          <mc:Choice Requires="wps">
            <w:drawing>
              <wp:anchor distT="0" distB="0" distL="114300" distR="114300" simplePos="0" relativeHeight="251638272" behindDoc="0" locked="0" layoutInCell="1" allowOverlap="1" wp14:anchorId="4D3E3AB3" wp14:editId="4C68FC0F">
                <wp:simplePos x="0" y="0"/>
                <wp:positionH relativeFrom="column">
                  <wp:posOffset>3722370</wp:posOffset>
                </wp:positionH>
                <wp:positionV relativeFrom="paragraph">
                  <wp:posOffset>40640</wp:posOffset>
                </wp:positionV>
                <wp:extent cx="234315" cy="215265"/>
                <wp:effectExtent l="22225" t="59055" r="19685" b="59055"/>
                <wp:wrapNone/>
                <wp:docPr id="162788765" name="Пряма зі стрілкою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234315" cy="215265"/>
                        </a:xfrm>
                        <a:prstGeom prst="bentConnector3">
                          <a:avLst>
                            <a:gd name="adj1" fmla="val 49866"/>
                          </a:avLst>
                        </a:prstGeom>
                        <a:noFill/>
                        <a:ln w="6350">
                          <a:solidFill>
                            <a:schemeClr val="dk1">
                              <a:lumMod val="100000"/>
                              <a:lumOff val="0"/>
                            </a:schemeClr>
                          </a:solidFill>
                          <a:miter lim="800000"/>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53B29C7" id="_x0000_t34" coordsize="21600,21600" o:spt="34" o:oned="t" adj="10800" path="m,l@0,0@0,21600,21600,21600e" filled="f">
                <v:stroke joinstyle="miter"/>
                <v:formulas>
                  <v:f eqn="val #0"/>
                </v:formulas>
                <v:path arrowok="t" fillok="f" o:connecttype="none"/>
                <v:handles>
                  <v:h position="#0,center"/>
                </v:handles>
                <o:lock v:ext="edit" shapetype="t"/>
              </v:shapetype>
              <v:shape id="Пряма зі стрілкою 55" o:spid="_x0000_s1026" type="#_x0000_t34" style="position:absolute;margin-left:293.1pt;margin-top:3.2pt;width:18.45pt;height:16.95pt;rotation:180;flip:y;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" adj="10771" strokecolor="black [3200]" strokeweight=".5pt">
                <v:stroke startarrow="block" endarrow="block"/>
              </v:shape>
            </w:pict>
          </mc:Fallback>
        </mc:AlternateContent>
      </w:r>
    </w:p>
    <w:p w14:paraId="69C9D622" w14:textId="401AD3A8" w:rsidR="005C064B" w:rsidRPr="00F00EB0" w:rsidRDefault="005C064B" w:rsidP="00564547">
      <w:pPr>
        <w:spacing w:after="0" w:line="360" w:lineRule="auto"/>
        <w:ind w:firstLine="709"/>
        <w:contextualSpacing/>
        <w:jc w:val="both"/>
        <w:rPr>
          <w:rFonts w:ascii="Times New Roman" w:hAnsi="Times New Roman" w:cs="Times New Roman"/>
          <w:color w:val="000000" w:themeColor="text1"/>
          <w:sz w:val="28"/>
          <w:szCs w:val="28"/>
          <w:lang w:val="uk-UA"/>
        </w:rPr>
      </w:pPr>
    </w:p>
    <w:p w14:paraId="58CAE4A6" w14:textId="4A6C187A" w:rsidR="005C064B" w:rsidRPr="00F00EB0" w:rsidRDefault="005C064B" w:rsidP="00564547">
      <w:pPr>
        <w:spacing w:after="0" w:line="360" w:lineRule="auto"/>
        <w:ind w:firstLine="709"/>
        <w:contextualSpacing/>
        <w:jc w:val="both"/>
        <w:rPr>
          <w:rFonts w:ascii="Times New Roman" w:hAnsi="Times New Roman" w:cs="Times New Roman"/>
          <w:color w:val="000000" w:themeColor="text1"/>
          <w:sz w:val="28"/>
          <w:szCs w:val="28"/>
          <w:lang w:val="uk-UA"/>
        </w:rPr>
      </w:pPr>
    </w:p>
    <w:p w14:paraId="2F00F7F6" w14:textId="00927E00" w:rsidR="005C064B" w:rsidRPr="00F00EB0" w:rsidRDefault="00D90F03" w:rsidP="0056454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63872" behindDoc="0" locked="0" layoutInCell="1" allowOverlap="1" wp14:anchorId="58C9B9AD" wp14:editId="748534C9">
                <wp:simplePos x="0" y="0"/>
                <wp:positionH relativeFrom="column">
                  <wp:posOffset>525599</wp:posOffset>
                </wp:positionH>
                <wp:positionV relativeFrom="paragraph">
                  <wp:posOffset>90170</wp:posOffset>
                </wp:positionV>
                <wp:extent cx="5664744" cy="286385"/>
                <wp:effectExtent l="0" t="0" r="12700" b="18415"/>
                <wp:wrapNone/>
                <wp:docPr id="466348742" name="Поле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4744" cy="286385"/>
                        </a:xfrm>
                        <a:prstGeom prst="rect">
                          <a:avLst/>
                        </a:prstGeom>
                        <a:solidFill>
                          <a:srgbClr val="FFFFFF"/>
                        </a:solidFill>
                        <a:ln w="6350">
                          <a:solidFill>
                            <a:srgbClr val="000000"/>
                          </a:solidFill>
                          <a:miter lim="800000"/>
                          <a:headEnd/>
                          <a:tailEnd/>
                        </a:ln>
                      </wps:spPr>
                      <wps:txbx>
                        <w:txbxContent>
                          <w:p w14:paraId="60F44ADD" w14:textId="77777777" w:rsidR="00A206EC" w:rsidRPr="001975B7" w:rsidRDefault="00A206EC" w:rsidP="005C064B">
                            <w:pPr>
                              <w:jc w:val="center"/>
                              <w:rPr>
                                <w:lang w:val="uk-UA"/>
                              </w:rPr>
                            </w:pPr>
                            <w:r w:rsidRPr="001975B7">
                              <w:rPr>
                                <w:rFonts w:ascii="Times New Roman" w:hAnsi="Times New Roman" w:cs="Times New Roman"/>
                                <w:sz w:val="24"/>
                                <w:szCs w:val="24"/>
                                <w:lang w:val="uk-UA"/>
                              </w:rPr>
                              <w:t>ФІНАНСОВА СТІЙКІСТЬ БАНКУ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8C9B9AD" id="Поле 34" o:spid="_x0000_s1034" type="#_x0000_t202" style="position:absolute;left:0;text-align:left;margin-left:41.4pt;margin-top:7.1pt;width:446.05pt;height:22.5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" strokeweight=".5pt">
                <v:textbox>
                  <w:txbxContent>
                    <w:p w14:paraId="60F44ADD" w14:textId="77777777" w:rsidR="00A206EC" w:rsidRPr="001975B7" w:rsidRDefault="00A206EC" w:rsidP="005C064B">
                      <w:pPr>
                        <w:jc w:val="center"/>
                        <w:rPr>
                          <w:lang w:val="uk-UA"/>
                        </w:rPr>
                      </w:pPr>
                      <w:r w:rsidRPr="001975B7">
                        <w:rPr>
                          <w:rFonts w:ascii="Times New Roman" w:hAnsi="Times New Roman" w:cs="Times New Roman"/>
                          <w:sz w:val="24"/>
                          <w:szCs w:val="24"/>
                          <w:lang w:val="uk-UA"/>
                        </w:rPr>
                        <w:t>ФІНАНСОВА СТІЙКІСТЬ БАНКУ</w:t>
                      </w:r>
                    </w:p>
                  </w:txbxContent>
                </v:textbox>
              </v:shape>
            </w:pict>
          </mc:Fallback>
        </mc:AlternateContent>
      </w:r>
    </w:p>
    <w:p w14:paraId="43B61513" w14:textId="591E987F" w:rsidR="005C064B" w:rsidRPr="00F00EB0" w:rsidRDefault="00D90F03" w:rsidP="0056454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58752" behindDoc="0" locked="0" layoutInCell="1" allowOverlap="1" wp14:anchorId="27C1F7CC" wp14:editId="5013D507">
                <wp:simplePos x="0" y="0"/>
                <wp:positionH relativeFrom="column">
                  <wp:posOffset>590822</wp:posOffset>
                </wp:positionH>
                <wp:positionV relativeFrom="paragraph">
                  <wp:posOffset>108676</wp:posOffset>
                </wp:positionV>
                <wp:extent cx="5599430" cy="643618"/>
                <wp:effectExtent l="0" t="0" r="20320" b="23495"/>
                <wp:wrapNone/>
                <wp:docPr id="921906745" name="Поле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9430" cy="643618"/>
                        </a:xfrm>
                        <a:prstGeom prst="rect">
                          <a:avLst/>
                        </a:prstGeom>
                        <a:solidFill>
                          <a:srgbClr val="FFFFFF"/>
                        </a:solidFill>
                        <a:ln w="6350">
                          <a:solidFill>
                            <a:srgbClr val="000000"/>
                          </a:solidFill>
                          <a:prstDash val="dash"/>
                          <a:miter lim="800000"/>
                          <a:headEnd/>
                          <a:tailEnd/>
                        </a:ln>
                      </wps:spPr>
                      <wps:txbx>
                        <w:txbxContent>
                          <w:p w14:paraId="141ABDE9" w14:textId="0ACB9E64" w:rsidR="00A206EC" w:rsidRPr="00D64B86" w:rsidRDefault="00D64B86" w:rsidP="00D64B86">
                            <w:pPr>
                              <w:spacing w:after="0" w:line="192" w:lineRule="auto"/>
                              <w:contextualSpacing/>
                              <w:jc w:val="both"/>
                              <w:rPr>
                                <w:rFonts w:ascii="Times New Roman" w:hAnsi="Times New Roman" w:cs="Times New Roman"/>
                                <w:iCs/>
                                <w:sz w:val="24"/>
                                <w:szCs w:val="24"/>
                                <w:lang w:val="uk-UA"/>
                              </w:rPr>
                            </w:pPr>
                            <w:r w:rsidRPr="00D64B86">
                              <w:rPr>
                                <w:rFonts w:ascii="Times New Roman" w:hAnsi="Times New Roman" w:cs="Times New Roman"/>
                                <w:iCs/>
                                <w:sz w:val="24"/>
                                <w:szCs w:val="24"/>
                                <w:lang w:val="uk-UA"/>
                              </w:rPr>
                              <w:t>стан, за якого бан</w:t>
                            </w:r>
                            <w:r>
                              <w:rPr>
                                <w:rFonts w:ascii="Times New Roman" w:hAnsi="Times New Roman" w:cs="Times New Roman"/>
                                <w:iCs/>
                                <w:sz w:val="24"/>
                                <w:szCs w:val="24"/>
                                <w:lang w:val="uk-UA"/>
                              </w:rPr>
                              <w:t xml:space="preserve">к </w:t>
                            </w:r>
                            <w:r w:rsidRPr="00D64B86">
                              <w:rPr>
                                <w:rFonts w:ascii="Times New Roman" w:hAnsi="Times New Roman" w:cs="Times New Roman"/>
                                <w:iCs/>
                                <w:sz w:val="24"/>
                                <w:szCs w:val="24"/>
                                <w:lang w:val="uk-UA"/>
                              </w:rPr>
                              <w:t>здат</w:t>
                            </w:r>
                            <w:r>
                              <w:rPr>
                                <w:rFonts w:ascii="Times New Roman" w:hAnsi="Times New Roman" w:cs="Times New Roman"/>
                                <w:iCs/>
                                <w:sz w:val="24"/>
                                <w:szCs w:val="24"/>
                                <w:lang w:val="uk-UA"/>
                              </w:rPr>
                              <w:t>ен</w:t>
                            </w:r>
                            <w:r w:rsidRPr="00D64B86">
                              <w:rPr>
                                <w:rFonts w:ascii="Times New Roman" w:hAnsi="Times New Roman" w:cs="Times New Roman"/>
                                <w:iCs/>
                                <w:sz w:val="24"/>
                                <w:szCs w:val="24"/>
                                <w:lang w:val="uk-UA"/>
                              </w:rPr>
                              <w:t xml:space="preserve"> протистояти потрясінням та усуненню фінансових дисбалансів, що виникають ендогенно або в результаті значних несприятливих і непередбачених подій</w:t>
                            </w:r>
                            <w:r>
                              <w:rPr>
                                <w:rFonts w:ascii="Times New Roman" w:hAnsi="Times New Roman" w:cs="Times New Roman"/>
                                <w:iCs/>
                                <w:sz w:val="24"/>
                                <w:szCs w:val="24"/>
                                <w:lang w:val="uk-UA"/>
                              </w:rPr>
                              <w:t>, та підтримувати фінансову рівновагу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7C1F7CC" id="Поле 22" o:spid="_x0000_s1035" type="#_x0000_t202" style="position:absolute;left:0;text-align:left;margin-left:46.5pt;margin-top:8.55pt;width:440.9pt;height:50.7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" strokeweight=".5pt">
                <v:stroke dashstyle="dash"/>
                <v:textbox>
                  <w:txbxContent>
                    <w:p w14:paraId="141ABDE9" w14:textId="0ACB9E64" w:rsidR="00A206EC" w:rsidRPr="00D64B86" w:rsidRDefault="00D64B86" w:rsidP="00D64B86">
                      <w:pPr>
                        <w:spacing w:after="0" w:line="192" w:lineRule="auto"/>
                        <w:contextualSpacing/>
                        <w:jc w:val="both"/>
                        <w:rPr>
                          <w:rFonts w:ascii="Times New Roman" w:hAnsi="Times New Roman" w:cs="Times New Roman"/>
                          <w:iCs/>
                          <w:sz w:val="24"/>
                          <w:szCs w:val="24"/>
                          <w:lang w:val="uk-UA"/>
                        </w:rPr>
                      </w:pPr>
                      <w:r w:rsidRPr="00D64B86">
                        <w:rPr>
                          <w:rFonts w:ascii="Times New Roman" w:hAnsi="Times New Roman" w:cs="Times New Roman"/>
                          <w:iCs/>
                          <w:sz w:val="24"/>
                          <w:szCs w:val="24"/>
                          <w:lang w:val="uk-UA"/>
                        </w:rPr>
                        <w:t>стан, за якого бан</w:t>
                      </w:r>
                      <w:r>
                        <w:rPr>
                          <w:rFonts w:ascii="Times New Roman" w:hAnsi="Times New Roman" w:cs="Times New Roman"/>
                          <w:iCs/>
                          <w:sz w:val="24"/>
                          <w:szCs w:val="24"/>
                          <w:lang w:val="uk-UA"/>
                        </w:rPr>
                        <w:t xml:space="preserve">к </w:t>
                      </w:r>
                      <w:r w:rsidRPr="00D64B86">
                        <w:rPr>
                          <w:rFonts w:ascii="Times New Roman" w:hAnsi="Times New Roman" w:cs="Times New Roman"/>
                          <w:iCs/>
                          <w:sz w:val="24"/>
                          <w:szCs w:val="24"/>
                          <w:lang w:val="uk-UA"/>
                        </w:rPr>
                        <w:t>здат</w:t>
                      </w:r>
                      <w:r>
                        <w:rPr>
                          <w:rFonts w:ascii="Times New Roman" w:hAnsi="Times New Roman" w:cs="Times New Roman"/>
                          <w:iCs/>
                          <w:sz w:val="24"/>
                          <w:szCs w:val="24"/>
                          <w:lang w:val="uk-UA"/>
                        </w:rPr>
                        <w:t>ен</w:t>
                      </w:r>
                      <w:r w:rsidRPr="00D64B86">
                        <w:rPr>
                          <w:rFonts w:ascii="Times New Roman" w:hAnsi="Times New Roman" w:cs="Times New Roman"/>
                          <w:iCs/>
                          <w:sz w:val="24"/>
                          <w:szCs w:val="24"/>
                          <w:lang w:val="uk-UA"/>
                        </w:rPr>
                        <w:t xml:space="preserve"> протистояти потрясінням та усуненню фінансових дисбалансів, що виникають ендогенно або в результаті значних несприятливих і непередбачених подій</w:t>
                      </w:r>
                      <w:r>
                        <w:rPr>
                          <w:rFonts w:ascii="Times New Roman" w:hAnsi="Times New Roman" w:cs="Times New Roman"/>
                          <w:iCs/>
                          <w:sz w:val="24"/>
                          <w:szCs w:val="24"/>
                          <w:lang w:val="uk-UA"/>
                        </w:rPr>
                        <w:t>, та підтримувати фінансову рівновагу</w:t>
                      </w:r>
                    </w:p>
                  </w:txbxContent>
                </v:textbox>
              </v:shape>
            </w:pict>
          </mc:Fallback>
        </mc:AlternateContent>
      </w:r>
    </w:p>
    <w:p w14:paraId="055921DD" w14:textId="4774DEB8" w:rsidR="005C064B" w:rsidRPr="00F00EB0" w:rsidRDefault="005C064B" w:rsidP="00564547">
      <w:pPr>
        <w:spacing w:after="0" w:line="360" w:lineRule="auto"/>
        <w:ind w:firstLine="709"/>
        <w:contextualSpacing/>
        <w:jc w:val="both"/>
        <w:rPr>
          <w:rFonts w:ascii="Times New Roman" w:hAnsi="Times New Roman" w:cs="Times New Roman"/>
          <w:color w:val="000000" w:themeColor="text1"/>
          <w:sz w:val="28"/>
          <w:szCs w:val="28"/>
          <w:lang w:val="uk-UA"/>
        </w:rPr>
      </w:pPr>
    </w:p>
    <w:p w14:paraId="56A32954" w14:textId="4088191A" w:rsidR="00D73270" w:rsidRPr="00F00EB0" w:rsidRDefault="00D64B86" w:rsidP="0056454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 </w:t>
      </w:r>
    </w:p>
    <w:p w14:paraId="3F4E5FF1" w14:textId="6CA33304" w:rsidR="006A75E5" w:rsidRPr="00F00EB0" w:rsidRDefault="005C064B" w:rsidP="001975B7">
      <w:pPr>
        <w:spacing w:after="0" w:line="360" w:lineRule="auto"/>
        <w:contextualSpacing/>
        <w:jc w:val="center"/>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Рисунок 1</w:t>
      </w:r>
      <w:r w:rsidR="003904F7" w:rsidRPr="00F00EB0">
        <w:rPr>
          <w:rFonts w:ascii="Times New Roman" w:hAnsi="Times New Roman" w:cs="Times New Roman"/>
          <w:color w:val="000000" w:themeColor="text1"/>
          <w:sz w:val="28"/>
          <w:szCs w:val="28"/>
          <w:lang w:val="uk-UA"/>
        </w:rPr>
        <w:t>.</w:t>
      </w:r>
      <w:r w:rsidR="00006620" w:rsidRPr="00F00EB0">
        <w:rPr>
          <w:rFonts w:ascii="Times New Roman" w:hAnsi="Times New Roman" w:cs="Times New Roman"/>
          <w:color w:val="000000" w:themeColor="text1"/>
          <w:sz w:val="28"/>
          <w:szCs w:val="28"/>
          <w:lang w:val="uk-UA"/>
        </w:rPr>
        <w:t>2</w:t>
      </w:r>
      <w:r w:rsidRPr="00F00EB0">
        <w:rPr>
          <w:rFonts w:ascii="Times New Roman" w:hAnsi="Times New Roman" w:cs="Times New Roman"/>
          <w:color w:val="000000" w:themeColor="text1"/>
          <w:sz w:val="28"/>
          <w:szCs w:val="28"/>
          <w:lang w:val="uk-UA"/>
        </w:rPr>
        <w:t xml:space="preserve"> – </w:t>
      </w:r>
      <w:r w:rsidR="0085306B" w:rsidRPr="00F00EB0">
        <w:rPr>
          <w:rFonts w:ascii="Times New Roman" w:hAnsi="Times New Roman" w:cs="Times New Roman"/>
          <w:color w:val="000000" w:themeColor="text1"/>
          <w:sz w:val="28"/>
          <w:szCs w:val="28"/>
          <w:lang w:val="uk-UA"/>
        </w:rPr>
        <w:t>Зв’язки поняття</w:t>
      </w:r>
      <w:r w:rsidRPr="00F00EB0">
        <w:rPr>
          <w:rFonts w:ascii="Times New Roman" w:hAnsi="Times New Roman" w:cs="Times New Roman"/>
          <w:color w:val="000000" w:themeColor="text1"/>
          <w:sz w:val="28"/>
          <w:szCs w:val="28"/>
          <w:lang w:val="uk-UA"/>
        </w:rPr>
        <w:t xml:space="preserve"> </w:t>
      </w:r>
      <w:r w:rsidR="0085306B" w:rsidRPr="00F00EB0">
        <w:rPr>
          <w:rFonts w:ascii="Times New Roman" w:hAnsi="Times New Roman" w:cs="Times New Roman"/>
          <w:color w:val="000000" w:themeColor="text1"/>
          <w:sz w:val="28"/>
          <w:szCs w:val="28"/>
          <w:lang w:val="uk-UA"/>
        </w:rPr>
        <w:t xml:space="preserve">«ФСБ» </w:t>
      </w:r>
      <w:r w:rsidRPr="00F00EB0">
        <w:rPr>
          <w:rFonts w:ascii="Times New Roman" w:hAnsi="Times New Roman" w:cs="Times New Roman"/>
          <w:color w:val="000000" w:themeColor="text1"/>
          <w:sz w:val="28"/>
          <w:szCs w:val="28"/>
          <w:lang w:val="uk-UA"/>
        </w:rPr>
        <w:t xml:space="preserve">з </w:t>
      </w:r>
      <w:r w:rsidR="0085306B" w:rsidRPr="00F00EB0">
        <w:rPr>
          <w:rFonts w:ascii="Times New Roman" w:hAnsi="Times New Roman" w:cs="Times New Roman"/>
          <w:color w:val="000000" w:themeColor="text1"/>
          <w:sz w:val="28"/>
          <w:szCs w:val="28"/>
          <w:lang w:val="uk-UA"/>
        </w:rPr>
        <w:t>поняттями</w:t>
      </w:r>
      <w:r w:rsidRPr="00F00EB0">
        <w:rPr>
          <w:rFonts w:ascii="Times New Roman" w:hAnsi="Times New Roman" w:cs="Times New Roman"/>
          <w:color w:val="000000" w:themeColor="text1"/>
          <w:sz w:val="28"/>
          <w:szCs w:val="28"/>
          <w:lang w:val="uk-UA"/>
        </w:rPr>
        <w:t xml:space="preserve"> «стійкість банківської системи», «фінансова стійкість» та «банківська стійкість»</w:t>
      </w:r>
      <w:r w:rsidR="00AF483C" w:rsidRPr="00F00EB0">
        <w:rPr>
          <w:rFonts w:ascii="Times New Roman" w:hAnsi="Times New Roman" w:cs="Times New Roman"/>
          <w:color w:val="000000" w:themeColor="text1"/>
          <w:sz w:val="28"/>
          <w:szCs w:val="28"/>
          <w:lang w:val="uk-UA"/>
        </w:rPr>
        <w:t xml:space="preserve"> [</w:t>
      </w:r>
      <w:r w:rsidR="00CA02B1" w:rsidRPr="00F00EB0">
        <w:rPr>
          <w:rFonts w:ascii="Times New Roman" w:hAnsi="Times New Roman" w:cs="Times New Roman"/>
          <w:color w:val="000000" w:themeColor="text1"/>
          <w:sz w:val="28"/>
          <w:szCs w:val="28"/>
          <w:lang w:val="uk-UA"/>
        </w:rPr>
        <w:t xml:space="preserve">3, 4, 11, 12, </w:t>
      </w:r>
      <w:r w:rsidR="00B80BB2" w:rsidRPr="00F00EB0">
        <w:rPr>
          <w:rFonts w:ascii="Times New Roman" w:hAnsi="Times New Roman" w:cs="Times New Roman"/>
          <w:color w:val="000000" w:themeColor="text1"/>
          <w:sz w:val="28"/>
          <w:szCs w:val="28"/>
          <w:lang w:val="uk-UA"/>
        </w:rPr>
        <w:t>52, 66</w:t>
      </w:r>
      <w:r w:rsidR="00AF483C" w:rsidRPr="00F00EB0">
        <w:rPr>
          <w:rFonts w:ascii="Times New Roman" w:hAnsi="Times New Roman" w:cs="Times New Roman"/>
          <w:color w:val="000000" w:themeColor="text1"/>
          <w:sz w:val="28"/>
          <w:szCs w:val="28"/>
          <w:lang w:val="uk-UA"/>
        </w:rPr>
        <w:t>]</w:t>
      </w:r>
    </w:p>
    <w:bookmarkEnd w:id="8"/>
    <w:p w14:paraId="7E39B229" w14:textId="77777777" w:rsidR="00DD5D07" w:rsidRPr="00F00EB0" w:rsidRDefault="00DD5D07" w:rsidP="00125B7B">
      <w:pPr>
        <w:spacing w:after="0" w:line="360" w:lineRule="auto"/>
        <w:ind w:firstLine="709"/>
        <w:contextualSpacing/>
        <w:jc w:val="both"/>
        <w:rPr>
          <w:rFonts w:ascii="Times New Roman" w:hAnsi="Times New Roman" w:cs="Times New Roman"/>
          <w:color w:val="000000" w:themeColor="text1"/>
          <w:sz w:val="28"/>
          <w:szCs w:val="28"/>
          <w:lang w:val="uk-UA"/>
        </w:rPr>
      </w:pPr>
    </w:p>
    <w:p w14:paraId="3B80A767" w14:textId="53D69DBF" w:rsidR="002C4DCE" w:rsidRPr="00F00EB0" w:rsidRDefault="002C4DCE" w:rsidP="002C4DCE">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Насамперед слід наголосити на тому, що поняття «стійкість» як комплексне та багатокомпонентне, та «фінансова стійкість» як його ключовий компонент можуть відноситись до будь-якого економічного агента. Базуючись на цьому, у контексті дослідження слід розглядати ці поняття на мікро- та макрорівні банківської системи.</w:t>
      </w:r>
    </w:p>
    <w:p w14:paraId="748F8D7D" w14:textId="6B6E7B68" w:rsidR="002C4DCE" w:rsidRPr="00F00EB0" w:rsidRDefault="002C4DCE" w:rsidP="002C4DCE">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Відповідно до цього, «стійкість банківської системи» та «фінансова стійкість банківської системи» належать до всієї сукупності банків у країні як єдиного цілого. Вони оцінюються та прогнозуються на рівні системи, зокрема на основі </w:t>
      </w:r>
      <w:r w:rsidRPr="00F00EB0">
        <w:rPr>
          <w:rFonts w:ascii="Times New Roman" w:hAnsi="Times New Roman" w:cs="Times New Roman"/>
          <w:color w:val="000000" w:themeColor="text1"/>
          <w:sz w:val="28"/>
          <w:szCs w:val="28"/>
          <w:lang w:val="uk-UA"/>
        </w:rPr>
        <w:lastRenderedPageBreak/>
        <w:t>сукупності показників та регуляторних механізмів з урахуванням системних ризиків.</w:t>
      </w:r>
    </w:p>
    <w:p w14:paraId="5D9B0406" w14:textId="08812884" w:rsidR="002C4DCE" w:rsidRPr="00F00EB0" w:rsidRDefault="002C4DCE" w:rsidP="002C4DCE">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Стійка банківська система здатна ефективно розподіляти ресурси, оцінювати ризики та управляти ними, підтримувати рівні зайнятості, близькі до природного рівня економіки, та усувати зміни цін на реальні чи фінансові активи, що впливатимуть на монетарну стабільність або рівень зайнятості.</w:t>
      </w:r>
    </w:p>
    <w:p w14:paraId="5AF78008" w14:textId="77777777" w:rsidR="004D60A5" w:rsidRPr="00F00EB0" w:rsidRDefault="002C4DCE" w:rsidP="002C4DCE">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Банківська система є фінансово стійкою, коли вона усуває фінансові дисбаланси, що виникають ендогенно або в результаті значних несприятливих та непередбачених подій переважно за допомогою механізмів самокоригування, запобігаючи руйнівному впливу на реальну економіку чи інші фінансові системи. </w:t>
      </w:r>
    </w:p>
    <w:p w14:paraId="67478933" w14:textId="1925D20A" w:rsidR="002C4DCE" w:rsidRPr="00F00EB0" w:rsidRDefault="002C4DCE" w:rsidP="002C4DCE">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Стійка банківська система України має як ключове значення для економічного зростання, оскільки більшість операцій у реальній економіці здійснюються через неї, так і для забезпечення стійкості банків, як елементів, що входять до її складу.</w:t>
      </w:r>
    </w:p>
    <w:p w14:paraId="1F10EAF7" w14:textId="26C37427" w:rsidR="002C4DCE" w:rsidRPr="00F00EB0" w:rsidRDefault="002C4DCE" w:rsidP="002C4DCE">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Поняття «банківська стійкість» та «ФСБ» спрямовані на індивідуальний елемент банківської системи – рівень окремого банку. Вони характеризують такий його стан, що передбачає забезпечення цілісності та здатності виконувати функції у процесі адаптації до зовнішнього середовища при стабільному зростанні фінансових показників, незалежно від впливу кризових факторів.</w:t>
      </w:r>
    </w:p>
    <w:p w14:paraId="4E0EC8EC" w14:textId="1849CA33" w:rsidR="009C6463" w:rsidRPr="00F00EB0" w:rsidRDefault="002C4DCE" w:rsidP="002C4DCE">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У результаті розгляду точок зору різних авторів, систематизованих у додатку А, ми схематично зобразили підходи до розуміння поняття «ФСБ»</w:t>
      </w:r>
      <w:r w:rsidR="001D41C5" w:rsidRPr="00F00EB0">
        <w:rPr>
          <w:rFonts w:ascii="Times New Roman" w:hAnsi="Times New Roman" w:cs="Times New Roman"/>
          <w:color w:val="000000" w:themeColor="text1"/>
          <w:sz w:val="28"/>
          <w:szCs w:val="28"/>
          <w:lang w:val="uk-UA"/>
        </w:rPr>
        <w:t xml:space="preserve"> </w:t>
      </w:r>
      <w:r w:rsidRPr="00F00EB0">
        <w:rPr>
          <w:rFonts w:ascii="Times New Roman" w:hAnsi="Times New Roman" w:cs="Times New Roman"/>
          <w:color w:val="000000" w:themeColor="text1"/>
          <w:sz w:val="28"/>
          <w:szCs w:val="28"/>
          <w:lang w:val="uk-UA"/>
        </w:rPr>
        <w:t>(рис. 1.</w:t>
      </w:r>
      <w:r w:rsidR="00006620" w:rsidRPr="00F00EB0">
        <w:rPr>
          <w:rFonts w:ascii="Times New Roman" w:hAnsi="Times New Roman" w:cs="Times New Roman"/>
          <w:color w:val="000000" w:themeColor="text1"/>
          <w:sz w:val="28"/>
          <w:szCs w:val="28"/>
          <w:lang w:val="uk-UA"/>
        </w:rPr>
        <w:t>3</w:t>
      </w:r>
      <w:r w:rsidRPr="00F00EB0">
        <w:rPr>
          <w:rFonts w:ascii="Times New Roman" w:hAnsi="Times New Roman" w:cs="Times New Roman"/>
          <w:color w:val="000000" w:themeColor="text1"/>
          <w:sz w:val="28"/>
          <w:szCs w:val="28"/>
          <w:lang w:val="uk-UA"/>
        </w:rPr>
        <w:t>)</w:t>
      </w:r>
      <w:r w:rsidR="009C6463" w:rsidRPr="00F00EB0">
        <w:rPr>
          <w:rFonts w:ascii="Times New Roman" w:hAnsi="Times New Roman" w:cs="Times New Roman"/>
          <w:color w:val="000000" w:themeColor="text1"/>
          <w:sz w:val="28"/>
          <w:szCs w:val="28"/>
          <w:lang w:val="uk-UA"/>
        </w:rPr>
        <w:t>.</w:t>
      </w:r>
    </w:p>
    <w:p w14:paraId="6A59FC02" w14:textId="757F239E" w:rsidR="004D60A5" w:rsidRPr="00F00EB0" w:rsidRDefault="009835FC" w:rsidP="009835F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Отже, розглянувши підходи до визначення поняття «ФСБ» пропонуємо розглядати </w:t>
      </w:r>
      <w:r w:rsidR="007B083B" w:rsidRPr="00F00EB0">
        <w:rPr>
          <w:rFonts w:ascii="Times New Roman" w:hAnsi="Times New Roman" w:cs="Times New Roman"/>
          <w:color w:val="000000" w:themeColor="text1"/>
          <w:sz w:val="28"/>
          <w:szCs w:val="28"/>
          <w:lang w:val="uk-UA"/>
        </w:rPr>
        <w:t>його</w:t>
      </w:r>
      <w:r w:rsidRPr="00F00EB0">
        <w:rPr>
          <w:rFonts w:ascii="Times New Roman" w:hAnsi="Times New Roman" w:cs="Times New Roman"/>
          <w:color w:val="000000" w:themeColor="text1"/>
          <w:sz w:val="28"/>
          <w:szCs w:val="28"/>
          <w:lang w:val="uk-UA"/>
        </w:rPr>
        <w:t xml:space="preserve"> за якісним (здатність протистояти потрясінням та усуненню фінансових дисбалансів, що виникають ендогенно або в результаті значних несприятливих і непередбачених подій, та підтримувати фінансову рівновагу) та кількісним (структурне поняття, що характеризується системою показників, які свідчать про ефективне використання наявних ресурсів та виконання покладених на нього функцій, при цьому ці показники мають  як відповідати регуляторним нормам, так і таргетам, визначеним стратегією та бізнес-моделлю) підходом.</w:t>
      </w:r>
    </w:p>
    <w:p w14:paraId="283EF647" w14:textId="77777777" w:rsidR="009C6463" w:rsidRPr="00F00EB0" w:rsidRDefault="009C6463" w:rsidP="009C6463">
      <w:pPr>
        <w:spacing w:after="0" w:line="360" w:lineRule="auto"/>
        <w:ind w:firstLine="709"/>
        <w:jc w:val="both"/>
        <w:rPr>
          <w:rFonts w:ascii="Times New Roman" w:hAnsi="Times New Roman" w:cs="Times New Roman"/>
          <w:color w:val="000000" w:themeColor="text1"/>
          <w:sz w:val="28"/>
          <w:lang w:val="uk-UA"/>
        </w:rPr>
        <w:sectPr w:rsidR="009C6463" w:rsidRPr="00F00EB0" w:rsidSect="009835FC">
          <w:headerReference w:type="default" r:id="rId15"/>
          <w:pgSz w:w="11906" w:h="16838"/>
          <w:pgMar w:top="1134" w:right="567" w:bottom="1134" w:left="1418" w:header="709" w:footer="709" w:gutter="0"/>
          <w:pgNumType w:start="4"/>
          <w:cols w:space="708"/>
          <w:docGrid w:linePitch="360"/>
        </w:sectPr>
      </w:pPr>
    </w:p>
    <w:p w14:paraId="127AD4E4" w14:textId="558A0017" w:rsidR="009C6463" w:rsidRPr="00F00EB0" w:rsidRDefault="0044365F" w:rsidP="009C6463">
      <w:pPr>
        <w:spacing w:after="0" w:line="360" w:lineRule="auto"/>
        <w:ind w:firstLine="709"/>
        <w:jc w:val="both"/>
        <w:rPr>
          <w:rFonts w:ascii="Times New Roman" w:hAnsi="Times New Roman" w:cs="Times New Roman"/>
          <w:color w:val="000000" w:themeColor="text1"/>
          <w:sz w:val="28"/>
          <w:lang w:val="uk-UA"/>
        </w:rPr>
      </w:pPr>
      <w:r w:rsidRPr="00F00EB0">
        <w:rPr>
          <w:rFonts w:ascii="Times New Roman" w:hAnsi="Times New Roman" w:cs="Times New Roman"/>
          <w:noProof/>
          <w:color w:val="000000" w:themeColor="text1"/>
          <w:sz w:val="28"/>
          <w:lang w:eastAsia="ru-RU"/>
        </w:rPr>
        <w:lastRenderedPageBreak/>
        <mc:AlternateContent>
          <mc:Choice Requires="wpg">
            <w:drawing>
              <wp:anchor distT="0" distB="0" distL="114300" distR="114300" simplePos="0" relativeHeight="251672064" behindDoc="1" locked="0" layoutInCell="1" allowOverlap="1" wp14:anchorId="2A326526" wp14:editId="7A898D72">
                <wp:simplePos x="0" y="0"/>
                <wp:positionH relativeFrom="column">
                  <wp:posOffset>46627</wp:posOffset>
                </wp:positionH>
                <wp:positionV relativeFrom="paragraph">
                  <wp:posOffset>41910</wp:posOffset>
                </wp:positionV>
                <wp:extent cx="9182009" cy="3833767"/>
                <wp:effectExtent l="0" t="0" r="19685" b="14605"/>
                <wp:wrapNone/>
                <wp:docPr id="111563285" name="Группа 15"/>
                <wp:cNvGraphicFramePr/>
                <a:graphic xmlns:a="http://schemas.openxmlformats.org/drawingml/2006/main">
                  <a:graphicData uri="http://schemas.microsoft.com/office/word/2010/wordprocessingGroup">
                    <wpg:wgp>
                      <wpg:cNvGrpSpPr/>
                      <wpg:grpSpPr>
                        <a:xfrm>
                          <a:off x="0" y="0"/>
                          <a:ext cx="9182009" cy="3833767"/>
                          <a:chOff x="0" y="0"/>
                          <a:chExt cx="9182009" cy="3833767"/>
                        </a:xfrm>
                      </wpg:grpSpPr>
                      <wps:wsp>
                        <wps:cNvPr id="515466159" name="Text Box 605"/>
                        <wps:cNvSpPr txBox="1">
                          <a:spLocks noChangeArrowheads="1"/>
                        </wps:cNvSpPr>
                        <wps:spPr bwMode="auto">
                          <a:xfrm>
                            <a:off x="0" y="3296376"/>
                            <a:ext cx="1205230" cy="299085"/>
                          </a:xfrm>
                          <a:prstGeom prst="rect">
                            <a:avLst/>
                          </a:prstGeom>
                          <a:solidFill>
                            <a:srgbClr val="FFFFFF"/>
                          </a:solidFill>
                          <a:ln w="9525">
                            <a:solidFill>
                              <a:srgbClr val="000000"/>
                            </a:solidFill>
                            <a:miter lim="800000"/>
                            <a:headEnd/>
                            <a:tailEnd/>
                          </a:ln>
                        </wps:spPr>
                        <wps:txbx>
                          <w:txbxContent>
                            <w:p w14:paraId="7CBB18F2" w14:textId="77777777" w:rsidR="009C6463" w:rsidRPr="006F346E" w:rsidRDefault="009C6463" w:rsidP="009C6463">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Результат:</w:t>
                              </w:r>
                            </w:p>
                          </w:txbxContent>
                        </wps:txbx>
                        <wps:bodyPr rot="0" vert="horz" wrap="square" lIns="91440" tIns="45720" rIns="91440" bIns="45720" anchor="t" anchorCtr="0" upright="1">
                          <a:noAutofit/>
                        </wps:bodyPr>
                      </wps:wsp>
                      <wps:wsp>
                        <wps:cNvPr id="775353300" name="AutoShape 606"/>
                        <wps:cNvCnPr>
                          <a:cxnSpLocks noChangeShapeType="1"/>
                        </wps:cNvCnPr>
                        <wps:spPr bwMode="auto">
                          <a:xfrm>
                            <a:off x="1202509" y="3427911"/>
                            <a:ext cx="3149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520908" name="Text Box 617"/>
                        <wps:cNvSpPr txBox="1">
                          <a:spLocks noChangeArrowheads="1"/>
                        </wps:cNvSpPr>
                        <wps:spPr bwMode="auto">
                          <a:xfrm>
                            <a:off x="1938293" y="3140166"/>
                            <a:ext cx="2767330" cy="286385"/>
                          </a:xfrm>
                          <a:prstGeom prst="rect">
                            <a:avLst/>
                          </a:prstGeom>
                          <a:solidFill>
                            <a:srgbClr val="FFFFFF"/>
                          </a:solidFill>
                          <a:ln w="9525">
                            <a:solidFill>
                              <a:srgbClr val="000000"/>
                            </a:solidFill>
                            <a:miter lim="800000"/>
                            <a:headEnd/>
                            <a:tailEnd/>
                          </a:ln>
                        </wps:spPr>
                        <wps:txbx>
                          <w:txbxContent>
                            <w:p w14:paraId="2DB4D97C" w14:textId="77777777" w:rsidR="009C6463" w:rsidRPr="006F346E" w:rsidRDefault="009C6463" w:rsidP="009C6463">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Швидке подолання кризових ситуацій</w:t>
                              </w:r>
                            </w:p>
                          </w:txbxContent>
                        </wps:txbx>
                        <wps:bodyPr rot="0" vert="horz" wrap="square" lIns="91440" tIns="45720" rIns="91440" bIns="45720" anchor="t" anchorCtr="0" upright="1">
                          <a:noAutofit/>
                        </wps:bodyPr>
                      </wps:wsp>
                      <wps:wsp>
                        <wps:cNvPr id="1108715552" name="Text Box 618"/>
                        <wps:cNvSpPr txBox="1">
                          <a:spLocks noChangeArrowheads="1"/>
                        </wps:cNvSpPr>
                        <wps:spPr bwMode="auto">
                          <a:xfrm>
                            <a:off x="5203372" y="3140166"/>
                            <a:ext cx="3335020" cy="286385"/>
                          </a:xfrm>
                          <a:prstGeom prst="rect">
                            <a:avLst/>
                          </a:prstGeom>
                          <a:solidFill>
                            <a:srgbClr val="FFFFFF"/>
                          </a:solidFill>
                          <a:ln w="9525">
                            <a:solidFill>
                              <a:srgbClr val="000000"/>
                            </a:solidFill>
                            <a:miter lim="800000"/>
                            <a:headEnd/>
                            <a:tailEnd/>
                          </a:ln>
                        </wps:spPr>
                        <wps:txbx>
                          <w:txbxContent>
                            <w:p w14:paraId="267E742B" w14:textId="40B1DAED" w:rsidR="00BF5B0A" w:rsidRPr="00BF5B0A" w:rsidRDefault="00BF5B0A" w:rsidP="00BF5B0A">
                              <w:pPr>
                                <w:spacing w:after="0" w:line="240" w:lineRule="auto"/>
                                <w:jc w:val="center"/>
                                <w:rPr>
                                  <w:rFonts w:ascii="Times New Roman" w:hAnsi="Times New Roman" w:cs="Times New Roman"/>
                                  <w:sz w:val="24"/>
                                  <w:lang w:val="uk-UA"/>
                                </w:rPr>
                              </w:pPr>
                              <w:r w:rsidRPr="00BF5B0A">
                                <w:rPr>
                                  <w:rFonts w:ascii="Times New Roman" w:hAnsi="Times New Roman" w:cs="Times New Roman"/>
                                  <w:sz w:val="24"/>
                                  <w:lang w:val="uk-UA"/>
                                </w:rPr>
                                <w:t xml:space="preserve">Конкурентоспроможність </w:t>
                              </w:r>
                            </w:p>
                          </w:txbxContent>
                        </wps:txbx>
                        <wps:bodyPr rot="0" vert="horz" wrap="square" lIns="91440" tIns="45720" rIns="91440" bIns="45720" anchor="t" anchorCtr="0" upright="1">
                          <a:noAutofit/>
                        </wps:bodyPr>
                      </wps:wsp>
                      <wps:wsp>
                        <wps:cNvPr id="1171305558" name="Text Box 619"/>
                        <wps:cNvSpPr txBox="1">
                          <a:spLocks noChangeArrowheads="1"/>
                        </wps:cNvSpPr>
                        <wps:spPr bwMode="auto">
                          <a:xfrm>
                            <a:off x="1938293" y="3478258"/>
                            <a:ext cx="2767330" cy="291465"/>
                          </a:xfrm>
                          <a:prstGeom prst="rect">
                            <a:avLst/>
                          </a:prstGeom>
                          <a:solidFill>
                            <a:srgbClr val="FFFFFF"/>
                          </a:solidFill>
                          <a:ln w="9525">
                            <a:solidFill>
                              <a:srgbClr val="000000"/>
                            </a:solidFill>
                            <a:miter lim="800000"/>
                            <a:headEnd/>
                            <a:tailEnd/>
                          </a:ln>
                        </wps:spPr>
                        <wps:txbx>
                          <w:txbxContent>
                            <w:p w14:paraId="1A14A37F" w14:textId="77777777" w:rsidR="00BF5B0A" w:rsidRPr="006F346E" w:rsidRDefault="00BF5B0A" w:rsidP="00BF5B0A">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 xml:space="preserve"> Життєздатність </w:t>
                              </w:r>
                            </w:p>
                            <w:p w14:paraId="153A06BA" w14:textId="24D0FC35" w:rsidR="009C6463" w:rsidRPr="006F346E" w:rsidRDefault="009C6463" w:rsidP="009C6463">
                              <w:pPr>
                                <w:spacing w:after="0" w:line="240" w:lineRule="auto"/>
                                <w:jc w:val="center"/>
                                <w:rPr>
                                  <w:rFonts w:ascii="Times New Roman" w:hAnsi="Times New Roman" w:cs="Times New Roman"/>
                                  <w:sz w:val="24"/>
                                  <w:lang w:val="uk-UA"/>
                                </w:rPr>
                              </w:pPr>
                            </w:p>
                          </w:txbxContent>
                        </wps:txbx>
                        <wps:bodyPr rot="0" vert="horz" wrap="square" lIns="91440" tIns="45720" rIns="91440" bIns="45720" anchor="t" anchorCtr="0" upright="1">
                          <a:noAutofit/>
                        </wps:bodyPr>
                      </wps:wsp>
                      <wps:wsp>
                        <wps:cNvPr id="1842525662" name="Text Box 620"/>
                        <wps:cNvSpPr txBox="1">
                          <a:spLocks noChangeArrowheads="1"/>
                        </wps:cNvSpPr>
                        <wps:spPr bwMode="auto">
                          <a:xfrm>
                            <a:off x="5203372" y="3478258"/>
                            <a:ext cx="3335020" cy="291465"/>
                          </a:xfrm>
                          <a:prstGeom prst="rect">
                            <a:avLst/>
                          </a:prstGeom>
                          <a:solidFill>
                            <a:srgbClr val="FFFFFF"/>
                          </a:solidFill>
                          <a:ln w="9525">
                            <a:solidFill>
                              <a:srgbClr val="000000"/>
                            </a:solidFill>
                            <a:miter lim="800000"/>
                            <a:headEnd/>
                            <a:tailEnd/>
                          </a:ln>
                        </wps:spPr>
                        <wps:txbx>
                          <w:txbxContent>
                            <w:p w14:paraId="793BDF4C" w14:textId="77777777" w:rsidR="009C6463" w:rsidRPr="006F346E" w:rsidRDefault="009C6463" w:rsidP="009C6463">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Ефективне виконання функцій</w:t>
                              </w:r>
                            </w:p>
                          </w:txbxContent>
                        </wps:txbx>
                        <wps:bodyPr rot="0" vert="horz" wrap="square" lIns="91440" tIns="45720" rIns="91440" bIns="45720" anchor="t" anchorCtr="0" upright="1">
                          <a:noAutofit/>
                        </wps:bodyPr>
                      </wps:wsp>
                      <wps:wsp>
                        <wps:cNvPr id="1651778480" name="Rectangle 621"/>
                        <wps:cNvSpPr>
                          <a:spLocks noChangeArrowheads="1"/>
                        </wps:cNvSpPr>
                        <wps:spPr bwMode="auto">
                          <a:xfrm>
                            <a:off x="1518830" y="3091452"/>
                            <a:ext cx="7252970" cy="74231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910373298" name="Группа 14"/>
                        <wpg:cNvGrpSpPr/>
                        <wpg:grpSpPr>
                          <a:xfrm>
                            <a:off x="3901" y="0"/>
                            <a:ext cx="9178108" cy="2894693"/>
                            <a:chOff x="0" y="0"/>
                            <a:chExt cx="9178108" cy="2894693"/>
                          </a:xfrm>
                        </wpg:grpSpPr>
                        <wps:wsp>
                          <wps:cNvPr id="345420402" name="Text Box 584"/>
                          <wps:cNvSpPr txBox="1">
                            <a:spLocks noChangeArrowheads="1"/>
                          </wps:cNvSpPr>
                          <wps:spPr bwMode="auto">
                            <a:xfrm>
                              <a:off x="28757" y="703671"/>
                              <a:ext cx="4814570" cy="275590"/>
                            </a:xfrm>
                            <a:prstGeom prst="rect">
                              <a:avLst/>
                            </a:prstGeom>
                            <a:solidFill>
                              <a:srgbClr val="FFFFFF"/>
                            </a:solidFill>
                            <a:ln w="9525">
                              <a:solidFill>
                                <a:srgbClr val="000000"/>
                              </a:solidFill>
                              <a:miter lim="800000"/>
                              <a:headEnd/>
                              <a:tailEnd/>
                            </a:ln>
                          </wps:spPr>
                          <wps:txbx>
                            <w:txbxContent>
                              <w:p w14:paraId="12348735" w14:textId="77777777" w:rsidR="009C6463" w:rsidRPr="0074000E" w:rsidRDefault="009C6463" w:rsidP="009C6463">
                                <w:pPr>
                                  <w:spacing w:after="0" w:line="240" w:lineRule="auto"/>
                                  <w:jc w:val="center"/>
                                  <w:rPr>
                                    <w:rFonts w:ascii="Times New Roman" w:hAnsi="Times New Roman" w:cs="Times New Roman"/>
                                    <w:sz w:val="24"/>
                                  </w:rPr>
                                </w:pPr>
                                <w:r w:rsidRPr="0074000E">
                                  <w:rPr>
                                    <w:rFonts w:ascii="Times New Roman" w:hAnsi="Times New Roman" w:cs="Times New Roman"/>
                                    <w:sz w:val="24"/>
                                    <w:lang w:val="uk-UA"/>
                                  </w:rPr>
                                  <w:t>Якісний підхід</w:t>
                                </w:r>
                              </w:p>
                            </w:txbxContent>
                          </wps:txbx>
                          <wps:bodyPr rot="0" vert="horz" wrap="square" lIns="91440" tIns="45720" rIns="91440" bIns="45720" anchor="t" anchorCtr="0" upright="1">
                            <a:noAutofit/>
                          </wps:bodyPr>
                        </wps:wsp>
                        <wps:wsp>
                          <wps:cNvPr id="323809233" name="AutoShape 586"/>
                          <wps:cNvCnPr>
                            <a:cxnSpLocks noChangeShapeType="1"/>
                          </wps:cNvCnPr>
                          <wps:spPr bwMode="auto">
                            <a:xfrm>
                              <a:off x="2303871" y="975179"/>
                              <a:ext cx="0" cy="984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0899462" name="Text Box 591"/>
                          <wps:cNvSpPr txBox="1">
                            <a:spLocks noChangeArrowheads="1"/>
                          </wps:cNvSpPr>
                          <wps:spPr bwMode="auto">
                            <a:xfrm>
                              <a:off x="28757" y="1250496"/>
                              <a:ext cx="2104390" cy="266700"/>
                            </a:xfrm>
                            <a:prstGeom prst="rect">
                              <a:avLst/>
                            </a:prstGeom>
                            <a:solidFill>
                              <a:srgbClr val="FFFFFF"/>
                            </a:solidFill>
                            <a:ln w="9525">
                              <a:solidFill>
                                <a:srgbClr val="000000"/>
                              </a:solidFill>
                              <a:miter lim="800000"/>
                              <a:headEnd/>
                              <a:tailEnd/>
                            </a:ln>
                          </wps:spPr>
                          <wps:txbx>
                            <w:txbxContent>
                              <w:p w14:paraId="198B36F3" w14:textId="77777777" w:rsidR="009C6463" w:rsidRPr="00CD0AFB" w:rsidRDefault="009C6463" w:rsidP="009C6463">
                                <w:pPr>
                                  <w:spacing w:after="0" w:line="240" w:lineRule="auto"/>
                                  <w:jc w:val="center"/>
                                  <w:rPr>
                                    <w:rFonts w:ascii="Times New Roman" w:hAnsi="Times New Roman" w:cs="Times New Roman"/>
                                    <w:sz w:val="24"/>
                                  </w:rPr>
                                </w:pPr>
                                <w:r>
                                  <w:rPr>
                                    <w:rFonts w:ascii="Times New Roman" w:hAnsi="Times New Roman" w:cs="Times New Roman"/>
                                    <w:sz w:val="24"/>
                                    <w:lang w:val="uk-UA"/>
                                  </w:rPr>
                                  <w:t>Здатність</w:t>
                                </w:r>
                              </w:p>
                            </w:txbxContent>
                          </wps:txbx>
                          <wps:bodyPr rot="0" vert="horz" wrap="square" lIns="91440" tIns="45720" rIns="91440" bIns="45720" anchor="t" anchorCtr="0" upright="1">
                            <a:noAutofit/>
                          </wps:bodyPr>
                        </wps:wsp>
                        <wps:wsp>
                          <wps:cNvPr id="415843188" name="Text Box 592"/>
                          <wps:cNvSpPr txBox="1">
                            <a:spLocks noChangeArrowheads="1"/>
                          </wps:cNvSpPr>
                          <wps:spPr bwMode="auto">
                            <a:xfrm>
                              <a:off x="0" y="2412093"/>
                              <a:ext cx="2104390" cy="482600"/>
                            </a:xfrm>
                            <a:prstGeom prst="rect">
                              <a:avLst/>
                            </a:prstGeom>
                            <a:solidFill>
                              <a:srgbClr val="FFFFFF"/>
                            </a:solidFill>
                            <a:ln w="9525">
                              <a:solidFill>
                                <a:srgbClr val="000000"/>
                              </a:solidFill>
                              <a:miter lim="800000"/>
                              <a:headEnd/>
                              <a:tailEnd/>
                            </a:ln>
                          </wps:spPr>
                          <wps:txbx>
                            <w:txbxContent>
                              <w:p w14:paraId="67A853B2" w14:textId="789442C7" w:rsidR="009C6463" w:rsidRPr="006F346E" w:rsidRDefault="009C6463" w:rsidP="009C6463">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Максимальна ефективність та оптимальний</w:t>
                                </w:r>
                                <w:r w:rsidRPr="00271163">
                                  <w:rPr>
                                    <w:rFonts w:ascii="Times New Roman" w:hAnsi="Times New Roman" w:cs="Times New Roman"/>
                                    <w:sz w:val="24"/>
                                  </w:rPr>
                                  <w:t xml:space="preserve"> </w:t>
                                </w:r>
                                <w:r>
                                  <w:rPr>
                                    <w:rFonts w:ascii="Times New Roman" w:hAnsi="Times New Roman" w:cs="Times New Roman"/>
                                    <w:sz w:val="24"/>
                                    <w:lang w:val="uk-UA"/>
                                  </w:rPr>
                                  <w:t>ризик</w:t>
                                </w:r>
                              </w:p>
                            </w:txbxContent>
                          </wps:txbx>
                          <wps:bodyPr rot="0" vert="horz" wrap="square" lIns="91440" tIns="45720" rIns="91440" bIns="45720" anchor="t" anchorCtr="0" upright="1">
                            <a:noAutofit/>
                          </wps:bodyPr>
                        </wps:wsp>
                        <wps:wsp>
                          <wps:cNvPr id="361429629" name="Text Box 593"/>
                          <wps:cNvSpPr txBox="1">
                            <a:spLocks noChangeArrowheads="1"/>
                          </wps:cNvSpPr>
                          <wps:spPr bwMode="auto">
                            <a:xfrm>
                              <a:off x="0" y="1717947"/>
                              <a:ext cx="2104390" cy="461010"/>
                            </a:xfrm>
                            <a:prstGeom prst="rect">
                              <a:avLst/>
                            </a:prstGeom>
                            <a:solidFill>
                              <a:srgbClr val="FFFFFF"/>
                            </a:solidFill>
                            <a:ln w="9525">
                              <a:solidFill>
                                <a:srgbClr val="000000"/>
                              </a:solidFill>
                              <a:miter lim="800000"/>
                              <a:headEnd/>
                              <a:tailEnd/>
                            </a:ln>
                          </wps:spPr>
                          <wps:txbx>
                            <w:txbxContent>
                              <w:p w14:paraId="6CAA75B4" w14:textId="77777777" w:rsidR="009C6463" w:rsidRPr="007A3794" w:rsidRDefault="009C6463" w:rsidP="009C6463">
                                <w:pPr>
                                  <w:spacing w:after="0" w:line="240" w:lineRule="auto"/>
                                  <w:jc w:val="center"/>
                                  <w:rPr>
                                    <w:rFonts w:ascii="Times New Roman" w:hAnsi="Times New Roman" w:cs="Times New Roman"/>
                                    <w:sz w:val="24"/>
                                    <w:lang w:val="uk-UA"/>
                                  </w:rPr>
                                </w:pPr>
                                <w:r w:rsidRPr="007A3794">
                                  <w:rPr>
                                    <w:rFonts w:ascii="Times New Roman" w:hAnsi="Times New Roman" w:cs="Times New Roman"/>
                                    <w:sz w:val="24"/>
                                    <w:lang w:val="uk-UA"/>
                                  </w:rPr>
                                  <w:t>Ефективність управління ресурсами</w:t>
                                </w:r>
                              </w:p>
                            </w:txbxContent>
                          </wps:txbx>
                          <wps:bodyPr rot="0" vert="horz" wrap="square" lIns="91440" tIns="45720" rIns="91440" bIns="45720" anchor="t" anchorCtr="0" upright="1">
                            <a:noAutofit/>
                          </wps:bodyPr>
                        </wps:wsp>
                        <wps:wsp>
                          <wps:cNvPr id="2106792926" name="Text Box 594"/>
                          <wps:cNvSpPr txBox="1">
                            <a:spLocks noChangeArrowheads="1"/>
                          </wps:cNvSpPr>
                          <wps:spPr bwMode="auto">
                            <a:xfrm>
                              <a:off x="2795724" y="1591764"/>
                              <a:ext cx="2131695" cy="474345"/>
                            </a:xfrm>
                            <a:prstGeom prst="rect">
                              <a:avLst/>
                            </a:prstGeom>
                            <a:solidFill>
                              <a:srgbClr val="FFFFFF"/>
                            </a:solidFill>
                            <a:ln w="9525">
                              <a:solidFill>
                                <a:srgbClr val="000000"/>
                              </a:solidFill>
                              <a:miter lim="800000"/>
                              <a:headEnd/>
                              <a:tailEnd/>
                            </a:ln>
                          </wps:spPr>
                          <wps:txbx>
                            <w:txbxContent>
                              <w:p w14:paraId="5BD3369A" w14:textId="378ED922" w:rsidR="009C6463" w:rsidRPr="00CD0AFB" w:rsidRDefault="00BF5B0A" w:rsidP="009C6463">
                                <w:pPr>
                                  <w:spacing w:after="0" w:line="240" w:lineRule="auto"/>
                                  <w:jc w:val="center"/>
                                  <w:rPr>
                                    <w:rFonts w:ascii="Times New Roman" w:hAnsi="Times New Roman" w:cs="Times New Roman"/>
                                    <w:sz w:val="24"/>
                                  </w:rPr>
                                </w:pPr>
                                <w:r>
                                  <w:rPr>
                                    <w:rFonts w:ascii="Times New Roman" w:hAnsi="Times New Roman" w:cs="Times New Roman"/>
                                    <w:sz w:val="24"/>
                                    <w:lang w:val="uk-UA"/>
                                  </w:rPr>
                                  <w:t>Внутрішня фінансова рівновага</w:t>
                                </w:r>
                              </w:p>
                            </w:txbxContent>
                          </wps:txbx>
                          <wps:bodyPr rot="0" vert="horz" wrap="square" lIns="91440" tIns="45720" rIns="91440" bIns="45720" anchor="t" anchorCtr="0" upright="1">
                            <a:noAutofit/>
                          </wps:bodyPr>
                        </wps:wsp>
                        <wps:wsp>
                          <wps:cNvPr id="1038279478" name="AutoShape 595"/>
                          <wps:cNvCnPr>
                            <a:cxnSpLocks noChangeShapeType="1"/>
                          </wps:cNvCnPr>
                          <wps:spPr bwMode="auto">
                            <a:xfrm flipH="1">
                              <a:off x="873670" y="1511754"/>
                              <a:ext cx="5715" cy="2089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49649999" name="AutoShape 596"/>
                          <wps:cNvCnPr>
                            <a:cxnSpLocks noChangeShapeType="1"/>
                          </wps:cNvCnPr>
                          <wps:spPr bwMode="auto">
                            <a:xfrm>
                              <a:off x="873035" y="2178957"/>
                              <a:ext cx="0" cy="2108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8083447" name="AutoShape 597"/>
                          <wps:cNvCnPr>
                            <a:cxnSpLocks noChangeShapeType="1"/>
                          </wps:cNvCnPr>
                          <wps:spPr bwMode="auto">
                            <a:xfrm>
                              <a:off x="2563858" y="1358719"/>
                              <a:ext cx="0" cy="12306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42343933" name="Text Box 598"/>
                          <wps:cNvSpPr txBox="1">
                            <a:spLocks noChangeArrowheads="1"/>
                          </wps:cNvSpPr>
                          <wps:spPr bwMode="auto">
                            <a:xfrm>
                              <a:off x="2452461" y="1247956"/>
                              <a:ext cx="2479040" cy="269240"/>
                            </a:xfrm>
                            <a:prstGeom prst="rect">
                              <a:avLst/>
                            </a:prstGeom>
                            <a:solidFill>
                              <a:srgbClr val="FFFFFF"/>
                            </a:solidFill>
                            <a:ln w="9525">
                              <a:solidFill>
                                <a:srgbClr val="000000"/>
                              </a:solidFill>
                              <a:miter lim="800000"/>
                              <a:headEnd/>
                              <a:tailEnd/>
                            </a:ln>
                          </wps:spPr>
                          <wps:txbx>
                            <w:txbxContent>
                              <w:p w14:paraId="22EA9836" w14:textId="77777777" w:rsidR="009C6463" w:rsidRPr="00CD0AFB" w:rsidRDefault="009C6463" w:rsidP="009C6463">
                                <w:pPr>
                                  <w:jc w:val="center"/>
                                  <w:rPr>
                                    <w:rFonts w:ascii="Times New Roman" w:hAnsi="Times New Roman" w:cs="Times New Roman"/>
                                    <w:sz w:val="24"/>
                                  </w:rPr>
                                </w:pPr>
                                <w:r>
                                  <w:rPr>
                                    <w:rFonts w:ascii="Times New Roman" w:hAnsi="Times New Roman" w:cs="Times New Roman"/>
                                    <w:sz w:val="24"/>
                                    <w:lang w:val="uk-UA"/>
                                  </w:rPr>
                                  <w:t>Стан</w:t>
                                </w:r>
                              </w:p>
                            </w:txbxContent>
                          </wps:txbx>
                          <wps:bodyPr rot="0" vert="horz" wrap="square" lIns="91440" tIns="45720" rIns="91440" bIns="45720" anchor="t" anchorCtr="0" upright="1">
                            <a:noAutofit/>
                          </wps:bodyPr>
                        </wps:wsp>
                        <wps:wsp>
                          <wps:cNvPr id="662589633" name="Text Box 599"/>
                          <wps:cNvSpPr txBox="1">
                            <a:spLocks noChangeArrowheads="1"/>
                          </wps:cNvSpPr>
                          <wps:spPr bwMode="auto">
                            <a:xfrm>
                              <a:off x="2795724" y="2178957"/>
                              <a:ext cx="2131695" cy="714375"/>
                            </a:xfrm>
                            <a:prstGeom prst="rect">
                              <a:avLst/>
                            </a:prstGeom>
                            <a:solidFill>
                              <a:srgbClr val="FFFFFF"/>
                            </a:solidFill>
                            <a:ln w="9525">
                              <a:solidFill>
                                <a:srgbClr val="000000"/>
                              </a:solidFill>
                              <a:miter lim="800000"/>
                              <a:headEnd/>
                              <a:tailEnd/>
                            </a:ln>
                          </wps:spPr>
                          <wps:txbx>
                            <w:txbxContent>
                              <w:p w14:paraId="115C6584" w14:textId="0D292D95" w:rsidR="009C6463" w:rsidRPr="00CD0AFB" w:rsidRDefault="00BF5B0A" w:rsidP="009C6463">
                                <w:pPr>
                                  <w:jc w:val="center"/>
                                  <w:rPr>
                                    <w:rFonts w:ascii="Times New Roman" w:hAnsi="Times New Roman" w:cs="Times New Roman"/>
                                    <w:sz w:val="24"/>
                                  </w:rPr>
                                </w:pPr>
                                <w:r>
                                  <w:rPr>
                                    <w:rFonts w:ascii="Times New Roman" w:hAnsi="Times New Roman" w:cs="Times New Roman"/>
                                    <w:sz w:val="24"/>
                                    <w:lang w:val="uk-UA"/>
                                  </w:rPr>
                                  <w:t>Адаптованість до впливу ендогенних факторів</w:t>
                                </w:r>
                              </w:p>
                            </w:txbxContent>
                          </wps:txbx>
                          <wps:bodyPr rot="0" vert="horz" wrap="square" lIns="91440" tIns="45720" rIns="91440" bIns="45720" anchor="t" anchorCtr="0" upright="1">
                            <a:noAutofit/>
                          </wps:bodyPr>
                        </wps:wsp>
                        <wps:wsp>
                          <wps:cNvPr id="796225738" name="AutoShape 600"/>
                          <wps:cNvCnPr>
                            <a:cxnSpLocks noChangeShapeType="1"/>
                          </wps:cNvCnPr>
                          <wps:spPr bwMode="auto">
                            <a:xfrm>
                              <a:off x="875938" y="1069249"/>
                              <a:ext cx="28422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8366582" name="AutoShape 601"/>
                          <wps:cNvCnPr>
                            <a:cxnSpLocks noChangeShapeType="1"/>
                          </wps:cNvCnPr>
                          <wps:spPr bwMode="auto">
                            <a:xfrm>
                              <a:off x="879385" y="1069249"/>
                              <a:ext cx="635" cy="1771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1164387" name="AutoShape 602"/>
                          <wps:cNvCnPr>
                            <a:cxnSpLocks noChangeShapeType="1"/>
                          </wps:cNvCnPr>
                          <wps:spPr bwMode="auto">
                            <a:xfrm>
                              <a:off x="3725727" y="1069249"/>
                              <a:ext cx="635" cy="1670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4160384" name="AutoShape 603"/>
                          <wps:cNvCnPr>
                            <a:cxnSpLocks noChangeShapeType="1"/>
                          </wps:cNvCnPr>
                          <wps:spPr bwMode="auto">
                            <a:xfrm>
                              <a:off x="2563858" y="1939744"/>
                              <a:ext cx="2260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63043921" name="AutoShape 604"/>
                          <wps:cNvCnPr>
                            <a:cxnSpLocks noChangeShapeType="1"/>
                          </wps:cNvCnPr>
                          <wps:spPr bwMode="auto">
                            <a:xfrm>
                              <a:off x="2569664" y="2594791"/>
                              <a:ext cx="2305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4042326" name="Text Box 623"/>
                          <wps:cNvSpPr txBox="1">
                            <a:spLocks noChangeArrowheads="1"/>
                          </wps:cNvSpPr>
                          <wps:spPr bwMode="auto">
                            <a:xfrm>
                              <a:off x="28753" y="0"/>
                              <a:ext cx="9145546" cy="297180"/>
                            </a:xfrm>
                            <a:prstGeom prst="rect">
                              <a:avLst/>
                            </a:prstGeom>
                            <a:solidFill>
                              <a:srgbClr val="FFFFFF"/>
                            </a:solidFill>
                            <a:ln w="9525">
                              <a:solidFill>
                                <a:srgbClr val="000000"/>
                              </a:solidFill>
                              <a:miter lim="800000"/>
                              <a:headEnd/>
                              <a:tailEnd/>
                            </a:ln>
                          </wps:spPr>
                          <wps:txbx>
                            <w:txbxContent>
                              <w:p w14:paraId="53B2EA17" w14:textId="77777777" w:rsidR="009C6463" w:rsidRPr="00CD0AFB" w:rsidRDefault="009C6463" w:rsidP="009C6463">
                                <w:pPr>
                                  <w:spacing w:after="0" w:line="240" w:lineRule="auto"/>
                                  <w:jc w:val="center"/>
                                  <w:rPr>
                                    <w:rFonts w:ascii="Times New Roman" w:hAnsi="Times New Roman" w:cs="Times New Roman"/>
                                    <w:sz w:val="24"/>
                                  </w:rPr>
                                </w:pPr>
                                <w:r w:rsidRPr="00CD0AFB">
                                  <w:rPr>
                                    <w:rFonts w:ascii="Times New Roman" w:hAnsi="Times New Roman" w:cs="Times New Roman"/>
                                    <w:sz w:val="24"/>
                                    <w:lang w:val="uk-UA"/>
                                  </w:rPr>
                                  <w:t>Фінансова стійкість банк</w:t>
                                </w:r>
                                <w:r>
                                  <w:rPr>
                                    <w:rFonts w:ascii="Times New Roman" w:hAnsi="Times New Roman" w:cs="Times New Roman"/>
                                    <w:sz w:val="24"/>
                                    <w:lang w:val="uk-UA"/>
                                  </w:rPr>
                                  <w:t>у</w:t>
                                </w:r>
                              </w:p>
                            </w:txbxContent>
                          </wps:txbx>
                          <wps:bodyPr rot="0" vert="horz" wrap="square" lIns="91440" tIns="45720" rIns="91440" bIns="45720" anchor="t" anchorCtr="0" upright="1">
                            <a:noAutofit/>
                          </wps:bodyPr>
                        </wps:wsp>
                        <wps:wsp>
                          <wps:cNvPr id="2143181715" name="AutoShape 624"/>
                          <wps:cNvCnPr>
                            <a:cxnSpLocks noChangeShapeType="1"/>
                          </wps:cNvCnPr>
                          <wps:spPr bwMode="auto">
                            <a:xfrm flipH="1">
                              <a:off x="4924244" y="293914"/>
                              <a:ext cx="635" cy="1835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83475604" name="AutoShape 631"/>
                          <wps:cNvCnPr>
                            <a:cxnSpLocks noChangeShapeType="1"/>
                          </wps:cNvCnPr>
                          <wps:spPr bwMode="auto">
                            <a:xfrm>
                              <a:off x="3204301" y="478971"/>
                              <a:ext cx="635" cy="2114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44661084" name="AutoShape 632"/>
                          <wps:cNvCnPr>
                            <a:cxnSpLocks noChangeShapeType="1"/>
                          </wps:cNvCnPr>
                          <wps:spPr bwMode="auto">
                            <a:xfrm>
                              <a:off x="6589758" y="478971"/>
                              <a:ext cx="0" cy="2108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243036614" name="Группа 13"/>
                          <wpg:cNvGrpSpPr/>
                          <wpg:grpSpPr>
                            <a:xfrm>
                              <a:off x="5141958" y="696686"/>
                              <a:ext cx="4036150" cy="2106113"/>
                              <a:chOff x="0" y="0"/>
                              <a:chExt cx="4036150" cy="2106113"/>
                            </a:xfrm>
                          </wpg:grpSpPr>
                          <wps:wsp>
                            <wps:cNvPr id="804272384" name="Text Box 607"/>
                            <wps:cNvSpPr txBox="1">
                              <a:spLocks noChangeArrowheads="1"/>
                            </wps:cNvSpPr>
                            <wps:spPr bwMode="auto">
                              <a:xfrm>
                                <a:off x="0" y="1058363"/>
                                <a:ext cx="1664335" cy="526415"/>
                              </a:xfrm>
                              <a:prstGeom prst="rect">
                                <a:avLst/>
                              </a:prstGeom>
                              <a:solidFill>
                                <a:srgbClr val="FFFFFF"/>
                              </a:solidFill>
                              <a:ln w="9525">
                                <a:solidFill>
                                  <a:srgbClr val="000000"/>
                                </a:solidFill>
                                <a:miter lim="800000"/>
                                <a:headEnd/>
                                <a:tailEnd/>
                              </a:ln>
                            </wps:spPr>
                            <wps:txbx>
                              <w:txbxContent>
                                <w:p w14:paraId="446D740E" w14:textId="69F31A5C" w:rsidR="009C6463" w:rsidRPr="007A3794" w:rsidRDefault="00BF5B0A" w:rsidP="009C6463">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Регуляторні вимоги НБУ</w:t>
                                  </w:r>
                                </w:p>
                              </w:txbxContent>
                            </wps:txbx>
                            <wps:bodyPr rot="0" vert="horz" wrap="square" lIns="91440" tIns="45720" rIns="91440" bIns="45720" anchor="t" anchorCtr="0" upright="1">
                              <a:noAutofit/>
                            </wps:bodyPr>
                          </wps:wsp>
                          <wps:wsp>
                            <wps:cNvPr id="295719152" name="Text Box 608"/>
                            <wps:cNvSpPr txBox="1">
                              <a:spLocks noChangeArrowheads="1"/>
                            </wps:cNvSpPr>
                            <wps:spPr bwMode="auto">
                              <a:xfrm>
                                <a:off x="1755775" y="523058"/>
                                <a:ext cx="2277110" cy="293370"/>
                              </a:xfrm>
                              <a:prstGeom prst="rect">
                                <a:avLst/>
                              </a:prstGeom>
                              <a:solidFill>
                                <a:srgbClr val="FFFFFF"/>
                              </a:solidFill>
                              <a:ln w="9525">
                                <a:solidFill>
                                  <a:srgbClr val="000000"/>
                                </a:solidFill>
                                <a:miter lim="800000"/>
                                <a:headEnd/>
                                <a:tailEnd/>
                              </a:ln>
                            </wps:spPr>
                            <wps:txbx>
                              <w:txbxContent>
                                <w:p w14:paraId="3D01698E" w14:textId="28C01822" w:rsidR="009C6463" w:rsidRPr="00CD0AFB" w:rsidRDefault="00FC7D86" w:rsidP="009C6463">
                                  <w:pPr>
                                    <w:spacing w:line="240" w:lineRule="auto"/>
                                    <w:jc w:val="center"/>
                                    <w:rPr>
                                      <w:rFonts w:ascii="Times New Roman" w:hAnsi="Times New Roman" w:cs="Times New Roman"/>
                                      <w:sz w:val="24"/>
                                    </w:rPr>
                                  </w:pPr>
                                  <w:r>
                                    <w:rPr>
                                      <w:rFonts w:ascii="Times New Roman" w:hAnsi="Times New Roman" w:cs="Times New Roman"/>
                                      <w:sz w:val="24"/>
                                      <w:lang w:val="uk-UA"/>
                                    </w:rPr>
                                    <w:t>Підтримка цільових таргетів</w:t>
                                  </w:r>
                                </w:p>
                              </w:txbxContent>
                            </wps:txbx>
                            <wps:bodyPr rot="0" vert="horz" wrap="square" lIns="91440" tIns="45720" rIns="91440" bIns="45720" anchor="t" anchorCtr="0" upright="1">
                              <a:noAutofit/>
                            </wps:bodyPr>
                          </wps:wsp>
                          <wps:wsp>
                            <wps:cNvPr id="627521683" name="AutoShape 610"/>
                            <wps:cNvCnPr>
                              <a:cxnSpLocks noChangeShapeType="1"/>
                            </wps:cNvCnPr>
                            <wps:spPr bwMode="auto">
                              <a:xfrm>
                                <a:off x="735965" y="815068"/>
                                <a:ext cx="3175" cy="2400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05713159" name="Text Box 611"/>
                            <wps:cNvSpPr txBox="1">
                              <a:spLocks noChangeArrowheads="1"/>
                            </wps:cNvSpPr>
                            <wps:spPr bwMode="auto">
                              <a:xfrm>
                                <a:off x="1755775" y="956582"/>
                                <a:ext cx="2277110" cy="285115"/>
                              </a:xfrm>
                              <a:prstGeom prst="rect">
                                <a:avLst/>
                              </a:prstGeom>
                              <a:solidFill>
                                <a:srgbClr val="FFFFFF"/>
                              </a:solidFill>
                              <a:ln w="9525">
                                <a:solidFill>
                                  <a:srgbClr val="000000"/>
                                </a:solidFill>
                                <a:miter lim="800000"/>
                                <a:headEnd/>
                                <a:tailEnd/>
                              </a:ln>
                            </wps:spPr>
                            <wps:txbx>
                              <w:txbxContent>
                                <w:p w14:paraId="6730BFE4" w14:textId="2F4731A5" w:rsidR="009C6463" w:rsidRPr="007A3794" w:rsidRDefault="009C6463" w:rsidP="009C6463">
                                  <w:pPr>
                                    <w:rPr>
                                      <w:rFonts w:ascii="Times New Roman" w:hAnsi="Times New Roman" w:cs="Times New Roman"/>
                                      <w:sz w:val="24"/>
                                      <w:lang w:val="uk-UA"/>
                                    </w:rPr>
                                  </w:pPr>
                                  <w:r>
                                    <w:rPr>
                                      <w:rFonts w:ascii="Times New Roman" w:hAnsi="Times New Roman" w:cs="Times New Roman"/>
                                      <w:sz w:val="24"/>
                                      <w:lang w:val="uk-UA"/>
                                    </w:rPr>
                                    <w:t>Ліквідності</w:t>
                                  </w:r>
                                </w:p>
                              </w:txbxContent>
                            </wps:txbx>
                            <wps:bodyPr rot="0" vert="horz" wrap="square" lIns="91440" tIns="45720" rIns="91440" bIns="45720" anchor="t" anchorCtr="0" upright="1">
                              <a:noAutofit/>
                            </wps:bodyPr>
                          </wps:wsp>
                          <wps:wsp>
                            <wps:cNvPr id="1050329389" name="Text Box 613"/>
                            <wps:cNvSpPr txBox="1">
                              <a:spLocks noChangeArrowheads="1"/>
                            </wps:cNvSpPr>
                            <wps:spPr bwMode="auto">
                              <a:xfrm>
                                <a:off x="1755775" y="1249861"/>
                                <a:ext cx="2277110" cy="291465"/>
                              </a:xfrm>
                              <a:prstGeom prst="rect">
                                <a:avLst/>
                              </a:prstGeom>
                              <a:solidFill>
                                <a:srgbClr val="FFFFFF"/>
                              </a:solidFill>
                              <a:ln w="9525">
                                <a:solidFill>
                                  <a:srgbClr val="000000"/>
                                </a:solidFill>
                                <a:miter lim="800000"/>
                                <a:headEnd/>
                                <a:tailEnd/>
                              </a:ln>
                            </wps:spPr>
                            <wps:txbx>
                              <w:txbxContent>
                                <w:p w14:paraId="7E79DEF9" w14:textId="09D68546" w:rsidR="009C6463" w:rsidRPr="007A3794" w:rsidRDefault="00861977" w:rsidP="009C6463">
                                  <w:pPr>
                                    <w:rPr>
                                      <w:rFonts w:ascii="Times New Roman" w:hAnsi="Times New Roman" w:cs="Times New Roman"/>
                                      <w:sz w:val="24"/>
                                      <w:lang w:val="uk-UA"/>
                                    </w:rPr>
                                  </w:pPr>
                                  <w:r>
                                    <w:rPr>
                                      <w:rFonts w:ascii="Times New Roman" w:hAnsi="Times New Roman" w:cs="Times New Roman"/>
                                      <w:sz w:val="24"/>
                                      <w:lang w:val="uk-UA"/>
                                    </w:rPr>
                                    <w:t>Капіталізації</w:t>
                                  </w:r>
                                </w:p>
                              </w:txbxContent>
                            </wps:txbx>
                            <wps:bodyPr rot="0" vert="horz" wrap="square" lIns="91440" tIns="45720" rIns="91440" bIns="45720" anchor="t" anchorCtr="0" upright="1">
                              <a:noAutofit/>
                            </wps:bodyPr>
                          </wps:wsp>
                          <wps:wsp>
                            <wps:cNvPr id="1001258290" name="Text Box 615"/>
                            <wps:cNvSpPr txBox="1">
                              <a:spLocks noChangeArrowheads="1"/>
                            </wps:cNvSpPr>
                            <wps:spPr bwMode="auto">
                              <a:xfrm>
                                <a:off x="1755775" y="1539965"/>
                                <a:ext cx="2277110" cy="278765"/>
                              </a:xfrm>
                              <a:prstGeom prst="rect">
                                <a:avLst/>
                              </a:prstGeom>
                              <a:solidFill>
                                <a:srgbClr val="FFFFFF"/>
                              </a:solidFill>
                              <a:ln w="9525">
                                <a:solidFill>
                                  <a:srgbClr val="000000"/>
                                </a:solidFill>
                                <a:miter lim="800000"/>
                                <a:headEnd/>
                                <a:tailEnd/>
                              </a:ln>
                            </wps:spPr>
                            <wps:txbx>
                              <w:txbxContent>
                                <w:p w14:paraId="5AD19AF0" w14:textId="48EE486A" w:rsidR="009C6463" w:rsidRPr="007A3794" w:rsidRDefault="00861977" w:rsidP="009C6463">
                                  <w:pPr>
                                    <w:spacing w:after="0" w:line="240" w:lineRule="auto"/>
                                    <w:rPr>
                                      <w:rFonts w:ascii="Times New Roman" w:hAnsi="Times New Roman" w:cs="Times New Roman"/>
                                      <w:sz w:val="24"/>
                                      <w:lang w:val="uk-UA"/>
                                    </w:rPr>
                                  </w:pPr>
                                  <w:r>
                                    <w:rPr>
                                      <w:rFonts w:ascii="Times New Roman" w:hAnsi="Times New Roman" w:cs="Times New Roman"/>
                                      <w:sz w:val="24"/>
                                      <w:lang w:val="uk-UA"/>
                                    </w:rPr>
                                    <w:t>Рівня ризиків</w:t>
                                  </w:r>
                                </w:p>
                              </w:txbxContent>
                            </wps:txbx>
                            <wps:bodyPr rot="0" vert="horz" wrap="square" lIns="91440" tIns="45720" rIns="91440" bIns="45720" anchor="t" anchorCtr="0" upright="1">
                              <a:noAutofit/>
                            </wps:bodyPr>
                          </wps:wsp>
                          <wps:wsp>
                            <wps:cNvPr id="2127381706" name="AutoShape 625"/>
                            <wps:cNvCnPr>
                              <a:cxnSpLocks noChangeShapeType="1"/>
                            </wps:cNvCnPr>
                            <wps:spPr bwMode="auto">
                              <a:xfrm>
                                <a:off x="732608" y="391885"/>
                                <a:ext cx="635" cy="152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914958" name="AutoShape 626"/>
                            <wps:cNvCnPr>
                              <a:cxnSpLocks noChangeShapeType="1"/>
                            </wps:cNvCnPr>
                            <wps:spPr bwMode="auto">
                              <a:xfrm>
                                <a:off x="2038894" y="272143"/>
                                <a:ext cx="635" cy="123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9512574" name="AutoShape 627"/>
                            <wps:cNvCnPr>
                              <a:cxnSpLocks noChangeShapeType="1"/>
                            </wps:cNvCnPr>
                            <wps:spPr bwMode="auto">
                              <a:xfrm>
                                <a:off x="732608" y="391885"/>
                                <a:ext cx="23012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93491551" name="AutoShape 628"/>
                            <wps:cNvCnPr>
                              <a:cxnSpLocks noChangeShapeType="1"/>
                            </wps:cNvCnPr>
                            <wps:spPr bwMode="auto">
                              <a:xfrm>
                                <a:off x="3021330" y="381000"/>
                                <a:ext cx="15240" cy="171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66655909" name="Text Box 630"/>
                            <wps:cNvSpPr txBox="1">
                              <a:spLocks noChangeArrowheads="1"/>
                            </wps:cNvSpPr>
                            <wps:spPr bwMode="auto">
                              <a:xfrm>
                                <a:off x="3265" y="0"/>
                                <a:ext cx="4032885" cy="274955"/>
                              </a:xfrm>
                              <a:prstGeom prst="rect">
                                <a:avLst/>
                              </a:prstGeom>
                              <a:solidFill>
                                <a:srgbClr val="FFFFFF"/>
                              </a:solidFill>
                              <a:ln w="9525">
                                <a:solidFill>
                                  <a:srgbClr val="000000"/>
                                </a:solidFill>
                                <a:miter lim="800000"/>
                                <a:headEnd/>
                                <a:tailEnd/>
                              </a:ln>
                            </wps:spPr>
                            <wps:txbx>
                              <w:txbxContent>
                                <w:p w14:paraId="3DFF974C" w14:textId="77777777" w:rsidR="009C6463" w:rsidRPr="0074000E" w:rsidRDefault="009C6463" w:rsidP="009C6463">
                                  <w:pPr>
                                    <w:spacing w:after="0" w:line="240" w:lineRule="auto"/>
                                    <w:jc w:val="center"/>
                                    <w:rPr>
                                      <w:rFonts w:ascii="Times New Roman" w:hAnsi="Times New Roman" w:cs="Times New Roman"/>
                                      <w:sz w:val="24"/>
                                    </w:rPr>
                                  </w:pPr>
                                  <w:r w:rsidRPr="0074000E">
                                    <w:rPr>
                                      <w:rFonts w:ascii="Times New Roman" w:hAnsi="Times New Roman" w:cs="Times New Roman"/>
                                      <w:sz w:val="24"/>
                                      <w:lang w:val="uk-UA"/>
                                    </w:rPr>
                                    <w:t>Кількісний підхід</w:t>
                                  </w:r>
                                </w:p>
                              </w:txbxContent>
                            </wps:txbx>
                            <wps:bodyPr rot="0" vert="horz" wrap="square" lIns="91440" tIns="45720" rIns="91440" bIns="45720" anchor="t" anchorCtr="0" upright="1">
                              <a:noAutofit/>
                            </wps:bodyPr>
                          </wps:wsp>
                          <wps:wsp>
                            <wps:cNvPr id="644793952" name="Text Box 906"/>
                            <wps:cNvSpPr txBox="1">
                              <a:spLocks noChangeArrowheads="1"/>
                            </wps:cNvSpPr>
                            <wps:spPr bwMode="auto">
                              <a:xfrm>
                                <a:off x="1755775" y="1814648"/>
                                <a:ext cx="2277110" cy="291465"/>
                              </a:xfrm>
                              <a:prstGeom prst="rect">
                                <a:avLst/>
                              </a:prstGeom>
                              <a:solidFill>
                                <a:srgbClr val="FFFFFF"/>
                              </a:solidFill>
                              <a:ln w="9525">
                                <a:solidFill>
                                  <a:srgbClr val="000000"/>
                                </a:solidFill>
                                <a:miter lim="800000"/>
                                <a:headEnd/>
                                <a:tailEnd/>
                              </a:ln>
                            </wps:spPr>
                            <wps:txbx>
                              <w:txbxContent>
                                <w:p w14:paraId="54F6AC34" w14:textId="77777777" w:rsidR="00861977" w:rsidRPr="007A3794" w:rsidRDefault="00861977" w:rsidP="009C6463">
                                  <w:pPr>
                                    <w:rPr>
                                      <w:rFonts w:ascii="Times New Roman" w:hAnsi="Times New Roman" w:cs="Times New Roman"/>
                                      <w:sz w:val="24"/>
                                      <w:lang w:val="uk-UA"/>
                                    </w:rPr>
                                  </w:pPr>
                                  <w:r>
                                    <w:rPr>
                                      <w:rFonts w:ascii="Times New Roman" w:hAnsi="Times New Roman" w:cs="Times New Roman"/>
                                      <w:sz w:val="24"/>
                                      <w:lang w:val="uk-UA"/>
                                    </w:rPr>
                                    <w:t>Ефективності</w:t>
                                  </w:r>
                                </w:p>
                              </w:txbxContent>
                            </wps:txbx>
                            <wps:bodyPr rot="0" vert="horz" wrap="square" lIns="91440" tIns="45720" rIns="91440" bIns="45720" anchor="t" anchorCtr="0" upright="1">
                              <a:noAutofit/>
                            </wps:bodyPr>
                          </wps:wsp>
                        </wpg:grpSp>
                      </wpg:grpSp>
                    </wpg:wg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2A326526" id="Группа 15" o:spid="_x0000_s1036" style="position:absolute;left:0;text-align:left;margin-left:3.65pt;margin-top:3.3pt;width:723pt;height:301.85pt;z-index:-251567616" coordsize="91820,38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">
                <v:shape id="Text Box 605" o:spid="_x0000_s1037" type="#_x0000_t202" style="position:absolute;top:32963;width:12052;height:29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">
                  <v:textbox>
                    <w:txbxContent>
                      <w:p w14:paraId="7CBB18F2" w14:textId="77777777" w:rsidR="009C6463" w:rsidRPr="006F346E" w:rsidRDefault="009C6463" w:rsidP="009C6463">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Результат:</w:t>
                        </w:r>
                      </w:p>
                    </w:txbxContent>
                  </v:textbox>
                </v:shape>
                <v:shape id="AutoShape 606" o:spid="_x0000_s1038" type="#_x0000_t32" style="position:absolute;left:12025;top:34279;width:31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">
                  <v:stroke endarrow="block"/>
                </v:shape>
                <v:shape id="Text Box 617" o:spid="_x0000_s1039" type="#_x0000_t202" style="position:absolute;left:19382;top:31401;width:27674;height:2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">
                  <v:textbox>
                    <w:txbxContent>
                      <w:p w14:paraId="2DB4D97C" w14:textId="77777777" w:rsidR="009C6463" w:rsidRPr="006F346E" w:rsidRDefault="009C6463" w:rsidP="009C6463">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Швидке подолання кризових ситуацій</w:t>
                        </w:r>
                      </w:p>
                    </w:txbxContent>
                  </v:textbox>
                </v:shape>
                <v:shape id="Text Box 618" o:spid="_x0000_s1040" type="#_x0000_t202" style="position:absolute;left:52033;top:31401;width:33350;height:2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">
                  <v:textbox>
                    <w:txbxContent>
                      <w:p w14:paraId="267E742B" w14:textId="40B1DAED" w:rsidR="00BF5B0A" w:rsidRPr="00BF5B0A" w:rsidRDefault="00BF5B0A" w:rsidP="00BF5B0A">
                        <w:pPr>
                          <w:spacing w:after="0" w:line="240" w:lineRule="auto"/>
                          <w:jc w:val="center"/>
                          <w:rPr>
                            <w:rFonts w:ascii="Times New Roman" w:hAnsi="Times New Roman" w:cs="Times New Roman"/>
                            <w:sz w:val="24"/>
                            <w:lang w:val="uk-UA"/>
                          </w:rPr>
                        </w:pPr>
                        <w:r w:rsidRPr="00BF5B0A">
                          <w:rPr>
                            <w:rFonts w:ascii="Times New Roman" w:hAnsi="Times New Roman" w:cs="Times New Roman"/>
                            <w:sz w:val="24"/>
                            <w:lang w:val="uk-UA"/>
                          </w:rPr>
                          <w:t xml:space="preserve">Конкурентоспроможність </w:t>
                        </w:r>
                      </w:p>
                    </w:txbxContent>
                  </v:textbox>
                </v:shape>
                <v:shape id="Text Box 619" o:spid="_x0000_s1041" type="#_x0000_t202" style="position:absolute;left:19382;top:34782;width:27674;height:2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">
                  <v:textbox>
                    <w:txbxContent>
                      <w:p w14:paraId="1A14A37F" w14:textId="77777777" w:rsidR="00BF5B0A" w:rsidRPr="006F346E" w:rsidRDefault="00BF5B0A" w:rsidP="00BF5B0A">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 xml:space="preserve"> Життєздатність </w:t>
                        </w:r>
                      </w:p>
                      <w:p w14:paraId="153A06BA" w14:textId="24D0FC35" w:rsidR="009C6463" w:rsidRPr="006F346E" w:rsidRDefault="009C6463" w:rsidP="009C6463">
                        <w:pPr>
                          <w:spacing w:after="0" w:line="240" w:lineRule="auto"/>
                          <w:jc w:val="center"/>
                          <w:rPr>
                            <w:rFonts w:ascii="Times New Roman" w:hAnsi="Times New Roman" w:cs="Times New Roman"/>
                            <w:sz w:val="24"/>
                            <w:lang w:val="uk-UA"/>
                          </w:rPr>
                        </w:pPr>
                      </w:p>
                    </w:txbxContent>
                  </v:textbox>
                </v:shape>
                <v:shape id="Text Box 620" o:spid="_x0000_s1042" type="#_x0000_t202" style="position:absolute;left:52033;top:34782;width:33350;height:2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">
                  <v:textbox>
                    <w:txbxContent>
                      <w:p w14:paraId="793BDF4C" w14:textId="77777777" w:rsidR="009C6463" w:rsidRPr="006F346E" w:rsidRDefault="009C6463" w:rsidP="009C6463">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Ефективне виконання функцій</w:t>
                        </w:r>
                      </w:p>
                    </w:txbxContent>
                  </v:textbox>
                </v:shape>
                <v:rect id="Rectangle 621" o:spid="_x0000_s1043" style="position:absolute;left:15188;top:30914;width:72530;height:7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" filled="f" strokeweight="1.5pt"/>
                <v:group id="Группа 14" o:spid="_x0000_s1044" style="position:absolute;left:39;width:91781;height:28946" coordsize="91781,289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">
                  <v:shape id="Text Box 584" o:spid="_x0000_s1045" type="#_x0000_t202" style="position:absolute;left:287;top:7036;width:4814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">
                    <v:textbox>
                      <w:txbxContent>
                        <w:p w14:paraId="12348735" w14:textId="77777777" w:rsidR="009C6463" w:rsidRPr="0074000E" w:rsidRDefault="009C6463" w:rsidP="009C6463">
                          <w:pPr>
                            <w:spacing w:after="0" w:line="240" w:lineRule="auto"/>
                            <w:jc w:val="center"/>
                            <w:rPr>
                              <w:rFonts w:ascii="Times New Roman" w:hAnsi="Times New Roman" w:cs="Times New Roman"/>
                              <w:sz w:val="24"/>
                            </w:rPr>
                          </w:pPr>
                          <w:r w:rsidRPr="0074000E">
                            <w:rPr>
                              <w:rFonts w:ascii="Times New Roman" w:hAnsi="Times New Roman" w:cs="Times New Roman"/>
                              <w:sz w:val="24"/>
                              <w:lang w:val="uk-UA"/>
                            </w:rPr>
                            <w:t>Якісний підхід</w:t>
                          </w:r>
                        </w:p>
                      </w:txbxContent>
                    </v:textbox>
                  </v:shape>
                  <v:shape id="AutoShape 586" o:spid="_x0000_s1046" type="#_x0000_t32" style="position:absolute;left:23038;top:9751;width:0;height:9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"/>
                  <v:shape id="Text Box 591" o:spid="_x0000_s1047" type="#_x0000_t202" style="position:absolute;left:287;top:12504;width:21044;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">
                    <v:textbox>
                      <w:txbxContent>
                        <w:p w14:paraId="198B36F3" w14:textId="77777777" w:rsidR="009C6463" w:rsidRPr="00CD0AFB" w:rsidRDefault="009C6463" w:rsidP="009C6463">
                          <w:pPr>
                            <w:spacing w:after="0" w:line="240" w:lineRule="auto"/>
                            <w:jc w:val="center"/>
                            <w:rPr>
                              <w:rFonts w:ascii="Times New Roman" w:hAnsi="Times New Roman" w:cs="Times New Roman"/>
                              <w:sz w:val="24"/>
                            </w:rPr>
                          </w:pPr>
                          <w:r>
                            <w:rPr>
                              <w:rFonts w:ascii="Times New Roman" w:hAnsi="Times New Roman" w:cs="Times New Roman"/>
                              <w:sz w:val="24"/>
                              <w:lang w:val="uk-UA"/>
                            </w:rPr>
                            <w:t>Здатність</w:t>
                          </w:r>
                        </w:p>
                      </w:txbxContent>
                    </v:textbox>
                  </v:shape>
                  <v:shape id="Text Box 592" o:spid="_x0000_s1048" type="#_x0000_t202" style="position:absolute;top:24120;width:21043;height:4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">
                    <v:textbox>
                      <w:txbxContent>
                        <w:p w14:paraId="67A853B2" w14:textId="789442C7" w:rsidR="009C6463" w:rsidRPr="006F346E" w:rsidRDefault="009C6463" w:rsidP="009C6463">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Максимальна ефективність та оптимальний</w:t>
                          </w:r>
                          <w:r w:rsidRPr="00271163">
                            <w:rPr>
                              <w:rFonts w:ascii="Times New Roman" w:hAnsi="Times New Roman" w:cs="Times New Roman"/>
                              <w:sz w:val="24"/>
                            </w:rPr>
                            <w:t xml:space="preserve"> </w:t>
                          </w:r>
                          <w:r>
                            <w:rPr>
                              <w:rFonts w:ascii="Times New Roman" w:hAnsi="Times New Roman" w:cs="Times New Roman"/>
                              <w:sz w:val="24"/>
                              <w:lang w:val="uk-UA"/>
                            </w:rPr>
                            <w:t>ризик</w:t>
                          </w:r>
                        </w:p>
                      </w:txbxContent>
                    </v:textbox>
                  </v:shape>
                  <v:shape id="Text Box 593" o:spid="_x0000_s1049" type="#_x0000_t202" style="position:absolute;top:17179;width:21043;height:4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">
                    <v:textbox>
                      <w:txbxContent>
                        <w:p w14:paraId="6CAA75B4" w14:textId="77777777" w:rsidR="009C6463" w:rsidRPr="007A3794" w:rsidRDefault="009C6463" w:rsidP="009C6463">
                          <w:pPr>
                            <w:spacing w:after="0" w:line="240" w:lineRule="auto"/>
                            <w:jc w:val="center"/>
                            <w:rPr>
                              <w:rFonts w:ascii="Times New Roman" w:hAnsi="Times New Roman" w:cs="Times New Roman"/>
                              <w:sz w:val="24"/>
                              <w:lang w:val="uk-UA"/>
                            </w:rPr>
                          </w:pPr>
                          <w:r w:rsidRPr="007A3794">
                            <w:rPr>
                              <w:rFonts w:ascii="Times New Roman" w:hAnsi="Times New Roman" w:cs="Times New Roman"/>
                              <w:sz w:val="24"/>
                              <w:lang w:val="uk-UA"/>
                            </w:rPr>
                            <w:t>Ефективність управління ресурсами</w:t>
                          </w:r>
                        </w:p>
                      </w:txbxContent>
                    </v:textbox>
                  </v:shape>
                  <v:shape id="Text Box 594" o:spid="_x0000_s1050" type="#_x0000_t202" style="position:absolute;left:27957;top:15917;width:21317;height:4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">
                    <v:textbox>
                      <w:txbxContent>
                        <w:p w14:paraId="5BD3369A" w14:textId="378ED922" w:rsidR="009C6463" w:rsidRPr="00CD0AFB" w:rsidRDefault="00BF5B0A" w:rsidP="009C6463">
                          <w:pPr>
                            <w:spacing w:after="0" w:line="240" w:lineRule="auto"/>
                            <w:jc w:val="center"/>
                            <w:rPr>
                              <w:rFonts w:ascii="Times New Roman" w:hAnsi="Times New Roman" w:cs="Times New Roman"/>
                              <w:sz w:val="24"/>
                            </w:rPr>
                          </w:pPr>
                          <w:r>
                            <w:rPr>
                              <w:rFonts w:ascii="Times New Roman" w:hAnsi="Times New Roman" w:cs="Times New Roman"/>
                              <w:sz w:val="24"/>
                              <w:lang w:val="uk-UA"/>
                            </w:rPr>
                            <w:t>Внутрішня фінансова рівновага</w:t>
                          </w:r>
                        </w:p>
                      </w:txbxContent>
                    </v:textbox>
                  </v:shape>
                  <v:shape id="AutoShape 595" o:spid="_x0000_s1051" type="#_x0000_t32" style="position:absolute;left:8736;top:15117;width:57;height:208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">
                    <v:stroke endarrow="block"/>
                  </v:shape>
                  <v:shape id="AutoShape 596" o:spid="_x0000_s1052" type="#_x0000_t32" style="position:absolute;left:8730;top:21789;width:0;height:21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">
                    <v:stroke endarrow="block"/>
                  </v:shape>
                  <v:shape id="AutoShape 597" o:spid="_x0000_s1053" type="#_x0000_t32" style="position:absolute;left:25638;top:13587;width:0;height:123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"/>
                  <v:shape id="Text Box 598" o:spid="_x0000_s1054" type="#_x0000_t202" style="position:absolute;left:24524;top:12479;width:24791;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">
                    <v:textbox>
                      <w:txbxContent>
                        <w:p w14:paraId="22EA9836" w14:textId="77777777" w:rsidR="009C6463" w:rsidRPr="00CD0AFB" w:rsidRDefault="009C6463" w:rsidP="009C6463">
                          <w:pPr>
                            <w:jc w:val="center"/>
                            <w:rPr>
                              <w:rFonts w:ascii="Times New Roman" w:hAnsi="Times New Roman" w:cs="Times New Roman"/>
                              <w:sz w:val="24"/>
                            </w:rPr>
                          </w:pPr>
                          <w:r>
                            <w:rPr>
                              <w:rFonts w:ascii="Times New Roman" w:hAnsi="Times New Roman" w:cs="Times New Roman"/>
                              <w:sz w:val="24"/>
                              <w:lang w:val="uk-UA"/>
                            </w:rPr>
                            <w:t>Стан</w:t>
                          </w:r>
                        </w:p>
                      </w:txbxContent>
                    </v:textbox>
                  </v:shape>
                  <v:shape id="Text Box 599" o:spid="_x0000_s1055" type="#_x0000_t202" style="position:absolute;left:27957;top:21789;width:21317;height:7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">
                    <v:textbox>
                      <w:txbxContent>
                        <w:p w14:paraId="115C6584" w14:textId="0D292D95" w:rsidR="009C6463" w:rsidRPr="00CD0AFB" w:rsidRDefault="00BF5B0A" w:rsidP="009C6463">
                          <w:pPr>
                            <w:jc w:val="center"/>
                            <w:rPr>
                              <w:rFonts w:ascii="Times New Roman" w:hAnsi="Times New Roman" w:cs="Times New Roman"/>
                              <w:sz w:val="24"/>
                            </w:rPr>
                          </w:pPr>
                          <w:r>
                            <w:rPr>
                              <w:rFonts w:ascii="Times New Roman" w:hAnsi="Times New Roman" w:cs="Times New Roman"/>
                              <w:sz w:val="24"/>
                              <w:lang w:val="uk-UA"/>
                            </w:rPr>
                            <w:t>Адаптованість до впливу ендогенних факторів</w:t>
                          </w:r>
                        </w:p>
                      </w:txbxContent>
                    </v:textbox>
                  </v:shape>
                  <v:shape id="AutoShape 600" o:spid="_x0000_s1056" type="#_x0000_t32" style="position:absolute;left:8759;top:10692;width:284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"/>
                  <v:shape id="AutoShape 601" o:spid="_x0000_s1057" type="#_x0000_t32" style="position:absolute;left:8793;top:10692;width:7;height:17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">
                    <v:stroke endarrow="block"/>
                  </v:shape>
                  <v:shape id="AutoShape 602" o:spid="_x0000_s1058" type="#_x0000_t32" style="position:absolute;left:37257;top:10692;width:6;height:16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">
                    <v:stroke endarrow="block"/>
                  </v:shape>
                  <v:shape id="AutoShape 603" o:spid="_x0000_s1059" type="#_x0000_t32" style="position:absolute;left:25638;top:19397;width:226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">
                    <v:stroke endarrow="block"/>
                  </v:shape>
                  <v:shape id="AutoShape 604" o:spid="_x0000_s1060" type="#_x0000_t32" style="position:absolute;left:25696;top:25947;width:23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">
                    <v:stroke endarrow="block"/>
                  </v:shape>
                  <v:shape id="Text Box 623" o:spid="_x0000_s1061" type="#_x0000_t202" style="position:absolute;left:287;width:91455;height:2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">
                    <v:textbox>
                      <w:txbxContent>
                        <w:p w14:paraId="53B2EA17" w14:textId="77777777" w:rsidR="009C6463" w:rsidRPr="00CD0AFB" w:rsidRDefault="009C6463" w:rsidP="009C6463">
                          <w:pPr>
                            <w:spacing w:after="0" w:line="240" w:lineRule="auto"/>
                            <w:jc w:val="center"/>
                            <w:rPr>
                              <w:rFonts w:ascii="Times New Roman" w:hAnsi="Times New Roman" w:cs="Times New Roman"/>
                              <w:sz w:val="24"/>
                            </w:rPr>
                          </w:pPr>
                          <w:r w:rsidRPr="00CD0AFB">
                            <w:rPr>
                              <w:rFonts w:ascii="Times New Roman" w:hAnsi="Times New Roman" w:cs="Times New Roman"/>
                              <w:sz w:val="24"/>
                              <w:lang w:val="uk-UA"/>
                            </w:rPr>
                            <w:t>Фінансова стійкість банк</w:t>
                          </w:r>
                          <w:r>
                            <w:rPr>
                              <w:rFonts w:ascii="Times New Roman" w:hAnsi="Times New Roman" w:cs="Times New Roman"/>
                              <w:sz w:val="24"/>
                              <w:lang w:val="uk-UA"/>
                            </w:rPr>
                            <w:t>у</w:t>
                          </w:r>
                        </w:p>
                      </w:txbxContent>
                    </v:textbox>
                  </v:shape>
                  <v:shape id="AutoShape 624" o:spid="_x0000_s1062" type="#_x0000_t32" style="position:absolute;left:49242;top:2939;width:6;height:183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"/>
                  <v:shape id="AutoShape 631" o:spid="_x0000_s1063" type="#_x0000_t32" style="position:absolute;left:32043;top:4789;width:6;height:21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">
                    <v:stroke endarrow="block"/>
                  </v:shape>
                  <v:shape id="AutoShape 632" o:spid="_x0000_s1064" type="#_x0000_t32" style="position:absolute;left:65897;top:4789;width:0;height:21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">
                    <v:stroke endarrow="block"/>
                  </v:shape>
                  <v:group id="Группа 13" o:spid="_x0000_s1065" style="position:absolute;left:51419;top:6966;width:40362;height:21061" coordsize="40361,21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">
                    <v:shape id="Text Box 607" o:spid="_x0000_s1066" type="#_x0000_t202" style="position:absolute;top:10583;width:16643;height:5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">
                      <v:textbox>
                        <w:txbxContent>
                          <w:p w14:paraId="446D740E" w14:textId="69F31A5C" w:rsidR="009C6463" w:rsidRPr="007A3794" w:rsidRDefault="00BF5B0A" w:rsidP="009C6463">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Регуляторні вимоги НБУ</w:t>
                            </w:r>
                          </w:p>
                        </w:txbxContent>
                      </v:textbox>
                    </v:shape>
                    <v:shape id="Text Box 608" o:spid="_x0000_s1067" type="#_x0000_t202" style="position:absolute;left:17557;top:5230;width:22771;height:2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">
                      <v:textbox>
                        <w:txbxContent>
                          <w:p w14:paraId="3D01698E" w14:textId="28C01822" w:rsidR="009C6463" w:rsidRPr="00CD0AFB" w:rsidRDefault="00FC7D86" w:rsidP="009C6463">
                            <w:pPr>
                              <w:spacing w:line="240" w:lineRule="auto"/>
                              <w:jc w:val="center"/>
                              <w:rPr>
                                <w:rFonts w:ascii="Times New Roman" w:hAnsi="Times New Roman" w:cs="Times New Roman"/>
                                <w:sz w:val="24"/>
                              </w:rPr>
                            </w:pPr>
                            <w:r>
                              <w:rPr>
                                <w:rFonts w:ascii="Times New Roman" w:hAnsi="Times New Roman" w:cs="Times New Roman"/>
                                <w:sz w:val="24"/>
                                <w:lang w:val="uk-UA"/>
                              </w:rPr>
                              <w:t>Підтримка цільових таргетів</w:t>
                            </w:r>
                          </w:p>
                        </w:txbxContent>
                      </v:textbox>
                    </v:shape>
                    <v:shape id="AutoShape 610" o:spid="_x0000_s1068" type="#_x0000_t32" style="position:absolute;left:7359;top:8150;width:32;height:24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">
                      <v:stroke endarrow="block"/>
                    </v:shape>
                    <v:shape id="Text Box 611" o:spid="_x0000_s1069" type="#_x0000_t202" style="position:absolute;left:17557;top:9565;width:22771;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">
                      <v:textbox>
                        <w:txbxContent>
                          <w:p w14:paraId="6730BFE4" w14:textId="2F4731A5" w:rsidR="009C6463" w:rsidRPr="007A3794" w:rsidRDefault="009C6463" w:rsidP="009C6463">
                            <w:pPr>
                              <w:rPr>
                                <w:rFonts w:ascii="Times New Roman" w:hAnsi="Times New Roman" w:cs="Times New Roman"/>
                                <w:sz w:val="24"/>
                                <w:lang w:val="uk-UA"/>
                              </w:rPr>
                            </w:pPr>
                            <w:r>
                              <w:rPr>
                                <w:rFonts w:ascii="Times New Roman" w:hAnsi="Times New Roman" w:cs="Times New Roman"/>
                                <w:sz w:val="24"/>
                                <w:lang w:val="uk-UA"/>
                              </w:rPr>
                              <w:t>Ліквідності</w:t>
                            </w:r>
                          </w:p>
                        </w:txbxContent>
                      </v:textbox>
                    </v:shape>
                    <v:shape id="Text Box 613" o:spid="_x0000_s1070" type="#_x0000_t202" style="position:absolute;left:17557;top:12498;width:22771;height:2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">
                      <v:textbox>
                        <w:txbxContent>
                          <w:p w14:paraId="7E79DEF9" w14:textId="09D68546" w:rsidR="009C6463" w:rsidRPr="007A3794" w:rsidRDefault="00861977" w:rsidP="009C6463">
                            <w:pPr>
                              <w:rPr>
                                <w:rFonts w:ascii="Times New Roman" w:hAnsi="Times New Roman" w:cs="Times New Roman"/>
                                <w:sz w:val="24"/>
                                <w:lang w:val="uk-UA"/>
                              </w:rPr>
                            </w:pPr>
                            <w:r>
                              <w:rPr>
                                <w:rFonts w:ascii="Times New Roman" w:hAnsi="Times New Roman" w:cs="Times New Roman"/>
                                <w:sz w:val="24"/>
                                <w:lang w:val="uk-UA"/>
                              </w:rPr>
                              <w:t>Капіталізації</w:t>
                            </w:r>
                          </w:p>
                        </w:txbxContent>
                      </v:textbox>
                    </v:shape>
                    <v:shape id="Text Box 615" o:spid="_x0000_s1071" type="#_x0000_t202" style="position:absolute;left:17557;top:15399;width:22771;height:2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">
                      <v:textbox>
                        <w:txbxContent>
                          <w:p w14:paraId="5AD19AF0" w14:textId="48EE486A" w:rsidR="009C6463" w:rsidRPr="007A3794" w:rsidRDefault="00861977" w:rsidP="009C6463">
                            <w:pPr>
                              <w:spacing w:after="0" w:line="240" w:lineRule="auto"/>
                              <w:rPr>
                                <w:rFonts w:ascii="Times New Roman" w:hAnsi="Times New Roman" w:cs="Times New Roman"/>
                                <w:sz w:val="24"/>
                                <w:lang w:val="uk-UA"/>
                              </w:rPr>
                            </w:pPr>
                            <w:r>
                              <w:rPr>
                                <w:rFonts w:ascii="Times New Roman" w:hAnsi="Times New Roman" w:cs="Times New Roman"/>
                                <w:sz w:val="24"/>
                                <w:lang w:val="uk-UA"/>
                              </w:rPr>
                              <w:t>Рівня ризиків</w:t>
                            </w:r>
                          </w:p>
                        </w:txbxContent>
                      </v:textbox>
                    </v:shape>
                    <v:shape id="AutoShape 625" o:spid="_x0000_s1072" type="#_x0000_t32" style="position:absolute;left:7326;top:3918;width:6;height:1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">
                      <v:stroke endarrow="block"/>
                    </v:shape>
                    <v:shape id="AutoShape 626" o:spid="_x0000_s1073" type="#_x0000_t32" style="position:absolute;left:20388;top:2721;width:7;height:12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"/>
                    <v:shape id="AutoShape 627" o:spid="_x0000_s1074" type="#_x0000_t32" style="position:absolute;left:7326;top:3918;width:2301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"/>
                    <v:shape id="AutoShape 628" o:spid="_x0000_s1075" type="#_x0000_t32" style="position:absolute;left:30213;top:3810;width:152;height:17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">
                      <v:stroke endarrow="block"/>
                    </v:shape>
                    <v:shape id="Text Box 630" o:spid="_x0000_s1076" type="#_x0000_t202" style="position:absolute;left:32;width:40329;height:2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">
                      <v:textbox>
                        <w:txbxContent>
                          <w:p w14:paraId="3DFF974C" w14:textId="77777777" w:rsidR="009C6463" w:rsidRPr="0074000E" w:rsidRDefault="009C6463" w:rsidP="009C6463">
                            <w:pPr>
                              <w:spacing w:after="0" w:line="240" w:lineRule="auto"/>
                              <w:jc w:val="center"/>
                              <w:rPr>
                                <w:rFonts w:ascii="Times New Roman" w:hAnsi="Times New Roman" w:cs="Times New Roman"/>
                                <w:sz w:val="24"/>
                              </w:rPr>
                            </w:pPr>
                            <w:r w:rsidRPr="0074000E">
                              <w:rPr>
                                <w:rFonts w:ascii="Times New Roman" w:hAnsi="Times New Roman" w:cs="Times New Roman"/>
                                <w:sz w:val="24"/>
                                <w:lang w:val="uk-UA"/>
                              </w:rPr>
                              <w:t>Кількісний підхід</w:t>
                            </w:r>
                          </w:p>
                        </w:txbxContent>
                      </v:textbox>
                    </v:shape>
                    <v:shape id="Text Box 906" o:spid="_x0000_s1077" type="#_x0000_t202" style="position:absolute;left:17557;top:18146;width:22771;height:2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">
                      <v:textbox>
                        <w:txbxContent>
                          <w:p w14:paraId="54F6AC34" w14:textId="77777777" w:rsidR="00861977" w:rsidRPr="007A3794" w:rsidRDefault="00861977" w:rsidP="009C6463">
                            <w:pPr>
                              <w:rPr>
                                <w:rFonts w:ascii="Times New Roman" w:hAnsi="Times New Roman" w:cs="Times New Roman"/>
                                <w:sz w:val="24"/>
                                <w:lang w:val="uk-UA"/>
                              </w:rPr>
                            </w:pPr>
                            <w:r>
                              <w:rPr>
                                <w:rFonts w:ascii="Times New Roman" w:hAnsi="Times New Roman" w:cs="Times New Roman"/>
                                <w:sz w:val="24"/>
                                <w:lang w:val="uk-UA"/>
                              </w:rPr>
                              <w:t>Ефективності</w:t>
                            </w:r>
                          </w:p>
                        </w:txbxContent>
                      </v:textbox>
                    </v:shape>
                  </v:group>
                </v:group>
              </v:group>
            </w:pict>
          </mc:Fallback>
        </mc:AlternateContent>
      </w:r>
    </w:p>
    <w:p w14:paraId="0D45F32B" w14:textId="18DC66B3" w:rsidR="009C6463" w:rsidRPr="00F00EB0" w:rsidRDefault="00ED46A7" w:rsidP="009C6463">
      <w:pPr>
        <w:spacing w:after="0" w:line="360" w:lineRule="auto"/>
        <w:ind w:firstLine="709"/>
        <w:jc w:val="both"/>
        <w:rPr>
          <w:rFonts w:ascii="Times New Roman" w:hAnsi="Times New Roman" w:cs="Times New Roman"/>
          <w:color w:val="000000" w:themeColor="text1"/>
          <w:sz w:val="28"/>
          <w:lang w:val="uk-UA"/>
        </w:rPr>
      </w:pPr>
      <w:r w:rsidRPr="00F00EB0">
        <w:rPr>
          <w:rFonts w:ascii="Times New Roman" w:hAnsi="Times New Roman" w:cs="Times New Roman"/>
          <w:noProof/>
          <w:color w:val="000000" w:themeColor="text1"/>
          <w:sz w:val="28"/>
          <w:lang w:eastAsia="ru-RU"/>
        </w:rPr>
        <mc:AlternateContent>
          <mc:Choice Requires="wps">
            <w:drawing>
              <wp:anchor distT="0" distB="0" distL="114300" distR="114300" simplePos="0" relativeHeight="251667968" behindDoc="1" locked="0" layoutInCell="1" allowOverlap="1" wp14:anchorId="241EA13A" wp14:editId="5A64712C">
                <wp:simplePos x="0" y="0"/>
                <wp:positionH relativeFrom="column">
                  <wp:posOffset>3245394</wp:posOffset>
                </wp:positionH>
                <wp:positionV relativeFrom="paragraph">
                  <wp:posOffset>216444</wp:posOffset>
                </wp:positionV>
                <wp:extent cx="3382645" cy="635"/>
                <wp:effectExtent l="0" t="0" r="27305" b="37465"/>
                <wp:wrapNone/>
                <wp:docPr id="1497293270" name="AutoShape 6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8264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5824C79" id="AutoShape 629" o:spid="_x0000_s1026" type="#_x0000_t32" style="position:absolute;margin-left:255.55pt;margin-top:17.05pt;width:266.35pt;height:.05pt;z-index:-251580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"/>
            </w:pict>
          </mc:Fallback>
        </mc:AlternateContent>
      </w:r>
    </w:p>
    <w:p w14:paraId="4F8E5EE9" w14:textId="709F6F94" w:rsidR="009C6463" w:rsidRPr="00F00EB0" w:rsidRDefault="009C6463" w:rsidP="009C6463">
      <w:pPr>
        <w:spacing w:after="0" w:line="360" w:lineRule="auto"/>
        <w:ind w:firstLine="709"/>
        <w:jc w:val="both"/>
        <w:rPr>
          <w:rFonts w:ascii="Times New Roman" w:hAnsi="Times New Roman" w:cs="Times New Roman"/>
          <w:color w:val="000000" w:themeColor="text1"/>
          <w:sz w:val="28"/>
          <w:lang w:val="uk-UA"/>
        </w:rPr>
      </w:pPr>
    </w:p>
    <w:p w14:paraId="23DBE384" w14:textId="3576E006" w:rsidR="009C6463" w:rsidRPr="00F00EB0" w:rsidRDefault="009C6463" w:rsidP="009C6463">
      <w:pPr>
        <w:spacing w:after="0" w:line="360" w:lineRule="auto"/>
        <w:ind w:firstLine="709"/>
        <w:jc w:val="both"/>
        <w:rPr>
          <w:rFonts w:ascii="Times New Roman" w:hAnsi="Times New Roman" w:cs="Times New Roman"/>
          <w:color w:val="000000" w:themeColor="text1"/>
          <w:sz w:val="28"/>
          <w:lang w:val="uk-UA"/>
        </w:rPr>
      </w:pPr>
    </w:p>
    <w:p w14:paraId="45B414BF" w14:textId="5A383E6F" w:rsidR="009C6463" w:rsidRPr="00F00EB0" w:rsidRDefault="00D90F03" w:rsidP="009C6463">
      <w:pPr>
        <w:spacing w:after="0" w:line="360" w:lineRule="auto"/>
        <w:ind w:firstLine="709"/>
        <w:jc w:val="both"/>
        <w:rPr>
          <w:rFonts w:ascii="Times New Roman" w:hAnsi="Times New Roman" w:cs="Times New Roman"/>
          <w:color w:val="000000" w:themeColor="text1"/>
          <w:sz w:val="28"/>
          <w:lang w:val="uk-UA"/>
        </w:rPr>
      </w:pPr>
      <w:r w:rsidRPr="00F00EB0">
        <w:rPr>
          <w:rFonts w:ascii="Times New Roman" w:hAnsi="Times New Roman" w:cs="Times New Roman"/>
          <w:noProof/>
          <w:color w:val="000000" w:themeColor="text1"/>
          <w:sz w:val="28"/>
          <w:lang w:eastAsia="ru-RU"/>
        </w:rPr>
        <mc:AlternateContent>
          <mc:Choice Requires="wps">
            <w:drawing>
              <wp:anchor distT="0" distB="0" distL="114300" distR="114300" simplePos="0" relativeHeight="251666944" behindDoc="1" locked="0" layoutInCell="1" allowOverlap="1" wp14:anchorId="3228BC0F" wp14:editId="52B08ED5">
                <wp:simplePos x="0" y="0"/>
                <wp:positionH relativeFrom="column">
                  <wp:posOffset>5184140</wp:posOffset>
                </wp:positionH>
                <wp:positionV relativeFrom="paragraph">
                  <wp:posOffset>60325</wp:posOffset>
                </wp:positionV>
                <wp:extent cx="1664335" cy="269240"/>
                <wp:effectExtent l="7620" t="6985" r="13970" b="9525"/>
                <wp:wrapNone/>
                <wp:docPr id="1329173028" name="Text Box 6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4335" cy="269240"/>
                        </a:xfrm>
                        <a:prstGeom prst="rect">
                          <a:avLst/>
                        </a:prstGeom>
                        <a:solidFill>
                          <a:srgbClr val="FFFFFF"/>
                        </a:solidFill>
                        <a:ln w="9525">
                          <a:solidFill>
                            <a:srgbClr val="000000"/>
                          </a:solidFill>
                          <a:miter lim="800000"/>
                          <a:headEnd/>
                          <a:tailEnd/>
                        </a:ln>
                      </wps:spPr>
                      <wps:txbx>
                        <w:txbxContent>
                          <w:p w14:paraId="4C2C963F" w14:textId="77777777" w:rsidR="009C6463" w:rsidRPr="00F82BD3" w:rsidRDefault="009C6463" w:rsidP="009C6463">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Відповідність нормам</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28BC0F" id="Text Box 609" o:spid="_x0000_s1078" type="#_x0000_t202" style="position:absolute;left:0;text-align:left;margin-left:408.2pt;margin-top:4.75pt;width:131.05pt;height:21.2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">
                <v:textbox>
                  <w:txbxContent>
                    <w:p w14:paraId="4C2C963F" w14:textId="77777777" w:rsidR="009C6463" w:rsidRPr="00F82BD3" w:rsidRDefault="009C6463" w:rsidP="009C6463">
                      <w:pPr>
                        <w:spacing w:after="0" w:line="240" w:lineRule="auto"/>
                        <w:jc w:val="center"/>
                        <w:rPr>
                          <w:rFonts w:ascii="Times New Roman" w:hAnsi="Times New Roman" w:cs="Times New Roman"/>
                          <w:sz w:val="24"/>
                          <w:lang w:val="uk-UA"/>
                        </w:rPr>
                      </w:pPr>
                      <w:r>
                        <w:rPr>
                          <w:rFonts w:ascii="Times New Roman" w:hAnsi="Times New Roman" w:cs="Times New Roman"/>
                          <w:sz w:val="24"/>
                          <w:lang w:val="uk-UA"/>
                        </w:rPr>
                        <w:t>Відповідність нормам</w:t>
                      </w:r>
                    </w:p>
                  </w:txbxContent>
                </v:textbox>
              </v:shape>
            </w:pict>
          </mc:Fallback>
        </mc:AlternateContent>
      </w:r>
    </w:p>
    <w:p w14:paraId="288CBC67" w14:textId="1BC6F3B5" w:rsidR="009C6463" w:rsidRPr="00F00EB0" w:rsidRDefault="0044365F" w:rsidP="009C6463">
      <w:pPr>
        <w:spacing w:after="0" w:line="360" w:lineRule="auto"/>
        <w:ind w:firstLine="709"/>
        <w:jc w:val="both"/>
        <w:rPr>
          <w:rFonts w:ascii="Times New Roman" w:hAnsi="Times New Roman" w:cs="Times New Roman"/>
          <w:color w:val="000000" w:themeColor="text1"/>
          <w:sz w:val="28"/>
          <w:lang w:val="uk-UA"/>
        </w:rPr>
      </w:pPr>
      <w:r w:rsidRPr="00F00EB0">
        <w:rPr>
          <w:rFonts w:ascii="Times New Roman" w:hAnsi="Times New Roman" w:cs="Times New Roman"/>
          <w:noProof/>
          <w:color w:val="000000" w:themeColor="text1"/>
          <w:sz w:val="28"/>
          <w:lang w:eastAsia="ru-RU"/>
        </w:rPr>
        <mc:AlternateContent>
          <mc:Choice Requires="wps">
            <w:drawing>
              <wp:anchor distT="0" distB="0" distL="114300" distR="114300" simplePos="0" relativeHeight="251668992" behindDoc="1" locked="0" layoutInCell="1" allowOverlap="1" wp14:anchorId="3A802672" wp14:editId="4ADD2767">
                <wp:simplePos x="0" y="0"/>
                <wp:positionH relativeFrom="column">
                  <wp:posOffset>2229848</wp:posOffset>
                </wp:positionH>
                <wp:positionV relativeFrom="paragraph">
                  <wp:posOffset>44813</wp:posOffset>
                </wp:positionV>
                <wp:extent cx="340995" cy="4990465"/>
                <wp:effectExtent l="0" t="635" r="20320" b="20320"/>
                <wp:wrapNone/>
                <wp:docPr id="780574246"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340995" cy="4990465"/>
                        </a:xfrm>
                        <a:prstGeom prst="leftBrace">
                          <a:avLst>
                            <a:gd name="adj1" fmla="val 12195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FEEC06A"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587" o:spid="_x0000_s1026" type="#_x0000_t87" style="position:absolute;margin-left:175.6pt;margin-top:3.55pt;width:26.85pt;height:392.95pt;rotation:-90;z-index:-251571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"/>
            </w:pict>
          </mc:Fallback>
        </mc:AlternateContent>
      </w:r>
    </w:p>
    <w:p w14:paraId="3A248D2A" w14:textId="57828F8F" w:rsidR="009C6463" w:rsidRPr="00F00EB0" w:rsidRDefault="0044365F" w:rsidP="009C6463">
      <w:pPr>
        <w:spacing w:after="0" w:line="360" w:lineRule="auto"/>
        <w:ind w:firstLine="709"/>
        <w:jc w:val="both"/>
        <w:rPr>
          <w:rFonts w:ascii="Times New Roman" w:hAnsi="Times New Roman" w:cs="Times New Roman"/>
          <w:color w:val="000000" w:themeColor="text1"/>
          <w:sz w:val="28"/>
          <w:lang w:val="uk-UA"/>
        </w:rPr>
      </w:pPr>
      <w:r w:rsidRPr="00F00EB0">
        <w:rPr>
          <w:rFonts w:ascii="Times New Roman" w:hAnsi="Times New Roman" w:cs="Times New Roman"/>
          <w:noProof/>
          <w:color w:val="000000" w:themeColor="text1"/>
          <w:sz w:val="28"/>
          <w:lang w:eastAsia="ru-RU"/>
        </w:rPr>
        <mc:AlternateContent>
          <mc:Choice Requires="wps">
            <w:drawing>
              <wp:anchor distT="0" distB="0" distL="114300" distR="114300" simplePos="0" relativeHeight="251670016" behindDoc="1" locked="0" layoutInCell="1" allowOverlap="1" wp14:anchorId="46CA5430" wp14:editId="213D7588">
                <wp:simplePos x="0" y="0"/>
                <wp:positionH relativeFrom="column">
                  <wp:posOffset>6681153</wp:posOffset>
                </wp:positionH>
                <wp:positionV relativeFrom="paragraph">
                  <wp:posOffset>271825</wp:posOffset>
                </wp:positionV>
                <wp:extent cx="340995" cy="3923030"/>
                <wp:effectExtent l="0" t="317" r="20637" b="20638"/>
                <wp:wrapNone/>
                <wp:docPr id="1318364059" name="AutoShape 5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340995" cy="3923030"/>
                        </a:xfrm>
                        <a:prstGeom prst="leftBrace">
                          <a:avLst>
                            <a:gd name="adj1" fmla="val 9587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5FB3C2B" id="AutoShape 588" o:spid="_x0000_s1026" type="#_x0000_t87" style="position:absolute;margin-left:526.1pt;margin-top:21.4pt;width:26.85pt;height:308.9pt;rotation:-90;z-index:-251570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"/>
            </w:pict>
          </mc:Fallback>
        </mc:AlternateContent>
      </w:r>
    </w:p>
    <w:p w14:paraId="2748649E" w14:textId="520DC00E" w:rsidR="009C6463" w:rsidRPr="00F00EB0" w:rsidRDefault="009C6463" w:rsidP="009C6463">
      <w:pPr>
        <w:spacing w:after="0" w:line="360" w:lineRule="auto"/>
        <w:ind w:firstLine="709"/>
        <w:jc w:val="both"/>
        <w:rPr>
          <w:rFonts w:ascii="Times New Roman" w:hAnsi="Times New Roman" w:cs="Times New Roman"/>
          <w:color w:val="000000" w:themeColor="text1"/>
          <w:sz w:val="28"/>
          <w:lang w:val="uk-UA"/>
        </w:rPr>
      </w:pPr>
    </w:p>
    <w:p w14:paraId="1F48CB81" w14:textId="2AA2A029" w:rsidR="009C6463" w:rsidRPr="00F00EB0" w:rsidRDefault="009C6463" w:rsidP="009C6463">
      <w:pPr>
        <w:spacing w:after="0" w:line="360" w:lineRule="auto"/>
        <w:ind w:firstLine="709"/>
        <w:jc w:val="both"/>
        <w:rPr>
          <w:rFonts w:ascii="Times New Roman" w:hAnsi="Times New Roman" w:cs="Times New Roman"/>
          <w:color w:val="000000" w:themeColor="text1"/>
          <w:sz w:val="28"/>
          <w:lang w:val="uk-UA"/>
        </w:rPr>
      </w:pPr>
    </w:p>
    <w:p w14:paraId="46B3DFFE" w14:textId="392A37F8" w:rsidR="009C6463" w:rsidRPr="00F00EB0" w:rsidRDefault="009C6463" w:rsidP="009C6463">
      <w:pPr>
        <w:tabs>
          <w:tab w:val="left" w:pos="1755"/>
        </w:tabs>
        <w:spacing w:after="0" w:line="360" w:lineRule="auto"/>
        <w:ind w:firstLine="709"/>
        <w:jc w:val="both"/>
        <w:rPr>
          <w:rFonts w:ascii="Times New Roman" w:hAnsi="Times New Roman" w:cs="Times New Roman"/>
          <w:color w:val="000000" w:themeColor="text1"/>
          <w:sz w:val="28"/>
          <w:lang w:val="uk-UA"/>
        </w:rPr>
      </w:pPr>
      <w:r w:rsidRPr="00F00EB0">
        <w:rPr>
          <w:rFonts w:ascii="Times New Roman" w:hAnsi="Times New Roman" w:cs="Times New Roman"/>
          <w:color w:val="000000" w:themeColor="text1"/>
          <w:sz w:val="28"/>
          <w:lang w:val="uk-UA"/>
        </w:rPr>
        <w:tab/>
      </w:r>
    </w:p>
    <w:p w14:paraId="7DA4DBBA" w14:textId="4E9E6FE2" w:rsidR="009C6463" w:rsidRPr="00F00EB0" w:rsidRDefault="009C6463" w:rsidP="009C6463">
      <w:pPr>
        <w:spacing w:after="0" w:line="360" w:lineRule="auto"/>
        <w:ind w:firstLine="709"/>
        <w:jc w:val="both"/>
        <w:rPr>
          <w:rFonts w:ascii="Times New Roman" w:hAnsi="Times New Roman" w:cs="Times New Roman"/>
          <w:color w:val="000000" w:themeColor="text1"/>
          <w:sz w:val="28"/>
          <w:lang w:val="uk-UA"/>
        </w:rPr>
      </w:pPr>
    </w:p>
    <w:p w14:paraId="388E6136" w14:textId="49CD7F1A" w:rsidR="009C6463" w:rsidRPr="00F00EB0" w:rsidRDefault="009C6463" w:rsidP="009C6463">
      <w:pPr>
        <w:spacing w:after="0" w:line="360" w:lineRule="auto"/>
        <w:ind w:firstLine="709"/>
        <w:jc w:val="both"/>
        <w:rPr>
          <w:rFonts w:ascii="Times New Roman" w:hAnsi="Times New Roman" w:cs="Times New Roman"/>
          <w:color w:val="000000" w:themeColor="text1"/>
          <w:sz w:val="28"/>
          <w:lang w:val="uk-UA"/>
        </w:rPr>
      </w:pPr>
    </w:p>
    <w:p w14:paraId="49342B29" w14:textId="547503A1" w:rsidR="009C6463" w:rsidRPr="00F00EB0" w:rsidRDefault="009C6463" w:rsidP="009C6463">
      <w:pPr>
        <w:spacing w:after="0" w:line="360" w:lineRule="auto"/>
        <w:ind w:firstLine="709"/>
        <w:jc w:val="both"/>
        <w:rPr>
          <w:rFonts w:ascii="Times New Roman" w:hAnsi="Times New Roman" w:cs="Times New Roman"/>
          <w:color w:val="000000" w:themeColor="text1"/>
          <w:sz w:val="28"/>
          <w:lang w:val="uk-UA"/>
        </w:rPr>
      </w:pPr>
    </w:p>
    <w:p w14:paraId="716895DD" w14:textId="66B3E892" w:rsidR="009C6463" w:rsidRPr="00F00EB0" w:rsidRDefault="0044365F" w:rsidP="009C6463">
      <w:pPr>
        <w:spacing w:after="0" w:line="360" w:lineRule="auto"/>
        <w:ind w:firstLine="709"/>
        <w:jc w:val="both"/>
        <w:rPr>
          <w:rFonts w:ascii="Times New Roman" w:hAnsi="Times New Roman" w:cs="Times New Roman"/>
          <w:color w:val="000000" w:themeColor="text1"/>
          <w:sz w:val="28"/>
          <w:lang w:val="uk-UA"/>
        </w:rPr>
      </w:pPr>
      <w:r w:rsidRPr="00F00EB0">
        <w:rPr>
          <w:rFonts w:ascii="Times New Roman" w:hAnsi="Times New Roman" w:cs="Times New Roman"/>
          <w:noProof/>
          <w:color w:val="000000" w:themeColor="text1"/>
          <w:sz w:val="28"/>
          <w:lang w:eastAsia="ru-RU"/>
        </w:rPr>
        <mc:AlternateContent>
          <mc:Choice Requires="wps">
            <w:drawing>
              <wp:anchor distT="0" distB="0" distL="114300" distR="114300" simplePos="0" relativeHeight="251671040" behindDoc="1" locked="0" layoutInCell="1" allowOverlap="1" wp14:anchorId="6177DF3F" wp14:editId="4DD2B773">
                <wp:simplePos x="0" y="0"/>
                <wp:positionH relativeFrom="column">
                  <wp:posOffset>-49983</wp:posOffset>
                </wp:positionH>
                <wp:positionV relativeFrom="paragraph">
                  <wp:posOffset>257266</wp:posOffset>
                </wp:positionV>
                <wp:extent cx="4267200" cy="909320"/>
                <wp:effectExtent l="0" t="0" r="19050" b="24130"/>
                <wp:wrapNone/>
                <wp:docPr id="2099900412" name="Text Box 5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909320"/>
                        </a:xfrm>
                        <a:prstGeom prst="rect">
                          <a:avLst/>
                        </a:prstGeom>
                        <a:solidFill>
                          <a:srgbClr val="FFFFFF"/>
                        </a:solidFill>
                        <a:ln w="9525">
                          <a:solidFill>
                            <a:srgbClr val="000000"/>
                          </a:solidFill>
                          <a:miter lim="800000"/>
                          <a:headEnd/>
                          <a:tailEnd/>
                        </a:ln>
                      </wps:spPr>
                      <wps:txbx>
                        <w:txbxContent>
                          <w:p w14:paraId="2869E828" w14:textId="408A7432" w:rsidR="009C6463" w:rsidRPr="0074000E" w:rsidRDefault="009C6463" w:rsidP="00ED46A7">
                            <w:pPr>
                              <w:spacing w:line="216" w:lineRule="auto"/>
                              <w:jc w:val="both"/>
                              <w:rPr>
                                <w:rFonts w:ascii="Times New Roman" w:hAnsi="Times New Roman" w:cs="Times New Roman"/>
                                <w:sz w:val="24"/>
                              </w:rPr>
                            </w:pPr>
                            <w:r w:rsidRPr="0074000E">
                              <w:rPr>
                                <w:rFonts w:ascii="Times New Roman" w:hAnsi="Times New Roman" w:cs="Times New Roman"/>
                                <w:sz w:val="24"/>
                                <w:lang w:val="uk-UA"/>
                              </w:rPr>
                              <w:t>Фінансова стійкість банк</w:t>
                            </w:r>
                            <w:r>
                              <w:rPr>
                                <w:rFonts w:ascii="Times New Roman" w:hAnsi="Times New Roman" w:cs="Times New Roman"/>
                                <w:sz w:val="24"/>
                                <w:lang w:val="uk-UA"/>
                              </w:rPr>
                              <w:t xml:space="preserve">у </w:t>
                            </w:r>
                            <w:r w:rsidRPr="0074000E">
                              <w:rPr>
                                <w:rFonts w:ascii="Times New Roman" w:hAnsi="Times New Roman" w:cs="Times New Roman"/>
                                <w:sz w:val="24"/>
                                <w:lang w:val="uk-UA"/>
                              </w:rPr>
                              <w:t xml:space="preserve">– це </w:t>
                            </w:r>
                            <w:r w:rsidR="00C6491F">
                              <w:rPr>
                                <w:rFonts w:ascii="Times New Roman" w:hAnsi="Times New Roman" w:cs="Times New Roman"/>
                                <w:sz w:val="24"/>
                                <w:lang w:val="uk-UA"/>
                              </w:rPr>
                              <w:t xml:space="preserve">здатність </w:t>
                            </w:r>
                            <w:r w:rsidR="00C6491F" w:rsidRPr="00C6491F">
                              <w:rPr>
                                <w:rFonts w:ascii="Times New Roman" w:hAnsi="Times New Roman" w:cs="Times New Roman"/>
                                <w:sz w:val="24"/>
                                <w:lang w:val="uk-UA"/>
                              </w:rPr>
                              <w:t>протистояти потрясінням та усуненню фінансових дисбалансів, що виникають ендогенно або в результаті значних несприятливих і непередбачених подій, та підтримувати фінансову рівновагу</w:t>
                            </w:r>
                          </w:p>
                        </w:txbxContent>
                      </wps:txbx>
                      <wps:bodyPr rot="0" vert="horz" wrap="square" lIns="91440" tIns="45720" rIns="91440" bIns="45720" anchor="t" anchorCtr="0" upright="1">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177DF3F" id="Text Box 589" o:spid="_x0000_s1079" type="#_x0000_t202" style="position:absolute;left:0;text-align:left;margin-left:-3.95pt;margin-top:20.25pt;width:336pt;height:71.6pt;z-index:-251569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">
                <v:textbox>
                  <w:txbxContent>
                    <w:p w14:paraId="2869E828" w14:textId="408A7432" w:rsidR="009C6463" w:rsidRPr="0074000E" w:rsidRDefault="009C6463" w:rsidP="00ED46A7">
                      <w:pPr>
                        <w:spacing w:line="216" w:lineRule="auto"/>
                        <w:jc w:val="both"/>
                        <w:rPr>
                          <w:rFonts w:ascii="Times New Roman" w:hAnsi="Times New Roman" w:cs="Times New Roman"/>
                          <w:sz w:val="24"/>
                        </w:rPr>
                      </w:pPr>
                      <w:r w:rsidRPr="0074000E">
                        <w:rPr>
                          <w:rFonts w:ascii="Times New Roman" w:hAnsi="Times New Roman" w:cs="Times New Roman"/>
                          <w:sz w:val="24"/>
                          <w:lang w:val="uk-UA"/>
                        </w:rPr>
                        <w:t>Фінансова стійкість банк</w:t>
                      </w:r>
                      <w:r>
                        <w:rPr>
                          <w:rFonts w:ascii="Times New Roman" w:hAnsi="Times New Roman" w:cs="Times New Roman"/>
                          <w:sz w:val="24"/>
                          <w:lang w:val="uk-UA"/>
                        </w:rPr>
                        <w:t xml:space="preserve">у </w:t>
                      </w:r>
                      <w:r w:rsidRPr="0074000E">
                        <w:rPr>
                          <w:rFonts w:ascii="Times New Roman" w:hAnsi="Times New Roman" w:cs="Times New Roman"/>
                          <w:sz w:val="24"/>
                          <w:lang w:val="uk-UA"/>
                        </w:rPr>
                        <w:t xml:space="preserve">– це </w:t>
                      </w:r>
                      <w:r w:rsidR="00C6491F">
                        <w:rPr>
                          <w:rFonts w:ascii="Times New Roman" w:hAnsi="Times New Roman" w:cs="Times New Roman"/>
                          <w:sz w:val="24"/>
                          <w:lang w:val="uk-UA"/>
                        </w:rPr>
                        <w:t xml:space="preserve">здатність </w:t>
                      </w:r>
                      <w:r w:rsidR="00C6491F" w:rsidRPr="00C6491F">
                        <w:rPr>
                          <w:rFonts w:ascii="Times New Roman" w:hAnsi="Times New Roman" w:cs="Times New Roman"/>
                          <w:sz w:val="24"/>
                          <w:lang w:val="uk-UA"/>
                        </w:rPr>
                        <w:t>протистояти потрясінням та усуненню фінансових дисбалансів, що виникають ендогенно або в результаті значних несприятливих і непередбачених подій, та підтримувати фінансову рівновагу</w:t>
                      </w:r>
                    </w:p>
                  </w:txbxContent>
                </v:textbox>
              </v:shape>
            </w:pict>
          </mc:Fallback>
        </mc:AlternateContent>
      </w:r>
      <w:r w:rsidRPr="00F00EB0">
        <w:rPr>
          <w:rFonts w:ascii="Times New Roman" w:hAnsi="Times New Roman" w:cs="Times New Roman"/>
          <w:noProof/>
          <w:color w:val="000000" w:themeColor="text1"/>
          <w:sz w:val="28"/>
          <w:lang w:eastAsia="ru-RU"/>
        </w:rPr>
        <mc:AlternateContent>
          <mc:Choice Requires="wps">
            <w:drawing>
              <wp:anchor distT="0" distB="0" distL="114300" distR="114300" simplePos="0" relativeHeight="251673088" behindDoc="1" locked="0" layoutInCell="1" allowOverlap="1" wp14:anchorId="1EEE1CCE" wp14:editId="27D496D6">
                <wp:simplePos x="0" y="0"/>
                <wp:positionH relativeFrom="column">
                  <wp:posOffset>4282531</wp:posOffset>
                </wp:positionH>
                <wp:positionV relativeFrom="paragraph">
                  <wp:posOffset>257266</wp:posOffset>
                </wp:positionV>
                <wp:extent cx="4821555" cy="904240"/>
                <wp:effectExtent l="0" t="0" r="17145" b="10160"/>
                <wp:wrapNone/>
                <wp:docPr id="1404001212" name="Text Box 5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1555" cy="904240"/>
                        </a:xfrm>
                        <a:prstGeom prst="rect">
                          <a:avLst/>
                        </a:prstGeom>
                        <a:solidFill>
                          <a:srgbClr val="FFFFFF"/>
                        </a:solidFill>
                        <a:ln w="9525">
                          <a:solidFill>
                            <a:srgbClr val="000000"/>
                          </a:solidFill>
                          <a:miter lim="800000"/>
                          <a:headEnd/>
                          <a:tailEnd/>
                        </a:ln>
                      </wps:spPr>
                      <wps:txbx>
                        <w:txbxContent>
                          <w:p w14:paraId="3E5EE61C" w14:textId="4ACF23D1" w:rsidR="009C6463" w:rsidRPr="0074000E" w:rsidRDefault="009C6463" w:rsidP="00ED46A7">
                            <w:pPr>
                              <w:spacing w:line="216" w:lineRule="auto"/>
                              <w:jc w:val="both"/>
                              <w:rPr>
                                <w:rFonts w:ascii="Times New Roman" w:hAnsi="Times New Roman" w:cs="Times New Roman"/>
                                <w:sz w:val="24"/>
                                <w:lang w:val="uk-UA"/>
                              </w:rPr>
                            </w:pPr>
                            <w:r w:rsidRPr="0074000E">
                              <w:rPr>
                                <w:rFonts w:ascii="Times New Roman" w:hAnsi="Times New Roman" w:cs="Times New Roman"/>
                                <w:sz w:val="24"/>
                                <w:lang w:val="uk-UA"/>
                              </w:rPr>
                              <w:t>Фінансова стійкість банк</w:t>
                            </w:r>
                            <w:r>
                              <w:rPr>
                                <w:rFonts w:ascii="Times New Roman" w:hAnsi="Times New Roman" w:cs="Times New Roman"/>
                                <w:sz w:val="24"/>
                                <w:lang w:val="uk-UA"/>
                              </w:rPr>
                              <w:t xml:space="preserve">у – </w:t>
                            </w:r>
                            <w:r w:rsidRPr="0074000E">
                              <w:rPr>
                                <w:rFonts w:ascii="Times New Roman" w:hAnsi="Times New Roman" w:cs="Times New Roman"/>
                                <w:sz w:val="24"/>
                                <w:lang w:val="uk-UA"/>
                              </w:rPr>
                              <w:t xml:space="preserve">це структурне поняття, що характеризується системою показників, які свідчать про ефективне використання наявних ресурсів та виконання покладених на </w:t>
                            </w:r>
                            <w:r>
                              <w:rPr>
                                <w:rFonts w:ascii="Times New Roman" w:hAnsi="Times New Roman" w:cs="Times New Roman"/>
                                <w:sz w:val="24"/>
                                <w:lang w:val="uk-UA"/>
                              </w:rPr>
                              <w:t>нього</w:t>
                            </w:r>
                            <w:r w:rsidRPr="0074000E">
                              <w:rPr>
                                <w:rFonts w:ascii="Times New Roman" w:hAnsi="Times New Roman" w:cs="Times New Roman"/>
                                <w:sz w:val="24"/>
                                <w:lang w:val="uk-UA"/>
                              </w:rPr>
                              <w:t xml:space="preserve"> функцій, при цьому ці показники </w:t>
                            </w:r>
                            <w:r>
                              <w:rPr>
                                <w:rFonts w:ascii="Times New Roman" w:hAnsi="Times New Roman" w:cs="Times New Roman"/>
                                <w:sz w:val="24"/>
                                <w:lang w:val="uk-UA"/>
                              </w:rPr>
                              <w:t xml:space="preserve">мають </w:t>
                            </w:r>
                            <w:r w:rsidR="00861977">
                              <w:rPr>
                                <w:rFonts w:ascii="Times New Roman" w:hAnsi="Times New Roman" w:cs="Times New Roman"/>
                                <w:sz w:val="24"/>
                                <w:lang w:val="uk-UA"/>
                              </w:rPr>
                              <w:t xml:space="preserve"> як </w:t>
                            </w:r>
                            <w:r>
                              <w:rPr>
                                <w:rFonts w:ascii="Times New Roman" w:hAnsi="Times New Roman" w:cs="Times New Roman"/>
                                <w:sz w:val="24"/>
                                <w:lang w:val="uk-UA"/>
                              </w:rPr>
                              <w:t xml:space="preserve">відповідати </w:t>
                            </w:r>
                            <w:r w:rsidR="00861977">
                              <w:rPr>
                                <w:rFonts w:ascii="Times New Roman" w:hAnsi="Times New Roman" w:cs="Times New Roman"/>
                                <w:sz w:val="24"/>
                                <w:lang w:val="uk-UA"/>
                              </w:rPr>
                              <w:t xml:space="preserve">регуляторним </w:t>
                            </w:r>
                            <w:r>
                              <w:rPr>
                                <w:rFonts w:ascii="Times New Roman" w:hAnsi="Times New Roman" w:cs="Times New Roman"/>
                                <w:sz w:val="24"/>
                                <w:lang w:val="uk-UA"/>
                              </w:rPr>
                              <w:t>нормам</w:t>
                            </w:r>
                            <w:r w:rsidR="00861977">
                              <w:rPr>
                                <w:rFonts w:ascii="Times New Roman" w:hAnsi="Times New Roman" w:cs="Times New Roman"/>
                                <w:sz w:val="24"/>
                                <w:lang w:val="uk-UA"/>
                              </w:rPr>
                              <w:t>, так і таргетам, визначеним стратегією та бізнес-моделлю</w:t>
                            </w:r>
                          </w:p>
                        </w:txbxContent>
                      </wps:txbx>
                      <wps:bodyPr rot="0" vert="horz" wrap="square" lIns="91440" tIns="45720" rIns="91440" bIns="45720" anchor="t" anchorCtr="0" upright="1">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EEE1CCE" id="Text Box 590" o:spid="_x0000_s1080" type="#_x0000_t202" style="position:absolute;left:0;text-align:left;margin-left:337.2pt;margin-top:20.25pt;width:379.65pt;height:71.2pt;z-index:-251567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">
                <v:textbox>
                  <w:txbxContent>
                    <w:p w14:paraId="3E5EE61C" w14:textId="4ACF23D1" w:rsidR="009C6463" w:rsidRPr="0074000E" w:rsidRDefault="009C6463" w:rsidP="00ED46A7">
                      <w:pPr>
                        <w:spacing w:line="216" w:lineRule="auto"/>
                        <w:jc w:val="both"/>
                        <w:rPr>
                          <w:rFonts w:ascii="Times New Roman" w:hAnsi="Times New Roman" w:cs="Times New Roman"/>
                          <w:sz w:val="24"/>
                          <w:lang w:val="uk-UA"/>
                        </w:rPr>
                      </w:pPr>
                      <w:r w:rsidRPr="0074000E">
                        <w:rPr>
                          <w:rFonts w:ascii="Times New Roman" w:hAnsi="Times New Roman" w:cs="Times New Roman"/>
                          <w:sz w:val="24"/>
                          <w:lang w:val="uk-UA"/>
                        </w:rPr>
                        <w:t>Фінансова стійкість банк</w:t>
                      </w:r>
                      <w:r>
                        <w:rPr>
                          <w:rFonts w:ascii="Times New Roman" w:hAnsi="Times New Roman" w:cs="Times New Roman"/>
                          <w:sz w:val="24"/>
                          <w:lang w:val="uk-UA"/>
                        </w:rPr>
                        <w:t xml:space="preserve">у – </w:t>
                      </w:r>
                      <w:r w:rsidRPr="0074000E">
                        <w:rPr>
                          <w:rFonts w:ascii="Times New Roman" w:hAnsi="Times New Roman" w:cs="Times New Roman"/>
                          <w:sz w:val="24"/>
                          <w:lang w:val="uk-UA"/>
                        </w:rPr>
                        <w:t xml:space="preserve">це структурне поняття, що характеризується системою показників, які свідчать про ефективне використання наявних ресурсів та виконання покладених на </w:t>
                      </w:r>
                      <w:r>
                        <w:rPr>
                          <w:rFonts w:ascii="Times New Roman" w:hAnsi="Times New Roman" w:cs="Times New Roman"/>
                          <w:sz w:val="24"/>
                          <w:lang w:val="uk-UA"/>
                        </w:rPr>
                        <w:t>нього</w:t>
                      </w:r>
                      <w:r w:rsidRPr="0074000E">
                        <w:rPr>
                          <w:rFonts w:ascii="Times New Roman" w:hAnsi="Times New Roman" w:cs="Times New Roman"/>
                          <w:sz w:val="24"/>
                          <w:lang w:val="uk-UA"/>
                        </w:rPr>
                        <w:t xml:space="preserve"> функцій, при цьому ці показники </w:t>
                      </w:r>
                      <w:r>
                        <w:rPr>
                          <w:rFonts w:ascii="Times New Roman" w:hAnsi="Times New Roman" w:cs="Times New Roman"/>
                          <w:sz w:val="24"/>
                          <w:lang w:val="uk-UA"/>
                        </w:rPr>
                        <w:t xml:space="preserve">мають </w:t>
                      </w:r>
                      <w:r w:rsidR="00861977">
                        <w:rPr>
                          <w:rFonts w:ascii="Times New Roman" w:hAnsi="Times New Roman" w:cs="Times New Roman"/>
                          <w:sz w:val="24"/>
                          <w:lang w:val="uk-UA"/>
                        </w:rPr>
                        <w:t xml:space="preserve"> як </w:t>
                      </w:r>
                      <w:r>
                        <w:rPr>
                          <w:rFonts w:ascii="Times New Roman" w:hAnsi="Times New Roman" w:cs="Times New Roman"/>
                          <w:sz w:val="24"/>
                          <w:lang w:val="uk-UA"/>
                        </w:rPr>
                        <w:t xml:space="preserve">відповідати </w:t>
                      </w:r>
                      <w:r w:rsidR="00861977">
                        <w:rPr>
                          <w:rFonts w:ascii="Times New Roman" w:hAnsi="Times New Roman" w:cs="Times New Roman"/>
                          <w:sz w:val="24"/>
                          <w:lang w:val="uk-UA"/>
                        </w:rPr>
                        <w:t xml:space="preserve">регуляторним </w:t>
                      </w:r>
                      <w:r>
                        <w:rPr>
                          <w:rFonts w:ascii="Times New Roman" w:hAnsi="Times New Roman" w:cs="Times New Roman"/>
                          <w:sz w:val="24"/>
                          <w:lang w:val="uk-UA"/>
                        </w:rPr>
                        <w:t>нормам</w:t>
                      </w:r>
                      <w:r w:rsidR="00861977">
                        <w:rPr>
                          <w:rFonts w:ascii="Times New Roman" w:hAnsi="Times New Roman" w:cs="Times New Roman"/>
                          <w:sz w:val="24"/>
                          <w:lang w:val="uk-UA"/>
                        </w:rPr>
                        <w:t>, так і таргетам, визначеним стратегією та бізнес-моделлю</w:t>
                      </w:r>
                    </w:p>
                  </w:txbxContent>
                </v:textbox>
              </v:shape>
            </w:pict>
          </mc:Fallback>
        </mc:AlternateContent>
      </w:r>
    </w:p>
    <w:p w14:paraId="544A348C" w14:textId="77777777" w:rsidR="009C6463" w:rsidRPr="00F00EB0" w:rsidRDefault="009C6463" w:rsidP="00ED46A7">
      <w:pPr>
        <w:spacing w:after="0" w:line="240" w:lineRule="auto"/>
        <w:ind w:firstLine="709"/>
        <w:jc w:val="both"/>
        <w:rPr>
          <w:rFonts w:ascii="Times New Roman" w:hAnsi="Times New Roman" w:cs="Times New Roman"/>
          <w:color w:val="000000" w:themeColor="text1"/>
          <w:sz w:val="28"/>
          <w:lang w:val="uk-UA"/>
        </w:rPr>
      </w:pPr>
    </w:p>
    <w:p w14:paraId="3DCEC30A" w14:textId="4AD95242" w:rsidR="009C6463" w:rsidRPr="00F00EB0" w:rsidRDefault="00ED46A7" w:rsidP="00ED46A7">
      <w:pPr>
        <w:tabs>
          <w:tab w:val="left" w:pos="4371"/>
        </w:tabs>
        <w:spacing w:after="0" w:line="240" w:lineRule="auto"/>
        <w:ind w:firstLine="709"/>
        <w:jc w:val="both"/>
        <w:rPr>
          <w:rFonts w:ascii="Times New Roman" w:hAnsi="Times New Roman" w:cs="Times New Roman"/>
          <w:color w:val="000000" w:themeColor="text1"/>
          <w:sz w:val="28"/>
          <w:lang w:val="uk-UA"/>
        </w:rPr>
      </w:pPr>
      <w:r w:rsidRPr="00F00EB0">
        <w:rPr>
          <w:rFonts w:ascii="Times New Roman" w:hAnsi="Times New Roman" w:cs="Times New Roman"/>
          <w:color w:val="000000" w:themeColor="text1"/>
          <w:sz w:val="28"/>
          <w:lang w:val="uk-UA"/>
        </w:rPr>
        <w:tab/>
      </w:r>
    </w:p>
    <w:p w14:paraId="401D2ADA" w14:textId="77777777" w:rsidR="009C6463" w:rsidRPr="00F00EB0" w:rsidRDefault="009C6463" w:rsidP="009C6463">
      <w:pPr>
        <w:spacing w:after="0" w:line="360" w:lineRule="auto"/>
        <w:ind w:firstLine="709"/>
        <w:jc w:val="both"/>
        <w:rPr>
          <w:rFonts w:ascii="Times New Roman" w:hAnsi="Times New Roman" w:cs="Times New Roman"/>
          <w:color w:val="000000" w:themeColor="text1"/>
          <w:sz w:val="28"/>
          <w:lang w:val="uk-UA"/>
        </w:rPr>
      </w:pPr>
    </w:p>
    <w:p w14:paraId="3A01CD54" w14:textId="77777777" w:rsidR="009C6463" w:rsidRPr="00F00EB0" w:rsidRDefault="009C6463" w:rsidP="009C6463">
      <w:pPr>
        <w:spacing w:after="0" w:line="360" w:lineRule="auto"/>
        <w:ind w:firstLine="709"/>
        <w:jc w:val="both"/>
        <w:rPr>
          <w:rFonts w:ascii="Times New Roman" w:hAnsi="Times New Roman" w:cs="Times New Roman"/>
          <w:color w:val="000000" w:themeColor="text1"/>
          <w:sz w:val="28"/>
          <w:lang w:val="uk-UA"/>
        </w:rPr>
      </w:pPr>
    </w:p>
    <w:p w14:paraId="0CFD36C2" w14:textId="04FFD521" w:rsidR="009C6463" w:rsidRPr="00F00EB0" w:rsidRDefault="009C6463" w:rsidP="00142E7F">
      <w:pPr>
        <w:spacing w:after="0" w:line="360" w:lineRule="auto"/>
        <w:ind w:firstLine="709"/>
        <w:jc w:val="both"/>
        <w:rPr>
          <w:rFonts w:ascii="Times New Roman" w:hAnsi="Times New Roman" w:cs="Times New Roman"/>
          <w:color w:val="000000" w:themeColor="text1"/>
          <w:sz w:val="28"/>
          <w:lang w:val="uk-UA"/>
        </w:rPr>
      </w:pPr>
      <w:r w:rsidRPr="00F00EB0">
        <w:rPr>
          <w:rFonts w:ascii="Times New Roman" w:hAnsi="Times New Roman" w:cs="Times New Roman"/>
          <w:color w:val="000000" w:themeColor="text1"/>
          <w:sz w:val="28"/>
          <w:lang w:val="uk-UA"/>
        </w:rPr>
        <w:t>Рисунок 1.</w:t>
      </w:r>
      <w:r w:rsidR="00443D71" w:rsidRPr="00F00EB0">
        <w:rPr>
          <w:rFonts w:ascii="Times New Roman" w:hAnsi="Times New Roman" w:cs="Times New Roman"/>
          <w:color w:val="000000" w:themeColor="text1"/>
          <w:sz w:val="28"/>
          <w:lang w:val="uk-UA"/>
        </w:rPr>
        <w:t>3</w:t>
      </w:r>
      <w:r w:rsidRPr="00F00EB0">
        <w:rPr>
          <w:rFonts w:ascii="Times New Roman" w:hAnsi="Times New Roman" w:cs="Times New Roman"/>
          <w:color w:val="000000" w:themeColor="text1"/>
          <w:sz w:val="28"/>
          <w:lang w:val="uk-UA"/>
        </w:rPr>
        <w:t xml:space="preserve"> – Підходи до розуміння поняття «ФСБ» (складено автором на основі [</w:t>
      </w:r>
      <w:r w:rsidR="00B80BB2" w:rsidRPr="00F00EB0">
        <w:rPr>
          <w:rFonts w:ascii="Times New Roman" w:hAnsi="Times New Roman" w:cs="Times New Roman"/>
          <w:color w:val="000000" w:themeColor="text1"/>
          <w:sz w:val="28"/>
          <w:szCs w:val="28"/>
          <w:lang w:val="uk-UA"/>
        </w:rPr>
        <w:t>3, 4, 11, 12, 52, 66, 68</w:t>
      </w:r>
      <w:r w:rsidRPr="00F00EB0">
        <w:rPr>
          <w:rFonts w:ascii="Times New Roman" w:hAnsi="Times New Roman" w:cs="Times New Roman"/>
          <w:color w:val="000000" w:themeColor="text1"/>
          <w:sz w:val="28"/>
          <w:lang w:val="uk-UA"/>
        </w:rPr>
        <w:t>])</w:t>
      </w:r>
    </w:p>
    <w:p w14:paraId="692A77E2" w14:textId="77777777" w:rsidR="009C6463" w:rsidRPr="00F00EB0" w:rsidRDefault="009C6463" w:rsidP="009C6463">
      <w:pPr>
        <w:spacing w:after="0" w:line="360" w:lineRule="auto"/>
        <w:ind w:firstLine="709"/>
        <w:jc w:val="both"/>
        <w:rPr>
          <w:rFonts w:ascii="Times New Roman" w:hAnsi="Times New Roman" w:cs="Times New Roman"/>
          <w:color w:val="000000" w:themeColor="text1"/>
          <w:sz w:val="28"/>
          <w:lang w:val="uk-UA"/>
        </w:rPr>
        <w:sectPr w:rsidR="009C6463" w:rsidRPr="00F00EB0" w:rsidSect="004D60A5">
          <w:headerReference w:type="default" r:id="rId16"/>
          <w:footerReference w:type="default" r:id="rId17"/>
          <w:pgSz w:w="16838" w:h="11906" w:orient="landscape"/>
          <w:pgMar w:top="1134" w:right="567" w:bottom="1134" w:left="1418" w:header="709" w:footer="709" w:gutter="0"/>
          <w:cols w:space="708"/>
          <w:docGrid w:linePitch="360"/>
        </w:sectPr>
      </w:pPr>
    </w:p>
    <w:p w14:paraId="53A84675" w14:textId="4CDB693E" w:rsidR="00B96E8D" w:rsidRPr="00F00EB0" w:rsidRDefault="00E538F0" w:rsidP="00564547">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 xml:space="preserve">Для </w:t>
      </w:r>
      <w:r w:rsidR="00F47A44" w:rsidRPr="00F00EB0">
        <w:rPr>
          <w:rFonts w:ascii="Times New Roman" w:hAnsi="Times New Roman" w:cs="Times New Roman"/>
          <w:color w:val="000000" w:themeColor="text1"/>
          <w:sz w:val="28"/>
          <w:szCs w:val="28"/>
          <w:lang w:val="uk-UA"/>
        </w:rPr>
        <w:t>забезпечення ФСБ</w:t>
      </w:r>
      <w:r w:rsidRPr="00F00EB0">
        <w:rPr>
          <w:rFonts w:ascii="Times New Roman" w:hAnsi="Times New Roman" w:cs="Times New Roman"/>
          <w:color w:val="000000" w:themeColor="text1"/>
          <w:sz w:val="28"/>
          <w:szCs w:val="28"/>
          <w:lang w:val="uk-UA"/>
        </w:rPr>
        <w:t xml:space="preserve"> обов’язковим є врахування взаємозалежності </w:t>
      </w:r>
      <w:r w:rsidR="002D3AFE" w:rsidRPr="00F00EB0">
        <w:rPr>
          <w:rFonts w:ascii="Times New Roman" w:hAnsi="Times New Roman" w:cs="Times New Roman"/>
          <w:color w:val="000000" w:themeColor="text1"/>
          <w:sz w:val="28"/>
          <w:szCs w:val="28"/>
          <w:lang w:val="uk-UA"/>
        </w:rPr>
        <w:t xml:space="preserve">з надсистемами – стійкістю та фінансовою стійкістю банківської системи та факторами внутрішнього </w:t>
      </w:r>
      <w:r w:rsidR="001D4F2E" w:rsidRPr="00F00EB0">
        <w:rPr>
          <w:rFonts w:ascii="Times New Roman" w:hAnsi="Times New Roman" w:cs="Times New Roman"/>
          <w:color w:val="000000" w:themeColor="text1"/>
          <w:sz w:val="28"/>
          <w:szCs w:val="28"/>
          <w:lang w:val="uk-UA"/>
        </w:rPr>
        <w:t>середовища</w:t>
      </w:r>
      <w:r w:rsidR="002D3AFE" w:rsidRPr="00F00EB0">
        <w:rPr>
          <w:rFonts w:ascii="Times New Roman" w:hAnsi="Times New Roman" w:cs="Times New Roman"/>
          <w:color w:val="000000" w:themeColor="text1"/>
          <w:sz w:val="28"/>
          <w:szCs w:val="28"/>
          <w:lang w:val="uk-UA"/>
        </w:rPr>
        <w:t>, як це представлено на рисунку 1.</w:t>
      </w:r>
      <w:r w:rsidR="00443D71" w:rsidRPr="00F00EB0">
        <w:rPr>
          <w:rFonts w:ascii="Times New Roman" w:hAnsi="Times New Roman" w:cs="Times New Roman"/>
          <w:color w:val="000000" w:themeColor="text1"/>
          <w:sz w:val="28"/>
          <w:szCs w:val="28"/>
          <w:lang w:val="uk-UA"/>
        </w:rPr>
        <w:t>4</w:t>
      </w:r>
      <w:r w:rsidR="002D3AFE" w:rsidRPr="00F00EB0">
        <w:rPr>
          <w:rFonts w:ascii="Times New Roman" w:hAnsi="Times New Roman" w:cs="Times New Roman"/>
          <w:color w:val="000000" w:themeColor="text1"/>
          <w:sz w:val="28"/>
          <w:szCs w:val="28"/>
          <w:lang w:val="uk-UA"/>
        </w:rPr>
        <w:t xml:space="preserve">. </w:t>
      </w:r>
      <w:r w:rsidRPr="00F00EB0">
        <w:rPr>
          <w:rFonts w:ascii="Times New Roman" w:hAnsi="Times New Roman" w:cs="Times New Roman"/>
          <w:color w:val="000000" w:themeColor="text1"/>
          <w:sz w:val="28"/>
          <w:szCs w:val="28"/>
          <w:lang w:val="uk-UA"/>
        </w:rPr>
        <w:t xml:space="preserve"> </w:t>
      </w:r>
    </w:p>
    <w:p w14:paraId="4E8261FF" w14:textId="77777777" w:rsidR="006335E3" w:rsidRPr="00F00EB0" w:rsidRDefault="006335E3" w:rsidP="001D4F2E">
      <w:pPr>
        <w:spacing w:after="0" w:line="360" w:lineRule="auto"/>
        <w:contextualSpacing/>
        <w:jc w:val="both"/>
        <w:rPr>
          <w:rFonts w:ascii="Times New Roman" w:hAnsi="Times New Roman" w:cs="Times New Roman"/>
          <w:color w:val="000000" w:themeColor="text1"/>
          <w:lang w:val="uk-UA"/>
        </w:rPr>
      </w:pPr>
    </w:p>
    <w:p w14:paraId="0319DFF6" w14:textId="4C6EB77F" w:rsidR="001D4F2E" w:rsidRPr="00F00EB0" w:rsidRDefault="0078612A" w:rsidP="001D4F2E">
      <w:pPr>
        <w:spacing w:after="0" w:line="360" w:lineRule="auto"/>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lang w:eastAsia="ru-RU"/>
        </w:rPr>
        <w:drawing>
          <wp:inline distT="0" distB="0" distL="0" distR="0" wp14:anchorId="50A5AF33" wp14:editId="3480CE14">
            <wp:extent cx="6299835" cy="4991100"/>
            <wp:effectExtent l="0" t="0" r="0" b="0"/>
            <wp:docPr id="10052219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8667" b="8752"/>
                    <a:stretch/>
                  </pic:blipFill>
                  <pic:spPr bwMode="auto">
                    <a:xfrm>
                      <a:off x="0" y="0"/>
                      <a:ext cx="6299835" cy="4991100"/>
                    </a:xfrm>
                    <a:prstGeom prst="rect">
                      <a:avLst/>
                    </a:prstGeom>
                    <a:noFill/>
                    <a:ln>
                      <a:noFill/>
                    </a:ln>
                    <a:extLst>
                      <a:ext uri="{53640926-AAD7-44D8-BBD7-CCE9431645EC}">
                        <a14:shadowObscured xmlns:a14="http://schemas.microsoft.com/office/drawing/2010/main"/>
                      </a:ext>
                    </a:extLst>
                  </pic:spPr>
                </pic:pic>
              </a:graphicData>
            </a:graphic>
          </wp:inline>
        </w:drawing>
      </w:r>
    </w:p>
    <w:p w14:paraId="7A82A4B3" w14:textId="67C10106" w:rsidR="009C68E4" w:rsidRPr="00F00EB0" w:rsidRDefault="009C68E4" w:rsidP="00B96E8D">
      <w:pPr>
        <w:spacing w:after="0" w:line="360" w:lineRule="auto"/>
        <w:contextualSpacing/>
        <w:jc w:val="center"/>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Рисунок 1.</w:t>
      </w:r>
      <w:r w:rsidR="00443D71" w:rsidRPr="00F00EB0">
        <w:rPr>
          <w:rFonts w:ascii="Times New Roman" w:hAnsi="Times New Roman" w:cs="Times New Roman"/>
          <w:color w:val="000000" w:themeColor="text1"/>
          <w:sz w:val="28"/>
          <w:szCs w:val="28"/>
          <w:lang w:val="uk-UA"/>
        </w:rPr>
        <w:t>4</w:t>
      </w:r>
      <w:r w:rsidRPr="00F00EB0">
        <w:rPr>
          <w:rFonts w:ascii="Times New Roman" w:hAnsi="Times New Roman" w:cs="Times New Roman"/>
          <w:color w:val="000000" w:themeColor="text1"/>
          <w:sz w:val="28"/>
          <w:szCs w:val="28"/>
          <w:lang w:val="uk-UA"/>
        </w:rPr>
        <w:t xml:space="preserve"> –</w:t>
      </w:r>
      <w:r w:rsidR="001A3EB1" w:rsidRPr="00F00EB0">
        <w:rPr>
          <w:rFonts w:ascii="Times New Roman" w:hAnsi="Times New Roman" w:cs="Times New Roman"/>
          <w:color w:val="000000" w:themeColor="text1"/>
          <w:sz w:val="28"/>
          <w:szCs w:val="28"/>
          <w:lang w:val="uk-UA"/>
        </w:rPr>
        <w:t xml:space="preserve"> </w:t>
      </w:r>
      <w:r w:rsidR="006335E3" w:rsidRPr="00F00EB0">
        <w:rPr>
          <w:rFonts w:ascii="Times New Roman" w:hAnsi="Times New Roman" w:cs="Times New Roman"/>
          <w:color w:val="000000" w:themeColor="text1"/>
          <w:sz w:val="28"/>
          <w:szCs w:val="28"/>
          <w:lang w:val="uk-UA"/>
        </w:rPr>
        <w:t>Взаємозв’язки та взаємозалежності формування ФСБ: факторний та часовий аспекти</w:t>
      </w:r>
      <w:r w:rsidRPr="00F00EB0">
        <w:rPr>
          <w:rFonts w:ascii="Times New Roman" w:hAnsi="Times New Roman" w:cs="Times New Roman"/>
          <w:color w:val="000000" w:themeColor="text1"/>
          <w:sz w:val="28"/>
          <w:szCs w:val="28"/>
          <w:lang w:val="uk-UA"/>
        </w:rPr>
        <w:t xml:space="preserve"> </w:t>
      </w:r>
      <w:r w:rsidR="00B96E8D" w:rsidRPr="00F00EB0">
        <w:rPr>
          <w:rFonts w:ascii="Times New Roman" w:hAnsi="Times New Roman" w:cs="Times New Roman"/>
          <w:color w:val="000000" w:themeColor="text1"/>
          <w:sz w:val="28"/>
          <w:szCs w:val="28"/>
          <w:lang w:val="uk-UA"/>
        </w:rPr>
        <w:t>[складено автором</w:t>
      </w:r>
      <w:r w:rsidR="004D59E0" w:rsidRPr="00F00EB0">
        <w:rPr>
          <w:rFonts w:ascii="Times New Roman" w:hAnsi="Times New Roman" w:cs="Times New Roman"/>
          <w:color w:val="000000" w:themeColor="text1"/>
          <w:sz w:val="28"/>
          <w:szCs w:val="28"/>
          <w:lang w:val="uk-UA"/>
        </w:rPr>
        <w:t>]</w:t>
      </w:r>
    </w:p>
    <w:p w14:paraId="18CB6ADA" w14:textId="77777777" w:rsidR="002927DC" w:rsidRPr="00F00EB0" w:rsidRDefault="002927DC" w:rsidP="005244CC">
      <w:pPr>
        <w:spacing w:after="0" w:line="360" w:lineRule="auto"/>
        <w:ind w:firstLine="709"/>
        <w:contextualSpacing/>
        <w:jc w:val="both"/>
        <w:rPr>
          <w:rFonts w:ascii="Times New Roman" w:hAnsi="Times New Roman" w:cs="Times New Roman"/>
          <w:color w:val="000000" w:themeColor="text1"/>
          <w:sz w:val="28"/>
          <w:szCs w:val="28"/>
          <w:lang w:val="uk-UA"/>
        </w:rPr>
      </w:pPr>
    </w:p>
    <w:p w14:paraId="3080E8AB" w14:textId="1D604D83" w:rsidR="00191432" w:rsidRPr="00F00EB0" w:rsidRDefault="00191432" w:rsidP="001F3C6C">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При забезпеченні ФСБ необхідно враховувати класифікаційні ознаки та види ФСБ, наведені в додатку Б.</w:t>
      </w:r>
    </w:p>
    <w:p w14:paraId="5A111BE8" w14:textId="55C98F07" w:rsidR="007C5F59" w:rsidRPr="00F00EB0" w:rsidRDefault="00C6491F" w:rsidP="001F3C6C">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Узагальнення підходів науковців дозволило нам визначити, що рівень ФСБ формується під впливом складної сукупності факторів, які можуть значно змінювати її рівень у часі. У зв’язку з цим ми вважаємо за доцільне виділяти</w:t>
      </w:r>
      <w:r w:rsidR="00E42B44" w:rsidRPr="00F00EB0">
        <w:rPr>
          <w:rFonts w:ascii="Times New Roman" w:hAnsi="Times New Roman" w:cs="Times New Roman"/>
          <w:color w:val="000000" w:themeColor="text1"/>
          <w:sz w:val="28"/>
          <w:szCs w:val="28"/>
          <w:lang w:val="uk-UA"/>
        </w:rPr>
        <w:t xml:space="preserve"> як ключовий </w:t>
      </w:r>
      <w:r w:rsidR="00405E02" w:rsidRPr="00F00EB0">
        <w:rPr>
          <w:rFonts w:ascii="Times New Roman" w:hAnsi="Times New Roman" w:cs="Times New Roman"/>
          <w:color w:val="000000" w:themeColor="text1"/>
          <w:sz w:val="28"/>
          <w:szCs w:val="28"/>
          <w:lang w:val="uk-UA"/>
        </w:rPr>
        <w:t>управлінський об’єкт</w:t>
      </w:r>
      <w:r w:rsidR="00E42B44" w:rsidRPr="00F00EB0">
        <w:rPr>
          <w:rFonts w:ascii="Times New Roman" w:hAnsi="Times New Roman" w:cs="Times New Roman"/>
          <w:color w:val="000000" w:themeColor="text1"/>
          <w:sz w:val="28"/>
          <w:szCs w:val="28"/>
          <w:lang w:val="uk-UA"/>
        </w:rPr>
        <w:t xml:space="preserve"> </w:t>
      </w:r>
      <w:r w:rsidRPr="00F00EB0">
        <w:rPr>
          <w:rFonts w:ascii="Times New Roman" w:hAnsi="Times New Roman" w:cs="Times New Roman"/>
          <w:color w:val="000000" w:themeColor="text1"/>
          <w:sz w:val="28"/>
          <w:szCs w:val="28"/>
          <w:lang w:val="uk-UA"/>
        </w:rPr>
        <w:t xml:space="preserve">динамічну ФСБ, що характеризує </w:t>
      </w:r>
      <w:r w:rsidR="00E42B44" w:rsidRPr="00F00EB0">
        <w:rPr>
          <w:rFonts w:ascii="Times New Roman" w:hAnsi="Times New Roman" w:cs="Times New Roman"/>
          <w:color w:val="000000" w:themeColor="text1"/>
          <w:sz w:val="28"/>
          <w:szCs w:val="28"/>
          <w:lang w:val="uk-UA"/>
        </w:rPr>
        <w:t xml:space="preserve">здатність банку протистояти потрясінням та </w:t>
      </w:r>
      <w:r w:rsidR="004E3970" w:rsidRPr="00F00EB0">
        <w:rPr>
          <w:rFonts w:ascii="Times New Roman" w:hAnsi="Times New Roman" w:cs="Times New Roman"/>
          <w:color w:val="000000" w:themeColor="text1"/>
          <w:sz w:val="28"/>
          <w:szCs w:val="28"/>
          <w:lang w:val="uk-UA"/>
        </w:rPr>
        <w:t>усувати фінансові дисбаланси</w:t>
      </w:r>
      <w:r w:rsidR="00E42B44" w:rsidRPr="00F00EB0">
        <w:rPr>
          <w:rFonts w:ascii="Times New Roman" w:hAnsi="Times New Roman" w:cs="Times New Roman"/>
          <w:color w:val="000000" w:themeColor="text1"/>
          <w:sz w:val="28"/>
          <w:szCs w:val="28"/>
          <w:lang w:val="uk-UA"/>
        </w:rPr>
        <w:t xml:space="preserve">, що виникають </w:t>
      </w:r>
      <w:r w:rsidR="00405E02" w:rsidRPr="00F00EB0">
        <w:rPr>
          <w:rFonts w:ascii="Times New Roman" w:hAnsi="Times New Roman" w:cs="Times New Roman"/>
          <w:color w:val="000000" w:themeColor="text1"/>
          <w:sz w:val="28"/>
          <w:szCs w:val="28"/>
          <w:lang w:val="uk-UA"/>
        </w:rPr>
        <w:t xml:space="preserve">або </w:t>
      </w:r>
      <w:r w:rsidR="00405E02" w:rsidRPr="00F00EB0">
        <w:rPr>
          <w:rFonts w:ascii="Times New Roman" w:hAnsi="Times New Roman" w:cs="Times New Roman"/>
          <w:color w:val="000000" w:themeColor="text1"/>
          <w:sz w:val="28"/>
          <w:szCs w:val="28"/>
          <w:lang w:val="uk-UA"/>
        </w:rPr>
        <w:lastRenderedPageBreak/>
        <w:t xml:space="preserve">можуть виникнути </w:t>
      </w:r>
      <w:r w:rsidR="00E42B44" w:rsidRPr="00F00EB0">
        <w:rPr>
          <w:rFonts w:ascii="Times New Roman" w:hAnsi="Times New Roman" w:cs="Times New Roman"/>
          <w:color w:val="000000" w:themeColor="text1"/>
          <w:sz w:val="28"/>
          <w:szCs w:val="28"/>
          <w:lang w:val="uk-UA"/>
        </w:rPr>
        <w:t xml:space="preserve">ендогенно або в результаті значних несприятливих і непередбачених подій, та підтримувати фінансову рівновагу </w:t>
      </w:r>
      <w:r w:rsidRPr="00F00EB0">
        <w:rPr>
          <w:rFonts w:ascii="Times New Roman" w:hAnsi="Times New Roman" w:cs="Times New Roman"/>
          <w:color w:val="000000" w:themeColor="text1"/>
          <w:sz w:val="28"/>
          <w:szCs w:val="28"/>
          <w:lang w:val="uk-UA"/>
        </w:rPr>
        <w:t>у довгостроковій перспективі</w:t>
      </w:r>
      <w:r w:rsidR="004E3970" w:rsidRPr="00F00EB0">
        <w:rPr>
          <w:rFonts w:ascii="Times New Roman" w:hAnsi="Times New Roman" w:cs="Times New Roman"/>
          <w:color w:val="000000" w:themeColor="text1"/>
          <w:sz w:val="28"/>
          <w:szCs w:val="28"/>
          <w:lang w:val="uk-UA"/>
        </w:rPr>
        <w:t>.</w:t>
      </w:r>
      <w:r w:rsidR="001F3C6C" w:rsidRPr="00F00EB0">
        <w:rPr>
          <w:rFonts w:ascii="Times New Roman" w:hAnsi="Times New Roman" w:cs="Times New Roman"/>
          <w:color w:val="000000" w:themeColor="text1"/>
          <w:sz w:val="28"/>
          <w:szCs w:val="28"/>
          <w:lang w:val="uk-UA"/>
        </w:rPr>
        <w:t xml:space="preserve"> </w:t>
      </w:r>
      <w:r w:rsidR="00405E02" w:rsidRPr="00F00EB0">
        <w:rPr>
          <w:rFonts w:ascii="Times New Roman" w:hAnsi="Times New Roman" w:cs="Times New Roman"/>
          <w:color w:val="000000" w:themeColor="text1"/>
          <w:sz w:val="28"/>
          <w:szCs w:val="28"/>
          <w:lang w:val="uk-UA"/>
        </w:rPr>
        <w:t>Її основу формує р</w:t>
      </w:r>
      <w:r w:rsidR="00E42B44" w:rsidRPr="00F00EB0">
        <w:rPr>
          <w:rFonts w:ascii="Times New Roman" w:hAnsi="Times New Roman" w:cs="Times New Roman"/>
          <w:color w:val="000000" w:themeColor="text1"/>
          <w:sz w:val="28"/>
          <w:szCs w:val="28"/>
          <w:lang w:val="uk-UA"/>
        </w:rPr>
        <w:t xml:space="preserve">етроспективна </w:t>
      </w:r>
      <w:r w:rsidR="00405E02" w:rsidRPr="00F00EB0">
        <w:rPr>
          <w:rFonts w:ascii="Times New Roman" w:hAnsi="Times New Roman" w:cs="Times New Roman"/>
          <w:color w:val="000000" w:themeColor="text1"/>
          <w:sz w:val="28"/>
          <w:szCs w:val="28"/>
          <w:lang w:val="uk-UA"/>
        </w:rPr>
        <w:t>ФСБ, що</w:t>
      </w:r>
      <w:r w:rsidR="00E42B44" w:rsidRPr="00F00EB0">
        <w:rPr>
          <w:rFonts w:ascii="Times New Roman" w:hAnsi="Times New Roman" w:cs="Times New Roman"/>
          <w:color w:val="000000" w:themeColor="text1"/>
          <w:sz w:val="28"/>
          <w:szCs w:val="28"/>
          <w:lang w:val="uk-UA"/>
        </w:rPr>
        <w:t xml:space="preserve"> описує </w:t>
      </w:r>
      <w:r w:rsidR="004E3970" w:rsidRPr="00F00EB0">
        <w:rPr>
          <w:rFonts w:ascii="Times New Roman" w:hAnsi="Times New Roman" w:cs="Times New Roman"/>
          <w:color w:val="000000" w:themeColor="text1"/>
          <w:sz w:val="28"/>
          <w:szCs w:val="28"/>
          <w:lang w:val="uk-UA"/>
        </w:rPr>
        <w:t xml:space="preserve">її рівень </w:t>
      </w:r>
      <w:r w:rsidR="00E42B44" w:rsidRPr="00F00EB0">
        <w:rPr>
          <w:rFonts w:ascii="Times New Roman" w:hAnsi="Times New Roman" w:cs="Times New Roman"/>
          <w:color w:val="000000" w:themeColor="text1"/>
          <w:sz w:val="28"/>
          <w:szCs w:val="28"/>
          <w:lang w:val="uk-UA"/>
        </w:rPr>
        <w:t xml:space="preserve">у минулому, на підставі аналізу історичних фінансових даних та показників. Вона дає </w:t>
      </w:r>
      <w:r w:rsidR="00405E02" w:rsidRPr="00F00EB0">
        <w:rPr>
          <w:rFonts w:ascii="Times New Roman" w:hAnsi="Times New Roman" w:cs="Times New Roman"/>
          <w:color w:val="000000" w:themeColor="text1"/>
          <w:sz w:val="28"/>
          <w:szCs w:val="28"/>
          <w:lang w:val="uk-UA"/>
        </w:rPr>
        <w:t>змогу</w:t>
      </w:r>
      <w:r w:rsidR="00E42B44" w:rsidRPr="00F00EB0">
        <w:rPr>
          <w:rFonts w:ascii="Times New Roman" w:hAnsi="Times New Roman" w:cs="Times New Roman"/>
          <w:color w:val="000000" w:themeColor="text1"/>
          <w:sz w:val="28"/>
          <w:szCs w:val="28"/>
          <w:lang w:val="uk-UA"/>
        </w:rPr>
        <w:t xml:space="preserve"> оцінити, як банк справлявся з фінансовими викликами, стресовими ситуаціями та іншими змінами </w:t>
      </w:r>
      <w:r w:rsidR="004E3970" w:rsidRPr="00F00EB0">
        <w:rPr>
          <w:rFonts w:ascii="Times New Roman" w:hAnsi="Times New Roman" w:cs="Times New Roman"/>
          <w:color w:val="000000" w:themeColor="text1"/>
          <w:sz w:val="28"/>
          <w:szCs w:val="28"/>
          <w:lang w:val="uk-UA"/>
        </w:rPr>
        <w:t>раніше і може скласти аналітичне підґрунтя</w:t>
      </w:r>
      <w:r w:rsidR="00405E02" w:rsidRPr="00F00EB0">
        <w:rPr>
          <w:rFonts w:ascii="Times New Roman" w:hAnsi="Times New Roman" w:cs="Times New Roman"/>
          <w:color w:val="000000" w:themeColor="text1"/>
          <w:sz w:val="28"/>
          <w:szCs w:val="28"/>
          <w:lang w:val="uk-UA"/>
        </w:rPr>
        <w:t xml:space="preserve"> вдосконалення механізму забезпечення </w:t>
      </w:r>
      <w:r w:rsidR="004E3970" w:rsidRPr="00F00EB0">
        <w:rPr>
          <w:rFonts w:ascii="Times New Roman" w:hAnsi="Times New Roman" w:cs="Times New Roman"/>
          <w:color w:val="000000" w:themeColor="text1"/>
          <w:sz w:val="28"/>
          <w:szCs w:val="28"/>
          <w:lang w:val="uk-UA"/>
        </w:rPr>
        <w:t>ФСБ у</w:t>
      </w:r>
      <w:r w:rsidR="00405E02" w:rsidRPr="00F00EB0">
        <w:rPr>
          <w:rFonts w:ascii="Times New Roman" w:hAnsi="Times New Roman" w:cs="Times New Roman"/>
          <w:color w:val="000000" w:themeColor="text1"/>
          <w:sz w:val="28"/>
          <w:szCs w:val="28"/>
          <w:lang w:val="uk-UA"/>
        </w:rPr>
        <w:t xml:space="preserve"> майбутньому. Статична ФСБ відображає здатність</w:t>
      </w:r>
      <w:r w:rsidR="004E3970" w:rsidRPr="00F00EB0">
        <w:rPr>
          <w:rFonts w:ascii="Times New Roman" w:hAnsi="Times New Roman" w:cs="Times New Roman"/>
          <w:color w:val="000000" w:themeColor="text1"/>
          <w:sz w:val="28"/>
          <w:szCs w:val="28"/>
          <w:lang w:val="uk-UA"/>
        </w:rPr>
        <w:t xml:space="preserve"> банку</w:t>
      </w:r>
      <w:r w:rsidR="00405E02" w:rsidRPr="00F00EB0">
        <w:rPr>
          <w:rFonts w:ascii="Times New Roman" w:hAnsi="Times New Roman" w:cs="Times New Roman"/>
          <w:color w:val="000000" w:themeColor="text1"/>
          <w:sz w:val="28"/>
          <w:szCs w:val="28"/>
          <w:lang w:val="uk-UA"/>
        </w:rPr>
        <w:t xml:space="preserve"> </w:t>
      </w:r>
      <w:r w:rsidR="004E3970" w:rsidRPr="00F00EB0">
        <w:rPr>
          <w:rFonts w:ascii="Times New Roman" w:hAnsi="Times New Roman" w:cs="Times New Roman"/>
          <w:color w:val="000000" w:themeColor="text1"/>
          <w:sz w:val="28"/>
          <w:szCs w:val="28"/>
          <w:lang w:val="uk-UA"/>
        </w:rPr>
        <w:t>протистояти потрясінням та усувати фінансові дисбаланси</w:t>
      </w:r>
      <w:r w:rsidR="00405E02" w:rsidRPr="00F00EB0">
        <w:rPr>
          <w:rFonts w:ascii="Times New Roman" w:hAnsi="Times New Roman" w:cs="Times New Roman"/>
          <w:color w:val="000000" w:themeColor="text1"/>
          <w:sz w:val="28"/>
          <w:szCs w:val="28"/>
          <w:lang w:val="uk-UA"/>
        </w:rPr>
        <w:t xml:space="preserve"> </w:t>
      </w:r>
      <w:r w:rsidR="004E3970" w:rsidRPr="00F00EB0">
        <w:rPr>
          <w:rFonts w:ascii="Times New Roman" w:hAnsi="Times New Roman" w:cs="Times New Roman"/>
          <w:color w:val="000000" w:themeColor="text1"/>
          <w:sz w:val="28"/>
          <w:szCs w:val="28"/>
          <w:lang w:val="uk-UA"/>
        </w:rPr>
        <w:t xml:space="preserve">у </w:t>
      </w:r>
      <w:r w:rsidR="00405E02" w:rsidRPr="00F00EB0">
        <w:rPr>
          <w:rFonts w:ascii="Times New Roman" w:hAnsi="Times New Roman" w:cs="Times New Roman"/>
          <w:color w:val="000000" w:themeColor="text1"/>
          <w:sz w:val="28"/>
          <w:szCs w:val="28"/>
          <w:lang w:val="uk-UA"/>
        </w:rPr>
        <w:t xml:space="preserve">конкретний момент часу, що дозволяє зрозуміти, наскільки стійким є банк у </w:t>
      </w:r>
      <w:r w:rsidR="00863105" w:rsidRPr="00F00EB0">
        <w:rPr>
          <w:rFonts w:ascii="Times New Roman" w:hAnsi="Times New Roman" w:cs="Times New Roman"/>
          <w:color w:val="000000" w:themeColor="text1"/>
          <w:sz w:val="28"/>
          <w:szCs w:val="28"/>
          <w:lang w:val="uk-UA"/>
        </w:rPr>
        <w:t>цей</w:t>
      </w:r>
      <w:r w:rsidR="00405E02" w:rsidRPr="00F00EB0">
        <w:rPr>
          <w:rFonts w:ascii="Times New Roman" w:hAnsi="Times New Roman" w:cs="Times New Roman"/>
          <w:color w:val="000000" w:themeColor="text1"/>
          <w:sz w:val="28"/>
          <w:szCs w:val="28"/>
          <w:lang w:val="uk-UA"/>
        </w:rPr>
        <w:t xml:space="preserve"> момент.</w:t>
      </w:r>
      <w:r w:rsidR="001F3C6C" w:rsidRPr="00F00EB0">
        <w:rPr>
          <w:rFonts w:ascii="Times New Roman" w:hAnsi="Times New Roman" w:cs="Times New Roman"/>
          <w:color w:val="000000" w:themeColor="text1"/>
          <w:sz w:val="28"/>
          <w:szCs w:val="28"/>
          <w:lang w:val="uk-UA"/>
        </w:rPr>
        <w:t xml:space="preserve"> </w:t>
      </w:r>
      <w:r w:rsidR="007C5F59" w:rsidRPr="00F00EB0">
        <w:rPr>
          <w:rFonts w:ascii="Times New Roman" w:hAnsi="Times New Roman" w:cs="Times New Roman"/>
          <w:color w:val="000000" w:themeColor="text1"/>
          <w:sz w:val="28"/>
          <w:szCs w:val="28"/>
          <w:lang w:val="uk-UA"/>
        </w:rPr>
        <w:t>Оцінка статичної ФСБ є важливою для її забезпечення</w:t>
      </w:r>
      <w:r w:rsidR="00863105" w:rsidRPr="00F00EB0">
        <w:rPr>
          <w:rFonts w:ascii="Times New Roman" w:hAnsi="Times New Roman" w:cs="Times New Roman"/>
          <w:color w:val="000000" w:themeColor="text1"/>
          <w:sz w:val="28"/>
          <w:szCs w:val="28"/>
          <w:lang w:val="uk-UA"/>
        </w:rPr>
        <w:t>,</w:t>
      </w:r>
      <w:r w:rsidR="007C5F59" w:rsidRPr="00F00EB0">
        <w:rPr>
          <w:rFonts w:ascii="Times New Roman" w:hAnsi="Times New Roman" w:cs="Times New Roman"/>
          <w:color w:val="000000" w:themeColor="text1"/>
          <w:sz w:val="28"/>
          <w:szCs w:val="28"/>
          <w:lang w:val="uk-UA"/>
        </w:rPr>
        <w:t xml:space="preserve"> </w:t>
      </w:r>
      <w:r w:rsidR="00863105" w:rsidRPr="00F00EB0">
        <w:rPr>
          <w:rFonts w:ascii="Times New Roman" w:hAnsi="Times New Roman" w:cs="Times New Roman"/>
          <w:color w:val="000000" w:themeColor="text1"/>
          <w:sz w:val="28"/>
          <w:szCs w:val="28"/>
          <w:lang w:val="uk-UA"/>
        </w:rPr>
        <w:t>о</w:t>
      </w:r>
      <w:r w:rsidR="007C5F59" w:rsidRPr="00F00EB0">
        <w:rPr>
          <w:rFonts w:ascii="Times New Roman" w:hAnsi="Times New Roman" w:cs="Times New Roman"/>
          <w:color w:val="000000" w:themeColor="text1"/>
          <w:sz w:val="28"/>
          <w:szCs w:val="28"/>
          <w:lang w:val="uk-UA"/>
        </w:rPr>
        <w:t>днак для повної оцінки ФСБ необхідно враховувати її перспективну складову, яка оцінює здатність банку адаптуватися до змін в умовах ринку та зберігати стійкість у довгостроковій перспективі.</w:t>
      </w:r>
    </w:p>
    <w:p w14:paraId="6E5F6E5E" w14:textId="3B5A558E" w:rsidR="00F23601" w:rsidRPr="00F00EB0" w:rsidRDefault="001F3C6C" w:rsidP="00142E7F">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Отже, для розуміння ФСБ як динамічної категорії необхідно враховувати всю сукупність факторів, що чинять вплив на її рівень</w:t>
      </w:r>
      <w:r w:rsidR="00985CE4" w:rsidRPr="00F00EB0">
        <w:rPr>
          <w:rFonts w:ascii="Times New Roman" w:hAnsi="Times New Roman" w:cs="Times New Roman"/>
          <w:color w:val="000000" w:themeColor="text1"/>
          <w:sz w:val="28"/>
          <w:szCs w:val="28"/>
          <w:lang w:val="uk-UA"/>
        </w:rPr>
        <w:t xml:space="preserve"> (додаток Б)</w:t>
      </w:r>
      <w:r w:rsidR="00F23601" w:rsidRPr="00F00EB0">
        <w:rPr>
          <w:rFonts w:ascii="Times New Roman" w:eastAsia="Times New Roman" w:hAnsi="Times New Roman" w:cs="Times New Roman"/>
          <w:color w:val="000000" w:themeColor="text1"/>
          <w:sz w:val="28"/>
          <w:szCs w:val="28"/>
          <w:lang w:val="uk-UA" w:eastAsia="ru-RU"/>
        </w:rPr>
        <w:t>: зовнішні та внутрішні</w:t>
      </w:r>
      <w:r w:rsidR="00FE4C50" w:rsidRPr="00F00EB0">
        <w:rPr>
          <w:rFonts w:ascii="Times New Roman" w:eastAsia="Times New Roman" w:hAnsi="Times New Roman" w:cs="Times New Roman"/>
          <w:color w:val="000000" w:themeColor="text1"/>
          <w:sz w:val="28"/>
          <w:szCs w:val="28"/>
          <w:lang w:val="uk-UA" w:eastAsia="ru-RU"/>
        </w:rPr>
        <w:t xml:space="preserve"> з додатковим виділенням групи факторів, що виникають під впливом дії зовнішніх та внутрішніх стейкхолдерів</w:t>
      </w:r>
      <w:r w:rsidR="00A962C3" w:rsidRPr="00F00EB0">
        <w:rPr>
          <w:rFonts w:ascii="Times New Roman" w:eastAsia="Times New Roman" w:hAnsi="Times New Roman" w:cs="Times New Roman"/>
          <w:color w:val="000000" w:themeColor="text1"/>
          <w:sz w:val="28"/>
          <w:szCs w:val="28"/>
          <w:lang w:val="uk-UA" w:eastAsia="ru-RU"/>
        </w:rPr>
        <w:t xml:space="preserve"> (рис. 1.5)</w:t>
      </w:r>
      <w:r w:rsidR="00F23601" w:rsidRPr="00F00EB0">
        <w:rPr>
          <w:rFonts w:ascii="Times New Roman" w:eastAsia="Times New Roman" w:hAnsi="Times New Roman" w:cs="Times New Roman"/>
          <w:color w:val="000000" w:themeColor="text1"/>
          <w:sz w:val="28"/>
          <w:szCs w:val="28"/>
          <w:lang w:val="uk-UA" w:eastAsia="ru-RU"/>
        </w:rPr>
        <w:t xml:space="preserve">. </w:t>
      </w:r>
    </w:p>
    <w:p w14:paraId="0F16048C" w14:textId="6066E4F4" w:rsidR="0022259C" w:rsidRPr="00F00EB0" w:rsidRDefault="00F23601" w:rsidP="00327E93">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Зовнішні фактори підлягають поглибленому аналізу, моніторингу та контролю, оскільки їх генерація, напрям та ступінь впливу, а також інтенсивність прояву перебувають поза контролем банку.</w:t>
      </w:r>
      <w:r w:rsidR="00FE4C50" w:rsidRPr="00F00EB0">
        <w:rPr>
          <w:rFonts w:ascii="Times New Roman" w:eastAsia="Times New Roman" w:hAnsi="Times New Roman" w:cs="Times New Roman"/>
          <w:color w:val="000000" w:themeColor="text1"/>
          <w:sz w:val="28"/>
          <w:szCs w:val="28"/>
          <w:lang w:val="uk-UA" w:eastAsia="ru-RU"/>
        </w:rPr>
        <w:t xml:space="preserve"> У межах цієї групи </w:t>
      </w:r>
      <w:r w:rsidR="00495E01" w:rsidRPr="00F00EB0">
        <w:rPr>
          <w:rFonts w:ascii="Times New Roman" w:eastAsia="Times New Roman" w:hAnsi="Times New Roman" w:cs="Times New Roman"/>
          <w:color w:val="000000" w:themeColor="text1"/>
          <w:sz w:val="28"/>
          <w:szCs w:val="28"/>
          <w:lang w:val="uk-UA" w:eastAsia="ru-RU"/>
        </w:rPr>
        <w:t>ми</w:t>
      </w:r>
      <w:r w:rsidR="00FE4C50" w:rsidRPr="00F00EB0">
        <w:rPr>
          <w:rFonts w:ascii="Times New Roman" w:eastAsia="Times New Roman" w:hAnsi="Times New Roman" w:cs="Times New Roman"/>
          <w:color w:val="000000" w:themeColor="text1"/>
          <w:sz w:val="28"/>
          <w:szCs w:val="28"/>
          <w:lang w:val="uk-UA" w:eastAsia="ru-RU"/>
        </w:rPr>
        <w:t xml:space="preserve"> запропон</w:t>
      </w:r>
      <w:r w:rsidR="00495E01" w:rsidRPr="00F00EB0">
        <w:rPr>
          <w:rFonts w:ascii="Times New Roman" w:eastAsia="Times New Roman" w:hAnsi="Times New Roman" w:cs="Times New Roman"/>
          <w:color w:val="000000" w:themeColor="text1"/>
          <w:sz w:val="28"/>
          <w:szCs w:val="28"/>
          <w:lang w:val="uk-UA" w:eastAsia="ru-RU"/>
        </w:rPr>
        <w:t>ували</w:t>
      </w:r>
      <w:r w:rsidR="00FE4C50" w:rsidRPr="00F00EB0">
        <w:rPr>
          <w:rFonts w:ascii="Times New Roman" w:eastAsia="Times New Roman" w:hAnsi="Times New Roman" w:cs="Times New Roman"/>
          <w:color w:val="000000" w:themeColor="text1"/>
          <w:sz w:val="28"/>
          <w:szCs w:val="28"/>
          <w:lang w:val="uk-UA" w:eastAsia="ru-RU"/>
        </w:rPr>
        <w:t xml:space="preserve"> поділяти зовнішні фактори на: фактори непостійної дії; загальної дії, що виникають як результат взаємодії економічних агентів у довгостроковій перспективі, та виникають на глобальному, національному та регіональному рівнях; прямої дії насамперед через вплив державного регулювання та нагляду. </w:t>
      </w:r>
      <w:r w:rsidRPr="00F00EB0">
        <w:rPr>
          <w:rFonts w:ascii="Times New Roman" w:eastAsia="Times New Roman" w:hAnsi="Times New Roman" w:cs="Times New Roman"/>
          <w:color w:val="000000" w:themeColor="text1"/>
          <w:sz w:val="28"/>
          <w:szCs w:val="28"/>
          <w:lang w:val="uk-UA" w:eastAsia="ru-RU"/>
        </w:rPr>
        <w:t xml:space="preserve">Банки мають бути готові адаптуватися до змін у зовнішньому середовищі та розробляти стратегії для зменшення негативного впливу цих факторів на свою діяльність. </w:t>
      </w:r>
      <w:r w:rsidR="0022259C" w:rsidRPr="00F00EB0">
        <w:rPr>
          <w:rFonts w:ascii="Times New Roman" w:eastAsia="Times New Roman" w:hAnsi="Times New Roman" w:cs="Times New Roman"/>
          <w:color w:val="000000" w:themeColor="text1"/>
          <w:sz w:val="28"/>
          <w:szCs w:val="28"/>
          <w:lang w:val="uk-UA" w:eastAsia="ru-RU"/>
        </w:rPr>
        <w:br w:type="page"/>
      </w:r>
    </w:p>
    <w:p w14:paraId="7516F8E6" w14:textId="6214B588" w:rsidR="0022259C" w:rsidRPr="00F00EB0" w:rsidRDefault="00D90F03" w:rsidP="0022259C">
      <w:pPr>
        <w:spacing w:line="360" w:lineRule="auto"/>
        <w:jc w:val="both"/>
        <w:rPr>
          <w:rFonts w:ascii="Times New Roman" w:eastAsia="Calibri" w:hAnsi="Times New Roman" w:cs="Times New Roman"/>
          <w:color w:val="000000" w:themeColor="text1"/>
          <w:lang w:val="uk-UA"/>
        </w:rPr>
      </w:pPr>
      <w:r w:rsidRPr="00F00EB0">
        <w:rPr>
          <w:rFonts w:ascii="Times New Roman" w:hAnsi="Times New Roman" w:cs="Times New Roman"/>
          <w:noProof/>
          <w:color w:val="000000" w:themeColor="text1"/>
          <w:lang w:eastAsia="ru-RU"/>
        </w:rPr>
        <w:lastRenderedPageBreak/>
        <mc:AlternateContent>
          <mc:Choice Requires="wpc">
            <w:drawing>
              <wp:inline distT="0" distB="0" distL="0" distR="0" wp14:anchorId="4CD0730B" wp14:editId="1AC065F9">
                <wp:extent cx="6145530" cy="5465445"/>
                <wp:effectExtent l="14605" t="15240" r="12065" b="0"/>
                <wp:docPr id="818" name="Полотно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57805930" name="Стрелка влево 79"/>
                        <wps:cNvSpPr>
                          <a:spLocks noChangeArrowheads="1"/>
                        </wps:cNvSpPr>
                        <wps:spPr bwMode="auto">
                          <a:xfrm>
                            <a:off x="3584417" y="3050160"/>
                            <a:ext cx="337802" cy="330239"/>
                          </a:xfrm>
                          <a:prstGeom prst="leftArrow">
                            <a:avLst>
                              <a:gd name="adj1" fmla="val 50000"/>
                              <a:gd name="adj2" fmla="val 33887"/>
                            </a:avLst>
                          </a:prstGeom>
                          <a:solidFill>
                            <a:srgbClr val="FFFFFF"/>
                          </a:solidFill>
                          <a:ln w="12700">
                            <a:solidFill>
                              <a:srgbClr val="000000"/>
                            </a:solidFill>
                            <a:miter lim="800000"/>
                            <a:headEnd/>
                            <a:tailEnd/>
                          </a:ln>
                          <a:effectLst>
                            <a:outerShdw dist="38100" dir="2700000" algn="tl" rotWithShape="0">
                              <a:srgbClr val="000000">
                                <a:alpha val="39999"/>
                              </a:srgbClr>
                            </a:outerShdw>
                          </a:effectLst>
                        </wps:spPr>
                        <wps:txbx>
                          <w:txbxContent>
                            <w:p w14:paraId="58AC5C59" w14:textId="77777777" w:rsidR="0022259C" w:rsidRDefault="0022259C" w:rsidP="0022259C"/>
                          </w:txbxContent>
                        </wps:txbx>
                        <wps:bodyPr rot="0" vert="horz" wrap="square" lIns="91440" tIns="45720" rIns="91440" bIns="45720" anchor="ctr" anchorCtr="0" upright="1">
                          <a:noAutofit/>
                        </wps:bodyPr>
                      </wps:wsp>
                      <wps:wsp>
                        <wps:cNvPr id="141962225" name="Стрелка влево 20"/>
                        <wps:cNvSpPr>
                          <a:spLocks noChangeArrowheads="1"/>
                        </wps:cNvSpPr>
                        <wps:spPr bwMode="auto">
                          <a:xfrm>
                            <a:off x="3582817" y="990617"/>
                            <a:ext cx="338002" cy="330539"/>
                          </a:xfrm>
                          <a:prstGeom prst="leftArrow">
                            <a:avLst>
                              <a:gd name="adj1" fmla="val 50000"/>
                              <a:gd name="adj2" fmla="val 33881"/>
                            </a:avLst>
                          </a:prstGeom>
                          <a:solidFill>
                            <a:srgbClr val="FFFFFF"/>
                          </a:solidFill>
                          <a:ln w="12700">
                            <a:solidFill>
                              <a:srgbClr val="000000"/>
                            </a:solidFill>
                            <a:miter lim="800000"/>
                            <a:headEnd/>
                            <a:tailEnd/>
                          </a:ln>
                          <a:effectLst>
                            <a:outerShdw dist="38100" dir="2700000" algn="tl" rotWithShape="0">
                              <a:srgbClr val="000000">
                                <a:alpha val="39999"/>
                              </a:srgbClr>
                            </a:outerShdw>
                          </a:effectLst>
                        </wps:spPr>
                        <wps:bodyPr rot="0" vert="horz" wrap="square" lIns="91440" tIns="45720" rIns="91440" bIns="45720" anchor="ctr" anchorCtr="0" upright="1">
                          <a:noAutofit/>
                        </wps:bodyPr>
                      </wps:wsp>
                      <wps:wsp>
                        <wps:cNvPr id="1385916975" name="Стрелка вверх 19"/>
                        <wps:cNvSpPr>
                          <a:spLocks noChangeArrowheads="1"/>
                        </wps:cNvSpPr>
                        <wps:spPr bwMode="auto">
                          <a:xfrm>
                            <a:off x="4795223" y="2829234"/>
                            <a:ext cx="552903" cy="222926"/>
                          </a:xfrm>
                          <a:prstGeom prst="upArrow">
                            <a:avLst>
                              <a:gd name="adj1" fmla="val 50000"/>
                              <a:gd name="adj2" fmla="val 50000"/>
                            </a:avLst>
                          </a:prstGeom>
                          <a:solidFill>
                            <a:srgbClr val="FFFFFF"/>
                          </a:solidFill>
                          <a:ln w="12700">
                            <a:solidFill>
                              <a:srgbClr val="000000"/>
                            </a:solidFill>
                            <a:miter lim="800000"/>
                            <a:headEnd/>
                            <a:tailEnd/>
                          </a:ln>
                          <a:effectLst>
                            <a:outerShdw dist="38100" dir="2700000" algn="tl" rotWithShape="0">
                              <a:srgbClr val="000000">
                                <a:alpha val="39999"/>
                              </a:srgbClr>
                            </a:outerShdw>
                          </a:effectLst>
                        </wps:spPr>
                        <wps:bodyPr rot="0" vert="horz" wrap="square" lIns="91440" tIns="45720" rIns="91440" bIns="45720" anchor="ctr" anchorCtr="0" upright="1">
                          <a:noAutofit/>
                        </wps:bodyPr>
                      </wps:wsp>
                      <wps:wsp>
                        <wps:cNvPr id="1544345113" name="Скругленный прямоугольник 74"/>
                        <wps:cNvSpPr>
                          <a:spLocks noChangeArrowheads="1"/>
                        </wps:cNvSpPr>
                        <wps:spPr bwMode="auto">
                          <a:xfrm>
                            <a:off x="3924319" y="3380099"/>
                            <a:ext cx="2220611" cy="2049342"/>
                          </a:xfrm>
                          <a:prstGeom prst="roundRect">
                            <a:avLst>
                              <a:gd name="adj" fmla="val 1505"/>
                            </a:avLst>
                          </a:prstGeom>
                          <a:pattFill prst="pct5">
                            <a:fgClr>
                              <a:srgbClr val="7F7F7F"/>
                            </a:fgClr>
                            <a:bgClr>
                              <a:srgbClr val="FFFFFF"/>
                            </a:bgClr>
                          </a:pattFill>
                          <a:ln w="19050">
                            <a:solidFill>
                              <a:srgbClr val="000000"/>
                            </a:solidFill>
                            <a:round/>
                            <a:headEnd/>
                            <a:tailEnd/>
                          </a:ln>
                        </wps:spPr>
                        <wps:txbx>
                          <w:txbxContent>
                            <w:p w14:paraId="675F94D3" w14:textId="77777777" w:rsidR="0022259C" w:rsidRDefault="0022259C" w:rsidP="0022259C">
                              <w:pPr>
                                <w:pStyle w:val="19"/>
                                <w:spacing w:before="0" w:beforeAutospacing="0" w:after="0" w:afterAutospacing="0"/>
                                <w:jc w:val="center"/>
                              </w:pPr>
                              <w:r>
                                <w:t> </w:t>
                              </w:r>
                            </w:p>
                          </w:txbxContent>
                        </wps:txbx>
                        <wps:bodyPr rot="0" vert="horz" wrap="square" lIns="91440" tIns="45720" rIns="91440" bIns="45720" anchor="ctr" anchorCtr="0" upright="1">
                          <a:noAutofit/>
                        </wps:bodyPr>
                      </wps:wsp>
                      <wps:wsp>
                        <wps:cNvPr id="395225723" name="Скругленный прямоугольник 59"/>
                        <wps:cNvSpPr>
                          <a:spLocks noChangeArrowheads="1"/>
                        </wps:cNvSpPr>
                        <wps:spPr bwMode="auto">
                          <a:xfrm>
                            <a:off x="0" y="1626192"/>
                            <a:ext cx="3582717" cy="3803649"/>
                          </a:xfrm>
                          <a:prstGeom prst="roundRect">
                            <a:avLst>
                              <a:gd name="adj" fmla="val 1505"/>
                            </a:avLst>
                          </a:prstGeom>
                          <a:pattFill prst="pct5">
                            <a:fgClr>
                              <a:srgbClr val="7F7F7F"/>
                            </a:fgClr>
                            <a:bgClr>
                              <a:srgbClr val="FFFFFF"/>
                            </a:bgClr>
                          </a:pattFill>
                          <a:ln w="19050">
                            <a:solidFill>
                              <a:srgbClr val="000000"/>
                            </a:solidFill>
                            <a:round/>
                            <a:headEnd/>
                            <a:tailEnd/>
                          </a:ln>
                        </wps:spPr>
                        <wps:txbx>
                          <w:txbxContent>
                            <w:p w14:paraId="58DD6254" w14:textId="77777777" w:rsidR="0022259C" w:rsidRDefault="0022259C" w:rsidP="0022259C">
                              <w:pPr>
                                <w:pStyle w:val="19"/>
                                <w:spacing w:before="0" w:beforeAutospacing="0" w:after="0" w:afterAutospacing="0"/>
                                <w:jc w:val="center"/>
                              </w:pPr>
                            </w:p>
                          </w:txbxContent>
                        </wps:txbx>
                        <wps:bodyPr rot="0" vert="horz" wrap="square" lIns="91440" tIns="45720" rIns="91440" bIns="45720" anchor="ctr" anchorCtr="0" upright="1">
                          <a:noAutofit/>
                        </wps:bodyPr>
                      </wps:wsp>
                      <wps:wsp>
                        <wps:cNvPr id="1805867613" name="Прямоугольник 42"/>
                        <wps:cNvSpPr>
                          <a:spLocks noChangeArrowheads="1"/>
                        </wps:cNvSpPr>
                        <wps:spPr bwMode="auto">
                          <a:xfrm>
                            <a:off x="229701" y="2042941"/>
                            <a:ext cx="3267716" cy="1337458"/>
                          </a:xfrm>
                          <a:prstGeom prst="rect">
                            <a:avLst/>
                          </a:prstGeom>
                          <a:noFill/>
                          <a:ln w="19050">
                            <a:solidFill>
                              <a:srgbClr val="000000"/>
                            </a:solidFill>
                            <a:prstDash val="sysDot"/>
                            <a:miter lim="800000"/>
                            <a:headEnd/>
                            <a:tailEnd/>
                          </a:ln>
                          <a:extLst>
                            <a:ext uri="{909E8E84-426E-40DD-AFC4-6F175D3DCCD1}">
                              <a14:hiddenFill xmlns:a14="http://schemas.microsoft.com/office/drawing/2010/main">
                                <a:solidFill>
                                  <a:srgbClr val="FFFFFF"/>
                                </a:solidFill>
                              </a14:hiddenFill>
                            </a:ext>
                          </a:extLst>
                        </wps:spPr>
                        <wps:txbx>
                          <w:txbxContent>
                            <w:p w14:paraId="40121E23" w14:textId="77777777" w:rsidR="0022259C" w:rsidRDefault="0022259C" w:rsidP="0022259C">
                              <w:pPr>
                                <w:pStyle w:val="19"/>
                                <w:spacing w:before="0" w:beforeAutospacing="0" w:after="0" w:afterAutospacing="0"/>
                                <w:jc w:val="center"/>
                              </w:pPr>
                            </w:p>
                          </w:txbxContent>
                        </wps:txbx>
                        <wps:bodyPr rot="0" vert="horz" wrap="square" lIns="91440" tIns="45720" rIns="91440" bIns="45720" anchor="ctr" anchorCtr="0" upright="1">
                          <a:noAutofit/>
                        </wps:bodyPr>
                      </wps:wsp>
                      <wps:wsp>
                        <wps:cNvPr id="1380508679" name="Скругленный прямоугольник 2"/>
                        <wps:cNvSpPr>
                          <a:spLocks noChangeArrowheads="1"/>
                        </wps:cNvSpPr>
                        <wps:spPr bwMode="auto">
                          <a:xfrm>
                            <a:off x="0" y="924009"/>
                            <a:ext cx="3583117" cy="702183"/>
                          </a:xfrm>
                          <a:prstGeom prst="roundRect">
                            <a:avLst>
                              <a:gd name="adj" fmla="val 8333"/>
                            </a:avLst>
                          </a:prstGeom>
                          <a:solidFill>
                            <a:srgbClr val="FFFFFF"/>
                          </a:solidFill>
                          <a:ln w="19050">
                            <a:solidFill>
                              <a:srgbClr val="000000"/>
                            </a:solidFill>
                            <a:round/>
                            <a:headEnd/>
                            <a:tailEnd/>
                          </a:ln>
                        </wps:spPr>
                        <wps:txbx>
                          <w:txbxContent>
                            <w:p w14:paraId="121AF497" w14:textId="47668B7E" w:rsidR="0022259C" w:rsidRPr="0022259C" w:rsidRDefault="00643691" w:rsidP="0022259C">
                              <w:pPr>
                                <w:jc w:val="center"/>
                                <w:rPr>
                                  <w:rFonts w:ascii="Times New Roman" w:hAnsi="Times New Roman" w:cs="Times New Roman"/>
                                  <w:bCs/>
                                  <w:color w:val="000000"/>
                                  <w:sz w:val="24"/>
                                  <w:szCs w:val="24"/>
                                  <w:lang w:val="uk-UA"/>
                                </w:rPr>
                              </w:pPr>
                              <w:r>
                                <w:rPr>
                                  <w:rFonts w:ascii="Times New Roman" w:hAnsi="Times New Roman" w:cs="Times New Roman"/>
                                  <w:bCs/>
                                  <w:color w:val="000000"/>
                                  <w:sz w:val="24"/>
                                  <w:szCs w:val="24"/>
                                  <w:lang w:val="uk-UA"/>
                                </w:rPr>
                                <w:t>Бізнес-модель банку</w:t>
                              </w:r>
                              <w:r w:rsidR="0022259C" w:rsidRPr="0022259C">
                                <w:rPr>
                                  <w:rFonts w:ascii="Times New Roman" w:hAnsi="Times New Roman" w:cs="Times New Roman"/>
                                  <w:bCs/>
                                  <w:color w:val="000000"/>
                                  <w:sz w:val="24"/>
                                  <w:szCs w:val="24"/>
                                  <w:lang w:val="uk-UA"/>
                                </w:rPr>
                                <w:t xml:space="preserve">, </w:t>
                              </w:r>
                              <w:r>
                                <w:rPr>
                                  <w:rFonts w:ascii="Times New Roman" w:hAnsi="Times New Roman" w:cs="Times New Roman"/>
                                  <w:bCs/>
                                  <w:color w:val="000000"/>
                                  <w:sz w:val="24"/>
                                  <w:szCs w:val="24"/>
                                  <w:lang w:val="uk-UA"/>
                                </w:rPr>
                                <w:t>сформована</w:t>
                              </w:r>
                              <w:r w:rsidR="0022259C" w:rsidRPr="0022259C">
                                <w:rPr>
                                  <w:rFonts w:ascii="Times New Roman" w:hAnsi="Times New Roman" w:cs="Times New Roman"/>
                                  <w:bCs/>
                                  <w:color w:val="000000"/>
                                  <w:sz w:val="24"/>
                                  <w:szCs w:val="24"/>
                                  <w:lang w:val="uk-UA"/>
                                </w:rPr>
                                <w:t xml:space="preserve"> під впливом дії інструментів зовнішніх та внутрішніх стейкхолдерів</w:t>
                              </w:r>
                            </w:p>
                          </w:txbxContent>
                        </wps:txbx>
                        <wps:bodyPr rot="0" vert="horz" wrap="square" lIns="91440" tIns="45720" rIns="91440" bIns="45720" anchor="ctr" anchorCtr="0" upright="1">
                          <a:noAutofit/>
                        </wps:bodyPr>
                      </wps:wsp>
                      <wps:wsp>
                        <wps:cNvPr id="798372900" name="Скругленный прямоугольник 38"/>
                        <wps:cNvSpPr>
                          <a:spLocks noChangeArrowheads="1"/>
                        </wps:cNvSpPr>
                        <wps:spPr bwMode="auto">
                          <a:xfrm>
                            <a:off x="3922519" y="2991153"/>
                            <a:ext cx="2222411" cy="427450"/>
                          </a:xfrm>
                          <a:prstGeom prst="roundRect">
                            <a:avLst>
                              <a:gd name="adj" fmla="val 8417"/>
                            </a:avLst>
                          </a:prstGeom>
                          <a:solidFill>
                            <a:srgbClr val="FFFFFF"/>
                          </a:solidFill>
                          <a:ln w="19050">
                            <a:solidFill>
                              <a:srgbClr val="000000"/>
                            </a:solidFill>
                            <a:round/>
                            <a:headEnd/>
                            <a:tailEnd/>
                          </a:ln>
                        </wps:spPr>
                        <wps:txbx>
                          <w:txbxContent>
                            <w:p w14:paraId="2F261076" w14:textId="77777777" w:rsidR="0022259C" w:rsidRPr="00AA757D" w:rsidRDefault="0022259C" w:rsidP="0022259C">
                              <w:pPr>
                                <w:pStyle w:val="19"/>
                                <w:spacing w:before="0" w:beforeAutospacing="0" w:after="0" w:afterAutospacing="0" w:line="216" w:lineRule="auto"/>
                                <w:ind w:left="-113" w:right="-113"/>
                                <w:jc w:val="center"/>
                                <w:rPr>
                                  <w:bCs/>
                                </w:rPr>
                              </w:pPr>
                              <w:r w:rsidRPr="00AA757D">
                                <w:rPr>
                                  <w:bCs/>
                                  <w:color w:val="000000"/>
                                  <w:lang w:val="uk-UA"/>
                                </w:rPr>
                                <w:t>Зовнішні фактори непостійної дії</w:t>
                              </w:r>
                            </w:p>
                          </w:txbxContent>
                        </wps:txbx>
                        <wps:bodyPr rot="0" vert="horz" wrap="square" lIns="91440" tIns="45720" rIns="91440" bIns="45720" anchor="ctr" anchorCtr="0" upright="1">
                          <a:noAutofit/>
                        </wps:bodyPr>
                      </wps:wsp>
                      <wps:wsp>
                        <wps:cNvPr id="2137073662" name="Прямоугольник 39"/>
                        <wps:cNvSpPr>
                          <a:spLocks noChangeArrowheads="1"/>
                        </wps:cNvSpPr>
                        <wps:spPr bwMode="auto">
                          <a:xfrm>
                            <a:off x="4309421" y="3817351"/>
                            <a:ext cx="1774909" cy="279233"/>
                          </a:xfrm>
                          <a:prstGeom prst="rect">
                            <a:avLst/>
                          </a:prstGeom>
                          <a:solidFill>
                            <a:srgbClr val="FFFFFF"/>
                          </a:solidFill>
                          <a:ln w="12700">
                            <a:solidFill>
                              <a:srgbClr val="000000"/>
                            </a:solidFill>
                            <a:miter lim="800000"/>
                            <a:headEnd/>
                            <a:tailEnd/>
                          </a:ln>
                        </wps:spPr>
                        <wps:txbx>
                          <w:txbxContent>
                            <w:p w14:paraId="62523CE8"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Циклічні зміни</w:t>
                              </w:r>
                            </w:p>
                          </w:txbxContent>
                        </wps:txbx>
                        <wps:bodyPr rot="0" vert="horz" wrap="square" lIns="91440" tIns="45720" rIns="91440" bIns="45720" anchor="ctr" anchorCtr="0" upright="1">
                          <a:noAutofit/>
                        </wps:bodyPr>
                      </wps:wsp>
                      <wps:wsp>
                        <wps:cNvPr id="1475354608" name="Прямоугольник 40"/>
                        <wps:cNvSpPr>
                          <a:spLocks noChangeArrowheads="1"/>
                        </wps:cNvSpPr>
                        <wps:spPr bwMode="auto">
                          <a:xfrm>
                            <a:off x="4304721" y="3487312"/>
                            <a:ext cx="1779609" cy="279333"/>
                          </a:xfrm>
                          <a:prstGeom prst="rect">
                            <a:avLst/>
                          </a:prstGeom>
                          <a:solidFill>
                            <a:srgbClr val="FFFFFF"/>
                          </a:solidFill>
                          <a:ln w="12700">
                            <a:solidFill>
                              <a:srgbClr val="000000"/>
                            </a:solidFill>
                            <a:miter lim="800000"/>
                            <a:headEnd/>
                            <a:tailEnd/>
                          </a:ln>
                        </wps:spPr>
                        <wps:txbx>
                          <w:txbxContent>
                            <w:p w14:paraId="07F77969"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Сезонні коливання</w:t>
                              </w:r>
                            </w:p>
                          </w:txbxContent>
                        </wps:txbx>
                        <wps:bodyPr rot="0" vert="horz" wrap="square" lIns="91440" tIns="45720" rIns="91440" bIns="45720" anchor="ctr" anchorCtr="0" upright="1">
                          <a:noAutofit/>
                        </wps:bodyPr>
                      </wps:wsp>
                      <wps:wsp>
                        <wps:cNvPr id="1494802873" name="Стрелка вверх 4"/>
                        <wps:cNvSpPr>
                          <a:spLocks noChangeArrowheads="1"/>
                        </wps:cNvSpPr>
                        <wps:spPr bwMode="auto">
                          <a:xfrm>
                            <a:off x="1520407" y="3339194"/>
                            <a:ext cx="701803" cy="153218"/>
                          </a:xfrm>
                          <a:prstGeom prst="upArrow">
                            <a:avLst>
                              <a:gd name="adj1" fmla="val 50000"/>
                              <a:gd name="adj2" fmla="val 50000"/>
                            </a:avLst>
                          </a:prstGeom>
                          <a:solidFill>
                            <a:srgbClr val="FFFFFF"/>
                          </a:solidFill>
                          <a:ln w="12700">
                            <a:solidFill>
                              <a:srgbClr val="000000"/>
                            </a:solidFill>
                            <a:miter lim="800000"/>
                            <a:headEnd/>
                            <a:tailEnd/>
                          </a:ln>
                          <a:effectLst>
                            <a:outerShdw dist="38100" dir="2700000" algn="tl" rotWithShape="0">
                              <a:srgbClr val="000000">
                                <a:alpha val="39999"/>
                              </a:srgbClr>
                            </a:outerShdw>
                          </a:effectLst>
                        </wps:spPr>
                        <wps:bodyPr rot="0" vert="horz" wrap="square" lIns="91440" tIns="45720" rIns="91440" bIns="45720" anchor="ctr" anchorCtr="0" upright="1">
                          <a:noAutofit/>
                        </wps:bodyPr>
                      </wps:wsp>
                      <wps:wsp>
                        <wps:cNvPr id="514943709" name="Прямоугольник 31"/>
                        <wps:cNvSpPr>
                          <a:spLocks noChangeArrowheads="1"/>
                        </wps:cNvSpPr>
                        <wps:spPr bwMode="auto">
                          <a:xfrm>
                            <a:off x="271401" y="2657714"/>
                            <a:ext cx="1557208" cy="638275"/>
                          </a:xfrm>
                          <a:prstGeom prst="rect">
                            <a:avLst/>
                          </a:prstGeom>
                          <a:solidFill>
                            <a:srgbClr val="FFFFFF"/>
                          </a:solidFill>
                          <a:ln w="12700">
                            <a:solidFill>
                              <a:srgbClr val="000000"/>
                            </a:solidFill>
                            <a:miter lim="800000"/>
                            <a:headEnd/>
                            <a:tailEnd/>
                          </a:ln>
                        </wps:spPr>
                        <wps:txbx>
                          <w:txbxContent>
                            <w:p w14:paraId="3BF95E8D" w14:textId="77777777" w:rsidR="0022259C" w:rsidRPr="00AA757D" w:rsidRDefault="0022259C" w:rsidP="0022259C">
                              <w:pPr>
                                <w:pStyle w:val="19"/>
                                <w:spacing w:before="0" w:beforeAutospacing="0" w:after="0" w:afterAutospacing="0"/>
                                <w:ind w:left="-142" w:right="-145"/>
                                <w:jc w:val="center"/>
                              </w:pPr>
                              <w:r w:rsidRPr="00AA757D">
                                <w:rPr>
                                  <w:rFonts w:eastAsia="Calibri"/>
                                  <w:color w:val="000000"/>
                                  <w:lang w:val="uk-UA"/>
                                </w:rPr>
                                <w:t>Якість управління активами і пасивами банку</w:t>
                              </w:r>
                            </w:p>
                          </w:txbxContent>
                        </wps:txbx>
                        <wps:bodyPr rot="0" vert="horz" wrap="square" lIns="91440" tIns="45720" rIns="91440" bIns="45720" anchor="ctr" anchorCtr="0" upright="1">
                          <a:noAutofit/>
                        </wps:bodyPr>
                      </wps:wsp>
                      <wps:wsp>
                        <wps:cNvPr id="1976182770" name="Прямоугольник 35"/>
                        <wps:cNvSpPr>
                          <a:spLocks noChangeArrowheads="1"/>
                        </wps:cNvSpPr>
                        <wps:spPr bwMode="auto">
                          <a:xfrm>
                            <a:off x="271401" y="2095247"/>
                            <a:ext cx="1557208" cy="496759"/>
                          </a:xfrm>
                          <a:prstGeom prst="rect">
                            <a:avLst/>
                          </a:prstGeom>
                          <a:solidFill>
                            <a:srgbClr val="FFFFFF"/>
                          </a:solidFill>
                          <a:ln w="12700">
                            <a:solidFill>
                              <a:srgbClr val="000000"/>
                            </a:solidFill>
                            <a:miter lim="800000"/>
                            <a:headEnd/>
                            <a:tailEnd/>
                          </a:ln>
                        </wps:spPr>
                        <wps:txbx>
                          <w:txbxContent>
                            <w:p w14:paraId="68AD23E8"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 xml:space="preserve">Якість управління </w:t>
                              </w:r>
                              <w:r>
                                <w:rPr>
                                  <w:rFonts w:eastAsia="Calibri"/>
                                  <w:color w:val="000000"/>
                                  <w:lang w:val="uk-UA"/>
                                </w:rPr>
                                <w:t>ризиками</w:t>
                              </w:r>
                            </w:p>
                          </w:txbxContent>
                        </wps:txbx>
                        <wps:bodyPr rot="0" vert="horz" wrap="square" lIns="91440" tIns="45720" rIns="91440" bIns="45720" anchor="ctr" anchorCtr="0" upright="1">
                          <a:noAutofit/>
                        </wps:bodyPr>
                      </wps:wsp>
                      <wps:wsp>
                        <wps:cNvPr id="1594683351" name="Прямоугольник 41"/>
                        <wps:cNvSpPr>
                          <a:spLocks noChangeArrowheads="1"/>
                        </wps:cNvSpPr>
                        <wps:spPr bwMode="auto">
                          <a:xfrm>
                            <a:off x="4311021" y="4138788"/>
                            <a:ext cx="1773209" cy="280633"/>
                          </a:xfrm>
                          <a:prstGeom prst="rect">
                            <a:avLst/>
                          </a:prstGeom>
                          <a:solidFill>
                            <a:srgbClr val="FFFFFF"/>
                          </a:solidFill>
                          <a:ln w="12700">
                            <a:solidFill>
                              <a:srgbClr val="000000"/>
                            </a:solidFill>
                            <a:miter lim="800000"/>
                            <a:headEnd/>
                            <a:tailEnd/>
                          </a:ln>
                        </wps:spPr>
                        <wps:txbx>
                          <w:txbxContent>
                            <w:p w14:paraId="55476F92"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Випадкові/надзвичайні фактори</w:t>
                              </w:r>
                            </w:p>
                          </w:txbxContent>
                        </wps:txbx>
                        <wps:bodyPr rot="0" vert="horz" wrap="square" lIns="91440" tIns="45720" rIns="91440" bIns="45720" anchor="ctr" anchorCtr="0" upright="1">
                          <a:noAutofit/>
                        </wps:bodyPr>
                      </wps:wsp>
                      <wps:wsp>
                        <wps:cNvPr id="500052156" name="Скругленный прямоугольник 45"/>
                        <wps:cNvSpPr>
                          <a:spLocks noChangeArrowheads="1"/>
                        </wps:cNvSpPr>
                        <wps:spPr bwMode="auto">
                          <a:xfrm>
                            <a:off x="230301" y="3487312"/>
                            <a:ext cx="3267716" cy="346541"/>
                          </a:xfrm>
                          <a:prstGeom prst="roundRect">
                            <a:avLst>
                              <a:gd name="adj" fmla="val 0"/>
                            </a:avLst>
                          </a:prstGeom>
                          <a:solidFill>
                            <a:srgbClr val="FFFFFF"/>
                          </a:solidFill>
                          <a:ln w="19050">
                            <a:solidFill>
                              <a:srgbClr val="000000"/>
                            </a:solidFill>
                            <a:round/>
                            <a:headEnd/>
                            <a:tailEnd/>
                          </a:ln>
                        </wps:spPr>
                        <wps:txbx>
                          <w:txbxContent>
                            <w:p w14:paraId="30900A48" w14:textId="77777777" w:rsidR="0022259C" w:rsidRPr="00AA757D" w:rsidRDefault="0022259C" w:rsidP="0022259C">
                              <w:pPr>
                                <w:pStyle w:val="19"/>
                                <w:spacing w:before="0" w:beforeAutospacing="0" w:after="0" w:afterAutospacing="0"/>
                                <w:jc w:val="center"/>
                              </w:pPr>
                              <w:r w:rsidRPr="00AA757D">
                                <w:rPr>
                                  <w:color w:val="000000"/>
                                  <w:lang w:val="uk-UA"/>
                                </w:rPr>
                                <w:t>Зовнішні фактори прямого впливу</w:t>
                              </w:r>
                            </w:p>
                          </w:txbxContent>
                        </wps:txbx>
                        <wps:bodyPr rot="0" vert="horz" wrap="square" lIns="91440" tIns="45720" rIns="91440" bIns="45720" anchor="ctr" anchorCtr="0" upright="1">
                          <a:noAutofit/>
                        </wps:bodyPr>
                      </wps:wsp>
                      <wps:wsp>
                        <wps:cNvPr id="849106631" name="Прямоугольник 46"/>
                        <wps:cNvSpPr>
                          <a:spLocks noChangeArrowheads="1"/>
                        </wps:cNvSpPr>
                        <wps:spPr bwMode="auto">
                          <a:xfrm>
                            <a:off x="230301" y="4022275"/>
                            <a:ext cx="3267016" cy="1359960"/>
                          </a:xfrm>
                          <a:prstGeom prst="rect">
                            <a:avLst/>
                          </a:prstGeom>
                          <a:noFill/>
                          <a:ln w="19050">
                            <a:solidFill>
                              <a:srgbClr val="000000"/>
                            </a:solidFill>
                            <a:prstDash val="sysDot"/>
                            <a:miter lim="800000"/>
                            <a:headEnd/>
                            <a:tailEnd/>
                          </a:ln>
                          <a:extLst>
                            <a:ext uri="{909E8E84-426E-40DD-AFC4-6F175D3DCCD1}">
                              <a14:hiddenFill xmlns:a14="http://schemas.microsoft.com/office/drawing/2010/main">
                                <a:solidFill>
                                  <a:srgbClr val="FFFFFF"/>
                                </a:solidFill>
                              </a14:hiddenFill>
                            </a:ext>
                          </a:extLst>
                        </wps:spPr>
                        <wps:txbx>
                          <w:txbxContent>
                            <w:p w14:paraId="20E7489F" w14:textId="77777777" w:rsidR="0022259C" w:rsidRDefault="0022259C" w:rsidP="0022259C">
                              <w:pPr>
                                <w:pStyle w:val="19"/>
                                <w:spacing w:before="0" w:beforeAutospacing="0" w:after="0" w:afterAutospacing="0"/>
                                <w:jc w:val="center"/>
                              </w:pPr>
                              <w:r>
                                <w:t> </w:t>
                              </w:r>
                            </w:p>
                          </w:txbxContent>
                        </wps:txbx>
                        <wps:bodyPr rot="0" vert="horz" wrap="square" lIns="91440" tIns="45720" rIns="91440" bIns="45720" anchor="ctr" anchorCtr="0" upright="1">
                          <a:noAutofit/>
                        </wps:bodyPr>
                      </wps:wsp>
                      <wps:wsp>
                        <wps:cNvPr id="526820715" name="Прямоугольник 47"/>
                        <wps:cNvSpPr>
                          <a:spLocks noChangeArrowheads="1"/>
                        </wps:cNvSpPr>
                        <wps:spPr bwMode="auto">
                          <a:xfrm>
                            <a:off x="273101" y="4087082"/>
                            <a:ext cx="1003305" cy="675980"/>
                          </a:xfrm>
                          <a:prstGeom prst="rect">
                            <a:avLst/>
                          </a:prstGeom>
                          <a:solidFill>
                            <a:srgbClr val="FFFFFF"/>
                          </a:solidFill>
                          <a:ln w="12700">
                            <a:solidFill>
                              <a:srgbClr val="000000"/>
                            </a:solidFill>
                            <a:miter lim="800000"/>
                            <a:headEnd/>
                            <a:tailEnd/>
                          </a:ln>
                        </wps:spPr>
                        <wps:txbx>
                          <w:txbxContent>
                            <w:p w14:paraId="63D9B4C8" w14:textId="77777777" w:rsidR="0022259C" w:rsidRPr="006A057E" w:rsidRDefault="0022259C" w:rsidP="0022259C">
                              <w:pPr>
                                <w:pStyle w:val="19"/>
                                <w:spacing w:before="0" w:beforeAutospacing="0" w:after="0" w:afterAutospacing="0"/>
                                <w:ind w:left="-142" w:right="-146"/>
                                <w:jc w:val="center"/>
                                <w:rPr>
                                  <w:rFonts w:eastAsia="Calibri"/>
                                  <w:color w:val="000000"/>
                                  <w:lang w:val="uk-UA"/>
                                </w:rPr>
                              </w:pPr>
                              <w:r w:rsidRPr="00AA757D">
                                <w:rPr>
                                  <w:rFonts w:eastAsia="Calibri"/>
                                  <w:color w:val="000000"/>
                                  <w:lang w:val="uk-UA"/>
                                </w:rPr>
                                <w:t>Банківський нагляд та регулювання</w:t>
                              </w:r>
                            </w:p>
                          </w:txbxContent>
                        </wps:txbx>
                        <wps:bodyPr rot="0" vert="horz" wrap="square" lIns="91440" tIns="45720" rIns="91440" bIns="45720" anchor="ctr" anchorCtr="0" upright="1">
                          <a:noAutofit/>
                        </wps:bodyPr>
                      </wps:wsp>
                      <wps:wsp>
                        <wps:cNvPr id="1918639880" name="Прямоугольник 48"/>
                        <wps:cNvSpPr>
                          <a:spLocks noChangeArrowheads="1"/>
                        </wps:cNvSpPr>
                        <wps:spPr bwMode="auto">
                          <a:xfrm>
                            <a:off x="1357707" y="4086482"/>
                            <a:ext cx="1002705" cy="676580"/>
                          </a:xfrm>
                          <a:prstGeom prst="rect">
                            <a:avLst/>
                          </a:prstGeom>
                          <a:solidFill>
                            <a:srgbClr val="FFFFFF"/>
                          </a:solidFill>
                          <a:ln w="12700">
                            <a:solidFill>
                              <a:srgbClr val="000000"/>
                            </a:solidFill>
                            <a:miter lim="800000"/>
                            <a:headEnd/>
                            <a:tailEnd/>
                          </a:ln>
                        </wps:spPr>
                        <wps:txbx>
                          <w:txbxContent>
                            <w:p w14:paraId="31F93F43" w14:textId="77777777" w:rsidR="0022259C" w:rsidRPr="00AA757D" w:rsidRDefault="0022259C" w:rsidP="0022259C">
                              <w:pPr>
                                <w:pStyle w:val="19"/>
                                <w:spacing w:before="0" w:beforeAutospacing="0" w:after="0" w:afterAutospacing="0"/>
                                <w:jc w:val="center"/>
                              </w:pPr>
                              <w:r>
                                <w:rPr>
                                  <w:rFonts w:eastAsia="Calibri"/>
                                  <w:color w:val="000000"/>
                                  <w:lang w:val="uk-UA"/>
                                </w:rPr>
                                <w:t>Монетарна</w:t>
                              </w:r>
                              <w:r w:rsidRPr="00AA757D">
                                <w:rPr>
                                  <w:rFonts w:eastAsia="Calibri"/>
                                  <w:color w:val="000000"/>
                                  <w:lang w:val="uk-UA"/>
                                </w:rPr>
                                <w:t xml:space="preserve"> політика</w:t>
                              </w:r>
                            </w:p>
                          </w:txbxContent>
                        </wps:txbx>
                        <wps:bodyPr rot="0" vert="horz" wrap="square" lIns="91440" tIns="45720" rIns="91440" bIns="45720" anchor="ctr" anchorCtr="0" upright="1">
                          <a:noAutofit/>
                        </wps:bodyPr>
                      </wps:wsp>
                      <wps:wsp>
                        <wps:cNvPr id="1264419189" name="Прямоугольник 49"/>
                        <wps:cNvSpPr>
                          <a:spLocks noChangeArrowheads="1"/>
                        </wps:cNvSpPr>
                        <wps:spPr bwMode="auto">
                          <a:xfrm>
                            <a:off x="5594827" y="4499531"/>
                            <a:ext cx="489202" cy="830898"/>
                          </a:xfrm>
                          <a:prstGeom prst="rect">
                            <a:avLst/>
                          </a:prstGeom>
                          <a:solidFill>
                            <a:srgbClr val="FFFFFF"/>
                          </a:solidFill>
                          <a:ln w="12700">
                            <a:solidFill>
                              <a:srgbClr val="000000"/>
                            </a:solidFill>
                            <a:miter lim="800000"/>
                            <a:headEnd/>
                            <a:tailEnd/>
                          </a:ln>
                        </wps:spPr>
                        <wps:txbx>
                          <w:txbxContent>
                            <w:p w14:paraId="41FCC8AD" w14:textId="77777777" w:rsidR="0022259C" w:rsidRPr="00AA757D" w:rsidRDefault="0022259C" w:rsidP="0022259C">
                              <w:pPr>
                                <w:pStyle w:val="19"/>
                                <w:spacing w:before="0" w:beforeAutospacing="0" w:after="0" w:afterAutospacing="0" w:line="216" w:lineRule="auto"/>
                                <w:ind w:left="-170" w:right="-170"/>
                                <w:jc w:val="center"/>
                              </w:pPr>
                              <w:r w:rsidRPr="00AA757D">
                                <w:rPr>
                                  <w:rFonts w:eastAsia="Calibri"/>
                                  <w:color w:val="000000"/>
                                  <w:lang w:val="uk-UA"/>
                                </w:rPr>
                                <w:t>Щодо банку</w:t>
                              </w:r>
                            </w:p>
                          </w:txbxContent>
                        </wps:txbx>
                        <wps:bodyPr rot="0" vert="horz" wrap="square" lIns="91440" tIns="45720" rIns="91440" bIns="45720" anchor="ctr" anchorCtr="0" upright="1">
                          <a:noAutofit/>
                        </wps:bodyPr>
                      </wps:wsp>
                      <wps:wsp>
                        <wps:cNvPr id="226053446" name="Скругленный прямоугольник 3"/>
                        <wps:cNvSpPr>
                          <a:spLocks noChangeArrowheads="1"/>
                        </wps:cNvSpPr>
                        <wps:spPr bwMode="auto">
                          <a:xfrm>
                            <a:off x="229801" y="1712402"/>
                            <a:ext cx="3268216" cy="329439"/>
                          </a:xfrm>
                          <a:prstGeom prst="roundRect">
                            <a:avLst>
                              <a:gd name="adj" fmla="val 0"/>
                            </a:avLst>
                          </a:prstGeom>
                          <a:solidFill>
                            <a:srgbClr val="FFFFFF"/>
                          </a:solidFill>
                          <a:ln w="19050">
                            <a:solidFill>
                              <a:srgbClr val="000000"/>
                            </a:solidFill>
                            <a:round/>
                            <a:headEnd/>
                            <a:tailEnd/>
                          </a:ln>
                        </wps:spPr>
                        <wps:txbx>
                          <w:txbxContent>
                            <w:p w14:paraId="19AB7ECD" w14:textId="77777777" w:rsidR="0022259C" w:rsidRPr="0022259C" w:rsidRDefault="0022259C" w:rsidP="0022259C">
                              <w:pPr>
                                <w:jc w:val="center"/>
                                <w:rPr>
                                  <w:rFonts w:ascii="Times New Roman" w:hAnsi="Times New Roman" w:cs="Times New Roman"/>
                                  <w:bCs/>
                                  <w:iCs/>
                                  <w:color w:val="000000"/>
                                  <w:sz w:val="24"/>
                                  <w:szCs w:val="24"/>
                                  <w:lang w:val="uk-UA"/>
                                </w:rPr>
                              </w:pPr>
                              <w:r w:rsidRPr="0022259C">
                                <w:rPr>
                                  <w:rFonts w:ascii="Times New Roman" w:hAnsi="Times New Roman" w:cs="Times New Roman"/>
                                  <w:bCs/>
                                  <w:iCs/>
                                  <w:color w:val="000000"/>
                                  <w:sz w:val="24"/>
                                  <w:szCs w:val="24"/>
                                  <w:lang w:val="uk-UA"/>
                                </w:rPr>
                                <w:t>Внутрішні фактори</w:t>
                              </w:r>
                            </w:p>
                          </w:txbxContent>
                        </wps:txbx>
                        <wps:bodyPr rot="0" vert="horz" wrap="square" lIns="91440" tIns="45720" rIns="91440" bIns="45720" anchor="ctr" anchorCtr="0" upright="1">
                          <a:noAutofit/>
                        </wps:bodyPr>
                      </wps:wsp>
                      <wps:wsp>
                        <wps:cNvPr id="168898318" name="Прямоугольник 44"/>
                        <wps:cNvSpPr>
                          <a:spLocks noChangeArrowheads="1"/>
                        </wps:cNvSpPr>
                        <wps:spPr bwMode="auto">
                          <a:xfrm>
                            <a:off x="1913709" y="2095547"/>
                            <a:ext cx="1520507" cy="496459"/>
                          </a:xfrm>
                          <a:prstGeom prst="rect">
                            <a:avLst/>
                          </a:prstGeom>
                          <a:solidFill>
                            <a:srgbClr val="FFFFFF"/>
                          </a:solidFill>
                          <a:ln w="12700">
                            <a:solidFill>
                              <a:srgbClr val="000000"/>
                            </a:solidFill>
                            <a:miter lim="800000"/>
                            <a:headEnd/>
                            <a:tailEnd/>
                          </a:ln>
                        </wps:spPr>
                        <wps:txbx>
                          <w:txbxContent>
                            <w:p w14:paraId="632C2BCD" w14:textId="2AE0BFC8" w:rsidR="0022259C" w:rsidRPr="00AA757D" w:rsidRDefault="00495E01" w:rsidP="0022259C">
                              <w:pPr>
                                <w:pStyle w:val="19"/>
                                <w:spacing w:before="0" w:beforeAutospacing="0" w:after="0" w:afterAutospacing="0"/>
                                <w:ind w:left="-142" w:right="-147"/>
                                <w:jc w:val="center"/>
                              </w:pPr>
                              <w:r>
                                <w:rPr>
                                  <w:rFonts w:eastAsia="Calibri"/>
                                  <w:color w:val="000000"/>
                                  <w:lang w:val="uk-UA"/>
                                </w:rPr>
                                <w:t>Рівень капіталізації та потенціал власників</w:t>
                              </w:r>
                            </w:p>
                          </w:txbxContent>
                        </wps:txbx>
                        <wps:bodyPr rot="0" vert="horz" wrap="square" lIns="91440" tIns="45720" rIns="91440" bIns="45720" anchor="ctr" anchorCtr="0" upright="1">
                          <a:noAutofit/>
                        </wps:bodyPr>
                      </wps:wsp>
                      <wps:wsp>
                        <wps:cNvPr id="2056055381" name="Скругленный прямоугольник 60"/>
                        <wps:cNvSpPr>
                          <a:spLocks noChangeArrowheads="1"/>
                        </wps:cNvSpPr>
                        <wps:spPr bwMode="auto">
                          <a:xfrm>
                            <a:off x="3920819" y="1434669"/>
                            <a:ext cx="2221111" cy="1394565"/>
                          </a:xfrm>
                          <a:prstGeom prst="roundRect">
                            <a:avLst>
                              <a:gd name="adj" fmla="val 1505"/>
                            </a:avLst>
                          </a:prstGeom>
                          <a:pattFill prst="pct5">
                            <a:fgClr>
                              <a:srgbClr val="7F7F7F"/>
                            </a:fgClr>
                            <a:bgClr>
                              <a:srgbClr val="FFFFFF"/>
                            </a:bgClr>
                          </a:pattFill>
                          <a:ln w="19050">
                            <a:solidFill>
                              <a:srgbClr val="000000"/>
                            </a:solidFill>
                            <a:round/>
                            <a:headEnd/>
                            <a:tailEnd/>
                          </a:ln>
                        </wps:spPr>
                        <wps:txbx>
                          <w:txbxContent>
                            <w:p w14:paraId="3099538E" w14:textId="77777777" w:rsidR="0022259C" w:rsidRDefault="0022259C" w:rsidP="0022259C">
                              <w:pPr>
                                <w:pStyle w:val="19"/>
                                <w:spacing w:before="0" w:beforeAutospacing="0" w:after="0" w:afterAutospacing="0"/>
                                <w:jc w:val="center"/>
                              </w:pPr>
                              <w:r>
                                <w:t> </w:t>
                              </w:r>
                            </w:p>
                          </w:txbxContent>
                        </wps:txbx>
                        <wps:bodyPr rot="0" vert="horz" wrap="square" lIns="91440" tIns="45720" rIns="91440" bIns="45720" anchor="ctr" anchorCtr="0" upright="1">
                          <a:noAutofit/>
                        </wps:bodyPr>
                      </wps:wsp>
                      <wps:wsp>
                        <wps:cNvPr id="205247470" name="Прямоугольник 51"/>
                        <wps:cNvSpPr>
                          <a:spLocks noChangeArrowheads="1"/>
                        </wps:cNvSpPr>
                        <wps:spPr bwMode="auto">
                          <a:xfrm>
                            <a:off x="4050720" y="4499331"/>
                            <a:ext cx="1467607" cy="831098"/>
                          </a:xfrm>
                          <a:prstGeom prst="rect">
                            <a:avLst/>
                          </a:prstGeom>
                          <a:solidFill>
                            <a:srgbClr val="FFFFFF"/>
                          </a:solidFill>
                          <a:ln w="12700">
                            <a:solidFill>
                              <a:srgbClr val="000000"/>
                            </a:solidFill>
                            <a:miter lim="800000"/>
                            <a:headEnd/>
                            <a:tailEnd/>
                          </a:ln>
                        </wps:spPr>
                        <wps:txbx>
                          <w:txbxContent>
                            <w:p w14:paraId="052740A3" w14:textId="77777777" w:rsidR="0022259C" w:rsidRPr="00AA757D" w:rsidRDefault="0022259C" w:rsidP="0022259C">
                              <w:pPr>
                                <w:pStyle w:val="19"/>
                                <w:spacing w:before="0" w:beforeAutospacing="0" w:after="0" w:afterAutospacing="0"/>
                                <w:ind w:left="-142" w:right="-162"/>
                                <w:jc w:val="center"/>
                              </w:pPr>
                              <w:r w:rsidRPr="00AA757D">
                                <w:rPr>
                                  <w:rFonts w:eastAsia="Calibri"/>
                                  <w:color w:val="000000"/>
                                  <w:lang w:val="uk-UA"/>
                                </w:rPr>
                                <w:t>Щодо банківської системи чи національної економіки</w:t>
                              </w:r>
                            </w:p>
                          </w:txbxContent>
                        </wps:txbx>
                        <wps:bodyPr rot="0" vert="horz" wrap="square" lIns="91440" tIns="45720" rIns="91440" bIns="45720" anchor="ctr" anchorCtr="0" upright="1">
                          <a:noAutofit/>
                        </wps:bodyPr>
                      </wps:wsp>
                      <wps:wsp>
                        <wps:cNvPr id="1409821953" name="Прямоугольник 52"/>
                        <wps:cNvSpPr>
                          <a:spLocks noChangeArrowheads="1"/>
                        </wps:cNvSpPr>
                        <wps:spPr bwMode="auto">
                          <a:xfrm>
                            <a:off x="274301" y="4859473"/>
                            <a:ext cx="1554308" cy="470956"/>
                          </a:xfrm>
                          <a:prstGeom prst="rect">
                            <a:avLst/>
                          </a:prstGeom>
                          <a:solidFill>
                            <a:srgbClr val="FFFFFF"/>
                          </a:solidFill>
                          <a:ln w="12700">
                            <a:solidFill>
                              <a:srgbClr val="000000"/>
                            </a:solidFill>
                            <a:miter lim="800000"/>
                            <a:headEnd/>
                            <a:tailEnd/>
                          </a:ln>
                        </wps:spPr>
                        <wps:txbx>
                          <w:txbxContent>
                            <w:p w14:paraId="4DE75CB8" w14:textId="77777777" w:rsidR="0022259C" w:rsidRPr="00AA757D" w:rsidRDefault="0022259C" w:rsidP="0022259C">
                              <w:pPr>
                                <w:pStyle w:val="19"/>
                                <w:spacing w:before="0" w:beforeAutospacing="0" w:after="0" w:afterAutospacing="0"/>
                                <w:ind w:right="-4"/>
                                <w:jc w:val="center"/>
                              </w:pPr>
                              <w:r w:rsidRPr="00AA757D">
                                <w:rPr>
                                  <w:rFonts w:eastAsia="Calibri"/>
                                  <w:color w:val="000000"/>
                                  <w:lang w:val="uk-UA"/>
                                </w:rPr>
                                <w:t>Законодавчі вимоги загальної дії</w:t>
                              </w:r>
                            </w:p>
                          </w:txbxContent>
                        </wps:txbx>
                        <wps:bodyPr rot="0" vert="horz" wrap="square" lIns="91440" tIns="45720" rIns="91440" bIns="45720" anchor="ctr" anchorCtr="0" upright="1">
                          <a:noAutofit/>
                        </wps:bodyPr>
                      </wps:wsp>
                      <wps:wsp>
                        <wps:cNvPr id="809873789" name="Скругленный прямоугольник 37"/>
                        <wps:cNvSpPr>
                          <a:spLocks noChangeArrowheads="1"/>
                        </wps:cNvSpPr>
                        <wps:spPr bwMode="auto">
                          <a:xfrm>
                            <a:off x="3922419" y="0"/>
                            <a:ext cx="2222511" cy="1434669"/>
                          </a:xfrm>
                          <a:prstGeom prst="roundRect">
                            <a:avLst>
                              <a:gd name="adj" fmla="val 6769"/>
                            </a:avLst>
                          </a:prstGeom>
                          <a:solidFill>
                            <a:srgbClr val="FFFFFF"/>
                          </a:solidFill>
                          <a:ln w="19050">
                            <a:solidFill>
                              <a:srgbClr val="000000"/>
                            </a:solidFill>
                            <a:round/>
                            <a:headEnd/>
                            <a:tailEnd/>
                          </a:ln>
                        </wps:spPr>
                        <wps:txbx>
                          <w:txbxContent>
                            <w:p w14:paraId="3FDCDED4" w14:textId="77777777" w:rsidR="0022259C" w:rsidRPr="00AA757D" w:rsidRDefault="0022259C" w:rsidP="0022259C">
                              <w:pPr>
                                <w:pStyle w:val="19"/>
                                <w:spacing w:before="0" w:beforeAutospacing="0" w:after="0" w:afterAutospacing="0"/>
                                <w:ind w:left="-142" w:right="-127"/>
                                <w:jc w:val="center"/>
                                <w:rPr>
                                  <w:bCs/>
                                  <w:color w:val="000000"/>
                                  <w:lang w:val="uk-UA"/>
                                </w:rPr>
                              </w:pPr>
                              <w:r w:rsidRPr="00AA757D">
                                <w:rPr>
                                  <w:bCs/>
                                  <w:color w:val="000000"/>
                                  <w:lang w:val="uk-UA"/>
                                </w:rPr>
                                <w:t>Зовнішні фактори загальної дії, що виникають як результат взаємодії економічних агентів  у</w:t>
                              </w:r>
                            </w:p>
                            <w:p w14:paraId="175D38A5" w14:textId="2ED7906D" w:rsidR="0022259C" w:rsidRPr="00AA757D" w:rsidRDefault="0022259C" w:rsidP="0022259C">
                              <w:pPr>
                                <w:pStyle w:val="19"/>
                                <w:spacing w:before="0" w:beforeAutospacing="0" w:after="0" w:afterAutospacing="0"/>
                                <w:ind w:left="-142" w:right="-127"/>
                                <w:jc w:val="center"/>
                                <w:rPr>
                                  <w:bCs/>
                                </w:rPr>
                              </w:pPr>
                              <w:r w:rsidRPr="00AA757D">
                                <w:rPr>
                                  <w:bCs/>
                                  <w:color w:val="000000"/>
                                  <w:lang w:val="uk-UA"/>
                                </w:rPr>
                                <w:t xml:space="preserve"> довгостроковій перспективі</w:t>
                              </w:r>
                              <w:r w:rsidR="0088014A">
                                <w:rPr>
                                  <w:bCs/>
                                  <w:color w:val="000000"/>
                                  <w:lang w:val="uk-UA"/>
                                </w:rPr>
                                <w:t>, та виникають на глобальному, національному та регіональному рівнях</w:t>
                              </w:r>
                            </w:p>
                          </w:txbxContent>
                        </wps:txbx>
                        <wps:bodyPr rot="0" vert="horz" wrap="square" lIns="91440" tIns="45720" rIns="91440" bIns="45720" anchor="ctr" anchorCtr="0" upright="1">
                          <a:noAutofit/>
                        </wps:bodyPr>
                      </wps:wsp>
                      <wps:wsp>
                        <wps:cNvPr id="976283477" name="Прямоугольник 53"/>
                        <wps:cNvSpPr>
                          <a:spLocks noChangeArrowheads="1"/>
                        </wps:cNvSpPr>
                        <wps:spPr bwMode="auto">
                          <a:xfrm>
                            <a:off x="1913609" y="4862174"/>
                            <a:ext cx="1520407" cy="468255"/>
                          </a:xfrm>
                          <a:prstGeom prst="rect">
                            <a:avLst/>
                          </a:prstGeom>
                          <a:solidFill>
                            <a:srgbClr val="FFFFFF"/>
                          </a:solidFill>
                          <a:ln w="12700">
                            <a:solidFill>
                              <a:srgbClr val="000000"/>
                            </a:solidFill>
                            <a:miter lim="800000"/>
                            <a:headEnd/>
                            <a:tailEnd/>
                          </a:ln>
                        </wps:spPr>
                        <wps:txbx>
                          <w:txbxContent>
                            <w:p w14:paraId="6E52CC4F" w14:textId="77777777" w:rsidR="0022259C" w:rsidRPr="00AA757D" w:rsidRDefault="0022259C" w:rsidP="0022259C">
                              <w:pPr>
                                <w:pStyle w:val="19"/>
                                <w:spacing w:before="0" w:beforeAutospacing="0" w:after="0" w:afterAutospacing="0"/>
                                <w:ind w:left="-142" w:right="-192"/>
                                <w:jc w:val="center"/>
                                <w:rPr>
                                  <w:rFonts w:eastAsia="Calibri"/>
                                  <w:color w:val="000000"/>
                                  <w:lang w:val="uk-UA"/>
                                </w:rPr>
                              </w:pPr>
                              <w:r w:rsidRPr="00AA757D">
                                <w:rPr>
                                  <w:rFonts w:eastAsia="Calibri"/>
                                  <w:color w:val="000000"/>
                                  <w:lang w:val="uk-UA"/>
                                </w:rPr>
                                <w:t xml:space="preserve">Політика держави як учасника </w:t>
                              </w:r>
                            </w:p>
                            <w:p w14:paraId="7974DFA4" w14:textId="77777777" w:rsidR="0022259C" w:rsidRPr="00AA757D" w:rsidRDefault="0022259C" w:rsidP="0022259C">
                              <w:pPr>
                                <w:pStyle w:val="19"/>
                                <w:spacing w:before="0" w:beforeAutospacing="0" w:after="0" w:afterAutospacing="0"/>
                                <w:ind w:left="-142" w:right="-192"/>
                                <w:jc w:val="center"/>
                              </w:pPr>
                              <w:r w:rsidRPr="00AA757D">
                                <w:rPr>
                                  <w:rFonts w:eastAsia="Calibri"/>
                                  <w:color w:val="000000"/>
                                  <w:lang w:val="uk-UA"/>
                                </w:rPr>
                                <w:t>фінансового ринку</w:t>
                              </w:r>
                            </w:p>
                          </w:txbxContent>
                        </wps:txbx>
                        <wps:bodyPr rot="0" vert="horz" wrap="square" lIns="91440" tIns="45720" rIns="91440" bIns="45720" anchor="ctr" anchorCtr="0" upright="1">
                          <a:noAutofit/>
                        </wps:bodyPr>
                      </wps:wsp>
                      <wps:wsp>
                        <wps:cNvPr id="1027494388" name="Прямоугольник 54"/>
                        <wps:cNvSpPr>
                          <a:spLocks noChangeArrowheads="1"/>
                        </wps:cNvSpPr>
                        <wps:spPr bwMode="auto">
                          <a:xfrm>
                            <a:off x="2430312" y="4088382"/>
                            <a:ext cx="1003905" cy="674680"/>
                          </a:xfrm>
                          <a:prstGeom prst="rect">
                            <a:avLst/>
                          </a:prstGeom>
                          <a:solidFill>
                            <a:srgbClr val="FFFFFF"/>
                          </a:solidFill>
                          <a:ln w="12700">
                            <a:solidFill>
                              <a:srgbClr val="000000"/>
                            </a:solidFill>
                            <a:miter lim="800000"/>
                            <a:headEnd/>
                            <a:tailEnd/>
                          </a:ln>
                        </wps:spPr>
                        <wps:txbx>
                          <w:txbxContent>
                            <w:p w14:paraId="13B49AFB" w14:textId="77777777" w:rsidR="0022259C" w:rsidRPr="00AA757D" w:rsidRDefault="0022259C" w:rsidP="0022259C">
                              <w:pPr>
                                <w:pStyle w:val="19"/>
                                <w:spacing w:before="0" w:beforeAutospacing="0" w:after="0" w:afterAutospacing="0"/>
                                <w:jc w:val="center"/>
                              </w:pPr>
                              <w:r w:rsidRPr="00AA757D">
                                <w:rPr>
                                  <w:rFonts w:eastAsia="Calibri"/>
                                  <w:lang w:val="uk-UA"/>
                                </w:rPr>
                                <w:t>Стан фінансового ринку</w:t>
                              </w:r>
                            </w:p>
                          </w:txbxContent>
                        </wps:txbx>
                        <wps:bodyPr rot="0" vert="horz" wrap="square" lIns="91440" tIns="45720" rIns="91440" bIns="45720" anchor="ctr" anchorCtr="0" upright="1">
                          <a:noAutofit/>
                        </wps:bodyPr>
                      </wps:wsp>
                      <wps:wsp>
                        <wps:cNvPr id="810274851" name="Прямая соединительная линия 5"/>
                        <wps:cNvCnPr>
                          <a:cxnSpLocks noChangeShapeType="1"/>
                        </wps:cNvCnPr>
                        <wps:spPr bwMode="auto">
                          <a:xfrm>
                            <a:off x="85000" y="1626192"/>
                            <a:ext cx="0" cy="2034340"/>
                          </a:xfrm>
                          <a:prstGeom prst="line">
                            <a:avLst/>
                          </a:prstGeom>
                          <a:noFill/>
                          <a:ln w="12700">
                            <a:solidFill>
                              <a:srgbClr val="000000"/>
                            </a:solidFill>
                            <a:round/>
                            <a:headEnd type="diamond" w="med" len="med"/>
                            <a:tailEnd/>
                          </a:ln>
                          <a:extLst>
                            <a:ext uri="{909E8E84-426E-40DD-AFC4-6F175D3DCCD1}">
                              <a14:hiddenFill xmlns:a14="http://schemas.microsoft.com/office/drawing/2010/main">
                                <a:noFill/>
                              </a14:hiddenFill>
                            </a:ext>
                          </a:extLst>
                        </wps:spPr>
                        <wps:bodyPr/>
                      </wps:wsp>
                      <wps:wsp>
                        <wps:cNvPr id="776037104" name="Прямая со стрелкой 6"/>
                        <wps:cNvCnPr>
                          <a:cxnSpLocks noChangeShapeType="1"/>
                        </wps:cNvCnPr>
                        <wps:spPr bwMode="auto">
                          <a:xfrm>
                            <a:off x="85000" y="2005737"/>
                            <a:ext cx="144701" cy="0"/>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27256869" name="Прямая со стрелкой 7"/>
                        <wps:cNvCnPr>
                          <a:cxnSpLocks noChangeShapeType="1"/>
                          <a:endCxn id="500052156" idx="1"/>
                        </wps:cNvCnPr>
                        <wps:spPr bwMode="auto">
                          <a:xfrm>
                            <a:off x="75600" y="3660732"/>
                            <a:ext cx="145401" cy="100"/>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g:cNvPr id="1715945743" name="Группа 1155361521"/>
                        <wpg:cNvGrpSpPr>
                          <a:grpSpLocks/>
                        </wpg:cNvGrpSpPr>
                        <wpg:grpSpPr bwMode="auto">
                          <a:xfrm>
                            <a:off x="4050820" y="1434669"/>
                            <a:ext cx="1984510" cy="1302454"/>
                            <a:chOff x="40508" y="10726"/>
                            <a:chExt cx="19844" cy="13022"/>
                          </a:xfrm>
                        </wpg:grpSpPr>
                        <wps:wsp>
                          <wps:cNvPr id="833438659" name="Прямоугольник 55"/>
                          <wps:cNvSpPr>
                            <a:spLocks noChangeArrowheads="1"/>
                          </wps:cNvSpPr>
                          <wps:spPr bwMode="auto">
                            <a:xfrm>
                              <a:off x="42505" y="11260"/>
                              <a:ext cx="17848" cy="2763"/>
                            </a:xfrm>
                            <a:prstGeom prst="rect">
                              <a:avLst/>
                            </a:prstGeom>
                            <a:solidFill>
                              <a:srgbClr val="FFFFFF"/>
                            </a:solidFill>
                            <a:ln w="12700">
                              <a:solidFill>
                                <a:srgbClr val="000000"/>
                              </a:solidFill>
                              <a:miter lim="800000"/>
                              <a:headEnd/>
                              <a:tailEnd/>
                            </a:ln>
                          </wps:spPr>
                          <wps:txbx>
                            <w:txbxContent>
                              <w:p w14:paraId="12AA412A" w14:textId="77777777" w:rsidR="0022259C" w:rsidRPr="00AA757D" w:rsidRDefault="0022259C" w:rsidP="0022259C">
                                <w:pPr>
                                  <w:pStyle w:val="19"/>
                                  <w:spacing w:before="0" w:beforeAutospacing="0" w:after="0" w:afterAutospacing="0"/>
                                  <w:ind w:left="-142" w:right="-199"/>
                                  <w:jc w:val="center"/>
                                </w:pPr>
                                <w:r w:rsidRPr="00AA757D">
                                  <w:rPr>
                                    <w:rFonts w:eastAsia="Calibri"/>
                                    <w:color w:val="000000"/>
                                    <w:lang w:val="uk-UA"/>
                                  </w:rPr>
                                  <w:t>Макроекономічна ситуація у державі</w:t>
                                </w:r>
                              </w:p>
                            </w:txbxContent>
                          </wps:txbx>
                          <wps:bodyPr rot="0" vert="horz" wrap="square" lIns="91440" tIns="45720" rIns="91440" bIns="45720" anchor="ctr" anchorCtr="0" upright="1">
                            <a:noAutofit/>
                          </wps:bodyPr>
                        </wps:wsp>
                        <wps:wsp>
                          <wps:cNvPr id="1774918629" name="Прямоугольник 56"/>
                          <wps:cNvSpPr>
                            <a:spLocks noChangeArrowheads="1"/>
                          </wps:cNvSpPr>
                          <wps:spPr bwMode="auto">
                            <a:xfrm>
                              <a:off x="42499" y="14475"/>
                              <a:ext cx="17853" cy="2763"/>
                            </a:xfrm>
                            <a:prstGeom prst="rect">
                              <a:avLst/>
                            </a:prstGeom>
                            <a:solidFill>
                              <a:srgbClr val="FFFFFF"/>
                            </a:solidFill>
                            <a:ln w="12700">
                              <a:solidFill>
                                <a:srgbClr val="000000"/>
                              </a:solidFill>
                              <a:miter lim="800000"/>
                              <a:headEnd/>
                              <a:tailEnd/>
                            </a:ln>
                          </wps:spPr>
                          <wps:txbx>
                            <w:txbxContent>
                              <w:p w14:paraId="2892A1A8"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Політичні фактори</w:t>
                                </w:r>
                              </w:p>
                            </w:txbxContent>
                          </wps:txbx>
                          <wps:bodyPr rot="0" vert="horz" wrap="square" lIns="91440" tIns="45720" rIns="91440" bIns="45720" anchor="ctr" anchorCtr="0" upright="1">
                            <a:noAutofit/>
                          </wps:bodyPr>
                        </wps:wsp>
                        <wps:wsp>
                          <wps:cNvPr id="1769221945" name="Прямоугольник 57"/>
                          <wps:cNvSpPr>
                            <a:spLocks noChangeArrowheads="1"/>
                          </wps:cNvSpPr>
                          <wps:spPr bwMode="auto">
                            <a:xfrm>
                              <a:off x="42507" y="17692"/>
                              <a:ext cx="17846" cy="2762"/>
                            </a:xfrm>
                            <a:prstGeom prst="rect">
                              <a:avLst/>
                            </a:prstGeom>
                            <a:solidFill>
                              <a:srgbClr val="FFFFFF"/>
                            </a:solidFill>
                            <a:ln w="12700">
                              <a:solidFill>
                                <a:srgbClr val="000000"/>
                              </a:solidFill>
                              <a:miter lim="800000"/>
                              <a:headEnd/>
                              <a:tailEnd/>
                            </a:ln>
                          </wps:spPr>
                          <wps:txbx>
                            <w:txbxContent>
                              <w:p w14:paraId="1C5062C1"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Соціальні фактори</w:t>
                                </w:r>
                              </w:p>
                            </w:txbxContent>
                          </wps:txbx>
                          <wps:bodyPr rot="0" vert="horz" wrap="square" lIns="91440" tIns="45720" rIns="91440" bIns="45720" anchor="ctr" anchorCtr="0" upright="1">
                            <a:noAutofit/>
                          </wps:bodyPr>
                        </wps:wsp>
                        <wps:wsp>
                          <wps:cNvPr id="1409169758" name="Прямоугольник 58"/>
                          <wps:cNvSpPr>
                            <a:spLocks noChangeArrowheads="1"/>
                          </wps:cNvSpPr>
                          <wps:spPr bwMode="auto">
                            <a:xfrm>
                              <a:off x="42512" y="20882"/>
                              <a:ext cx="17840" cy="2866"/>
                            </a:xfrm>
                            <a:prstGeom prst="rect">
                              <a:avLst/>
                            </a:prstGeom>
                            <a:solidFill>
                              <a:srgbClr val="FFFFFF"/>
                            </a:solidFill>
                            <a:ln w="12700">
                              <a:solidFill>
                                <a:srgbClr val="000000"/>
                              </a:solidFill>
                              <a:miter lim="800000"/>
                              <a:headEnd/>
                              <a:tailEnd/>
                            </a:ln>
                          </wps:spPr>
                          <wps:txbx>
                            <w:txbxContent>
                              <w:p w14:paraId="52E94CD8"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Технологічні фактори</w:t>
                                </w:r>
                              </w:p>
                            </w:txbxContent>
                          </wps:txbx>
                          <wps:bodyPr rot="0" vert="horz" wrap="square" lIns="91440" tIns="45720" rIns="91440" bIns="45720" anchor="ctr" anchorCtr="0" upright="1">
                            <a:noAutofit/>
                          </wps:bodyPr>
                        </wps:wsp>
                        <wps:wsp>
                          <wps:cNvPr id="838697282" name="Прямая соединительная линия 8"/>
                          <wps:cNvCnPr>
                            <a:cxnSpLocks noChangeShapeType="1"/>
                          </wps:cNvCnPr>
                          <wps:spPr bwMode="auto">
                            <a:xfrm>
                              <a:off x="40508" y="10726"/>
                              <a:ext cx="0" cy="11572"/>
                            </a:xfrm>
                            <a:prstGeom prst="line">
                              <a:avLst/>
                            </a:prstGeom>
                            <a:noFill/>
                            <a:ln w="9525">
                              <a:solidFill>
                                <a:srgbClr val="000000"/>
                              </a:solidFill>
                              <a:round/>
                              <a:headEnd type="diamond" w="med" len="med"/>
                              <a:tailEnd/>
                            </a:ln>
                            <a:extLst>
                              <a:ext uri="{909E8E84-426E-40DD-AFC4-6F175D3DCCD1}">
                                <a14:hiddenFill xmlns:a14="http://schemas.microsoft.com/office/drawing/2010/main">
                                  <a:noFill/>
                                </a14:hiddenFill>
                              </a:ext>
                            </a:extLst>
                          </wps:spPr>
                          <wps:bodyPr/>
                        </wps:wsp>
                        <wps:wsp>
                          <wps:cNvPr id="536324694" name="Прямая со стрелкой 9"/>
                          <wps:cNvCnPr>
                            <a:cxnSpLocks noChangeShapeType="1"/>
                          </wps:cNvCnPr>
                          <wps:spPr bwMode="auto">
                            <a:xfrm>
                              <a:off x="40509" y="12641"/>
                              <a:ext cx="19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63636633" name="Прямая со стрелкой 10"/>
                          <wps:cNvCnPr>
                            <a:cxnSpLocks noChangeShapeType="1"/>
                          </wps:cNvCnPr>
                          <wps:spPr bwMode="auto">
                            <a:xfrm>
                              <a:off x="40509" y="15831"/>
                              <a:ext cx="198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9458905" name="Прямая со стрелкой 11"/>
                          <wps:cNvCnPr>
                            <a:cxnSpLocks noChangeShapeType="1"/>
                          </wps:cNvCnPr>
                          <wps:spPr bwMode="auto">
                            <a:xfrm>
                              <a:off x="40509" y="19021"/>
                              <a:ext cx="198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22615974" name="Прямая со стрелкой 12"/>
                          <wps:cNvCnPr>
                            <a:cxnSpLocks noChangeShapeType="1"/>
                          </wps:cNvCnPr>
                          <wps:spPr bwMode="auto">
                            <a:xfrm>
                              <a:off x="40509" y="22299"/>
                              <a:ext cx="198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s:wsp>
                        <wps:cNvPr id="1510174762" name="Прямая соединительная линия 13"/>
                        <wps:cNvCnPr>
                          <a:cxnSpLocks noChangeShapeType="1"/>
                        </wps:cNvCnPr>
                        <wps:spPr bwMode="auto">
                          <a:xfrm>
                            <a:off x="4105820" y="3418603"/>
                            <a:ext cx="0" cy="868603"/>
                          </a:xfrm>
                          <a:prstGeom prst="line">
                            <a:avLst/>
                          </a:prstGeom>
                          <a:noFill/>
                          <a:ln w="9525">
                            <a:solidFill>
                              <a:srgbClr val="000000"/>
                            </a:solidFill>
                            <a:round/>
                            <a:headEnd type="diamond" w="med" len="med"/>
                            <a:tailEnd/>
                          </a:ln>
                          <a:extLst>
                            <a:ext uri="{909E8E84-426E-40DD-AFC4-6F175D3DCCD1}">
                              <a14:hiddenFill xmlns:a14="http://schemas.microsoft.com/office/drawing/2010/main">
                                <a:noFill/>
                              </a14:hiddenFill>
                            </a:ext>
                          </a:extLst>
                        </wps:spPr>
                        <wps:bodyPr/>
                      </wps:wsp>
                      <wps:wsp>
                        <wps:cNvPr id="80521940" name="Прямая со стрелкой 14"/>
                        <wps:cNvCnPr>
                          <a:cxnSpLocks noChangeShapeType="1"/>
                        </wps:cNvCnPr>
                        <wps:spPr bwMode="auto">
                          <a:xfrm>
                            <a:off x="4106020" y="3621327"/>
                            <a:ext cx="19860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0738997" name="Прямая со стрелкой 15"/>
                        <wps:cNvCnPr>
                          <a:cxnSpLocks noChangeShapeType="1"/>
                        </wps:cNvCnPr>
                        <wps:spPr bwMode="auto">
                          <a:xfrm>
                            <a:off x="4106020" y="3961768"/>
                            <a:ext cx="19850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66095292" name="Прямая со стрелкой 16"/>
                        <wps:cNvCnPr>
                          <a:cxnSpLocks noChangeShapeType="1"/>
                        </wps:cNvCnPr>
                        <wps:spPr bwMode="auto">
                          <a:xfrm>
                            <a:off x="4105920" y="4287506"/>
                            <a:ext cx="20500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79809296" name="Прямая со стрелкой 17"/>
                        <wps:cNvCnPr>
                          <a:cxnSpLocks noChangeShapeType="1"/>
                        </wps:cNvCnPr>
                        <wps:spPr bwMode="auto">
                          <a:xfrm>
                            <a:off x="4924824" y="4419122"/>
                            <a:ext cx="0" cy="8010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60520034" name="Прямая со стрелкой 18"/>
                        <wps:cNvCnPr>
                          <a:cxnSpLocks noChangeShapeType="1"/>
                        </wps:cNvCnPr>
                        <wps:spPr bwMode="auto">
                          <a:xfrm>
                            <a:off x="5818028" y="4419122"/>
                            <a:ext cx="0" cy="7980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79176394" name="Прямоугольник 78"/>
                        <wps:cNvSpPr>
                          <a:spLocks noChangeArrowheads="1"/>
                        </wps:cNvSpPr>
                        <wps:spPr bwMode="auto">
                          <a:xfrm>
                            <a:off x="1913709" y="2657714"/>
                            <a:ext cx="1519907" cy="638275"/>
                          </a:xfrm>
                          <a:prstGeom prst="rect">
                            <a:avLst/>
                          </a:prstGeom>
                          <a:solidFill>
                            <a:srgbClr val="FFFFFF"/>
                          </a:solidFill>
                          <a:ln w="12700">
                            <a:solidFill>
                              <a:srgbClr val="000000"/>
                            </a:solidFill>
                            <a:miter lim="800000"/>
                            <a:headEnd/>
                            <a:tailEnd/>
                          </a:ln>
                        </wps:spPr>
                        <wps:txbx>
                          <w:txbxContent>
                            <w:p w14:paraId="0D24DD13" w14:textId="112AD8A9" w:rsidR="002A7585" w:rsidRPr="00183E4D" w:rsidRDefault="00183E4D" w:rsidP="00183E4D">
                              <w:pPr>
                                <w:pStyle w:val="19"/>
                                <w:spacing w:before="0" w:beforeAutospacing="0" w:after="0" w:afterAutospacing="0"/>
                                <w:ind w:left="-142" w:right="-147"/>
                                <w:jc w:val="center"/>
                                <w:rPr>
                                  <w:rFonts w:eastAsia="Calibri"/>
                                  <w:color w:val="000000"/>
                                  <w:lang w:val="uk-UA"/>
                                </w:rPr>
                              </w:pPr>
                              <w:r w:rsidRPr="00183E4D">
                                <w:rPr>
                                  <w:rFonts w:eastAsia="Calibri"/>
                                  <w:color w:val="000000"/>
                                  <w:lang w:val="uk-UA"/>
                                </w:rPr>
                                <w:t>Якість управління фінансовими результа</w:t>
                              </w:r>
                              <w:r>
                                <w:rPr>
                                  <w:rFonts w:eastAsia="Calibri"/>
                                  <w:color w:val="000000"/>
                                  <w:lang w:val="uk-UA"/>
                                </w:rPr>
                                <w:t>та</w:t>
                              </w:r>
                              <w:r w:rsidRPr="00183E4D">
                                <w:rPr>
                                  <w:rFonts w:eastAsia="Calibri"/>
                                  <w:color w:val="000000"/>
                                  <w:lang w:val="uk-UA"/>
                                </w:rPr>
                                <w:t xml:space="preserve">ми </w:t>
                              </w:r>
                            </w:p>
                          </w:txbxContent>
                        </wps:txbx>
                        <wps:bodyPr rot="0" vert="horz" wrap="square" lIns="91440" tIns="45720" rIns="91440" bIns="45720" anchor="ctr" anchorCtr="0" upright="1">
                          <a:noAutofit/>
                        </wps:bodyPr>
                      </wps:wsp>
                      <wps:wsp>
                        <wps:cNvPr id="2061872653" name="Прямоугольник 1808857861"/>
                        <wps:cNvSpPr>
                          <a:spLocks noChangeArrowheads="1"/>
                        </wps:cNvSpPr>
                        <wps:spPr bwMode="auto">
                          <a:xfrm>
                            <a:off x="6300" y="0"/>
                            <a:ext cx="870004" cy="527662"/>
                          </a:xfrm>
                          <a:prstGeom prst="rect">
                            <a:avLst/>
                          </a:prstGeom>
                          <a:solidFill>
                            <a:srgbClr val="FFFFFF"/>
                          </a:solidFill>
                          <a:ln w="12700">
                            <a:solidFill>
                              <a:srgbClr val="000000"/>
                            </a:solidFill>
                            <a:round/>
                            <a:headEnd type="none" w="sm" len="sm"/>
                            <a:tailEnd type="none" w="sm" len="sm"/>
                          </a:ln>
                        </wps:spPr>
                        <wps:txbx>
                          <w:txbxContent>
                            <w:p w14:paraId="3DD08D55" w14:textId="77777777" w:rsidR="0022259C" w:rsidRPr="0022259C" w:rsidRDefault="0022259C" w:rsidP="0022259C">
                              <w:pPr>
                                <w:spacing w:after="0" w:line="256" w:lineRule="auto"/>
                                <w:ind w:left="-170"/>
                                <w:jc w:val="center"/>
                                <w:rPr>
                                  <w:rFonts w:ascii="Times New Roman" w:eastAsia="Times New Roman" w:hAnsi="Times New Roman" w:cs="Times New Roman"/>
                                  <w:color w:val="000000"/>
                                  <w:sz w:val="24"/>
                                  <w:szCs w:val="24"/>
                                  <w:lang w:val="uk-UA"/>
                                </w:rPr>
                              </w:pPr>
                              <w:r w:rsidRPr="0022259C">
                                <w:rPr>
                                  <w:rFonts w:ascii="Times New Roman" w:hAnsi="Times New Roman" w:cs="Times New Roman"/>
                                  <w:color w:val="000000"/>
                                  <w:sz w:val="24"/>
                                  <w:szCs w:val="24"/>
                                  <w:lang w:val="uk-UA"/>
                                </w:rPr>
                                <w:t>Власники</w:t>
                              </w:r>
                              <w:r w:rsidRPr="0022259C">
                                <w:rPr>
                                  <w:rFonts w:ascii="Times New Roman" w:eastAsia="Times New Roman" w:hAnsi="Times New Roman" w:cs="Times New Roman"/>
                                  <w:color w:val="000000"/>
                                  <w:sz w:val="24"/>
                                  <w:szCs w:val="24"/>
                                  <w:lang w:val="uk-UA"/>
                                </w:rPr>
                                <w:t xml:space="preserve"> </w:t>
                              </w:r>
                            </w:p>
                          </w:txbxContent>
                        </wps:txbx>
                        <wps:bodyPr rot="0" vert="horz" wrap="square" lIns="88900" tIns="38100" rIns="88900" bIns="38100" anchor="ctr" anchorCtr="0" upright="1">
                          <a:noAutofit/>
                        </wps:bodyPr>
                      </wps:wsp>
                      <wps:wsp>
                        <wps:cNvPr id="736179504" name="Прямоугольник 382611431"/>
                        <wps:cNvSpPr>
                          <a:spLocks noChangeArrowheads="1"/>
                        </wps:cNvSpPr>
                        <wps:spPr bwMode="auto">
                          <a:xfrm>
                            <a:off x="721904" y="0"/>
                            <a:ext cx="1031905" cy="527662"/>
                          </a:xfrm>
                          <a:prstGeom prst="rect">
                            <a:avLst/>
                          </a:prstGeom>
                          <a:solidFill>
                            <a:srgbClr val="FFFFFF"/>
                          </a:solidFill>
                          <a:ln w="12700">
                            <a:solidFill>
                              <a:srgbClr val="000000"/>
                            </a:solidFill>
                            <a:round/>
                            <a:headEnd type="none" w="sm" len="sm"/>
                            <a:tailEnd type="none" w="sm" len="sm"/>
                          </a:ln>
                        </wps:spPr>
                        <wps:txbx>
                          <w:txbxContent>
                            <w:p w14:paraId="04CAD7AA" w14:textId="77777777" w:rsidR="0022259C" w:rsidRPr="0022259C" w:rsidRDefault="0022259C" w:rsidP="0022259C">
                              <w:pPr>
                                <w:spacing w:after="0" w:line="257" w:lineRule="auto"/>
                                <w:ind w:left="-170" w:right="-113"/>
                                <w:jc w:val="center"/>
                                <w:rPr>
                                  <w:rFonts w:ascii="Times New Roman" w:eastAsia="Times New Roman" w:hAnsi="Times New Roman" w:cs="Times New Roman"/>
                                  <w:color w:val="000000"/>
                                  <w:sz w:val="24"/>
                                  <w:szCs w:val="24"/>
                                  <w:lang w:val="uk-UA"/>
                                </w:rPr>
                              </w:pPr>
                              <w:r w:rsidRPr="0022259C">
                                <w:rPr>
                                  <w:rFonts w:ascii="Times New Roman" w:eastAsia="Times New Roman" w:hAnsi="Times New Roman" w:cs="Times New Roman"/>
                                  <w:color w:val="000000"/>
                                  <w:sz w:val="24"/>
                                  <w:szCs w:val="24"/>
                                  <w:lang w:val="uk-UA"/>
                                </w:rPr>
                                <w:t xml:space="preserve">Менеджмент </w:t>
                              </w:r>
                            </w:p>
                          </w:txbxContent>
                        </wps:txbx>
                        <wps:bodyPr rot="0" vert="horz" wrap="square" lIns="88900" tIns="38100" rIns="88900" bIns="38100" anchor="ctr" anchorCtr="0" upright="1">
                          <a:noAutofit/>
                        </wps:bodyPr>
                      </wps:wsp>
                      <wps:wsp>
                        <wps:cNvPr id="456302731" name="Прямоугольник 78145321"/>
                        <wps:cNvSpPr>
                          <a:spLocks noChangeArrowheads="1"/>
                        </wps:cNvSpPr>
                        <wps:spPr bwMode="auto">
                          <a:xfrm>
                            <a:off x="1657308" y="0"/>
                            <a:ext cx="1191206" cy="527662"/>
                          </a:xfrm>
                          <a:prstGeom prst="rect">
                            <a:avLst/>
                          </a:prstGeom>
                          <a:solidFill>
                            <a:srgbClr val="FFFFFF"/>
                          </a:solidFill>
                          <a:ln w="12700">
                            <a:solidFill>
                              <a:srgbClr val="000000"/>
                            </a:solidFill>
                            <a:round/>
                            <a:headEnd type="none" w="sm" len="sm"/>
                            <a:tailEnd type="none" w="sm" len="sm"/>
                          </a:ln>
                        </wps:spPr>
                        <wps:txbx>
                          <w:txbxContent>
                            <w:p w14:paraId="74C049CE" w14:textId="77777777" w:rsidR="0022259C" w:rsidRPr="0022259C" w:rsidRDefault="0022259C" w:rsidP="0022259C">
                              <w:pPr>
                                <w:spacing w:after="0" w:line="256" w:lineRule="auto"/>
                                <w:ind w:left="-170"/>
                                <w:jc w:val="center"/>
                                <w:rPr>
                                  <w:rFonts w:ascii="Times New Roman" w:eastAsia="Times New Roman" w:hAnsi="Times New Roman" w:cs="Times New Roman"/>
                                  <w:color w:val="000000"/>
                                  <w:sz w:val="24"/>
                                  <w:szCs w:val="24"/>
                                  <w:lang w:val="uk-UA"/>
                                </w:rPr>
                              </w:pPr>
                              <w:r w:rsidRPr="0022259C">
                                <w:rPr>
                                  <w:rFonts w:ascii="Times New Roman" w:eastAsia="Times New Roman" w:hAnsi="Times New Roman" w:cs="Times New Roman"/>
                                  <w:color w:val="000000"/>
                                  <w:sz w:val="24"/>
                                  <w:szCs w:val="24"/>
                                  <w:lang w:val="uk-UA"/>
                                </w:rPr>
                                <w:t xml:space="preserve">Кредитори </w:t>
                              </w:r>
                              <w:r w:rsidRPr="0022259C">
                                <w:rPr>
                                  <w:rFonts w:ascii="Times New Roman" w:hAnsi="Times New Roman" w:cs="Times New Roman"/>
                                  <w:color w:val="000000"/>
                                  <w:sz w:val="24"/>
                                  <w:szCs w:val="24"/>
                                  <w:lang w:val="uk-UA"/>
                                </w:rPr>
                                <w:t>та контрагенти</w:t>
                              </w:r>
                            </w:p>
                          </w:txbxContent>
                        </wps:txbx>
                        <wps:bodyPr rot="0" vert="horz" wrap="square" lIns="88900" tIns="38100" rIns="88900" bIns="38100" anchor="ctr" anchorCtr="0" upright="1">
                          <a:noAutofit/>
                        </wps:bodyPr>
                      </wps:wsp>
                      <wps:wsp>
                        <wps:cNvPr id="32418266" name="Прямоугольник 175340258"/>
                        <wps:cNvSpPr>
                          <a:spLocks noChangeArrowheads="1"/>
                        </wps:cNvSpPr>
                        <wps:spPr bwMode="auto">
                          <a:xfrm>
                            <a:off x="2670613" y="0"/>
                            <a:ext cx="913804" cy="527662"/>
                          </a:xfrm>
                          <a:prstGeom prst="rect">
                            <a:avLst/>
                          </a:prstGeom>
                          <a:solidFill>
                            <a:srgbClr val="FFFFFF"/>
                          </a:solidFill>
                          <a:ln w="12700">
                            <a:solidFill>
                              <a:srgbClr val="000000"/>
                            </a:solidFill>
                            <a:round/>
                            <a:headEnd type="none" w="sm" len="sm"/>
                            <a:tailEnd type="none" w="sm" len="sm"/>
                          </a:ln>
                        </wps:spPr>
                        <wps:txbx>
                          <w:txbxContent>
                            <w:p w14:paraId="0FDC54C2" w14:textId="77777777" w:rsidR="0022259C" w:rsidRPr="0022259C" w:rsidRDefault="0022259C" w:rsidP="0022259C">
                              <w:pPr>
                                <w:spacing w:after="0" w:line="256" w:lineRule="auto"/>
                                <w:ind w:left="-170"/>
                                <w:jc w:val="center"/>
                                <w:rPr>
                                  <w:rFonts w:ascii="Times New Roman" w:eastAsia="Times New Roman" w:hAnsi="Times New Roman" w:cs="Times New Roman"/>
                                  <w:color w:val="000000"/>
                                  <w:sz w:val="24"/>
                                  <w:szCs w:val="24"/>
                                  <w:lang w:val="uk-UA"/>
                                </w:rPr>
                              </w:pPr>
                              <w:r w:rsidRPr="0022259C">
                                <w:rPr>
                                  <w:rFonts w:ascii="Times New Roman" w:eastAsia="Times New Roman" w:hAnsi="Times New Roman" w:cs="Times New Roman"/>
                                  <w:color w:val="000000"/>
                                  <w:sz w:val="24"/>
                                  <w:szCs w:val="24"/>
                                  <w:lang w:val="uk-UA"/>
                                </w:rPr>
                                <w:t>Клієнти та суспільство</w:t>
                              </w:r>
                            </w:p>
                          </w:txbxContent>
                        </wps:txbx>
                        <wps:bodyPr rot="0" vert="horz" wrap="square" lIns="88900" tIns="38100" rIns="88900" bIns="38100" anchor="ctr" anchorCtr="0" upright="1">
                          <a:noAutofit/>
                        </wps:bodyPr>
                      </wps:wsp>
                      <wps:wsp>
                        <wps:cNvPr id="648274270" name="Прямоугольник 1774195048"/>
                        <wps:cNvSpPr>
                          <a:spLocks noChangeArrowheads="1"/>
                        </wps:cNvSpPr>
                        <wps:spPr bwMode="auto">
                          <a:xfrm>
                            <a:off x="6300" y="476256"/>
                            <a:ext cx="3578117" cy="314337"/>
                          </a:xfrm>
                          <a:prstGeom prst="rect">
                            <a:avLst/>
                          </a:prstGeom>
                          <a:solidFill>
                            <a:srgbClr val="FFFFFF"/>
                          </a:solidFill>
                          <a:ln w="12700">
                            <a:solidFill>
                              <a:srgbClr val="000000"/>
                            </a:solidFill>
                            <a:round/>
                            <a:headEnd type="none" w="sm" len="sm"/>
                            <a:tailEnd type="none" w="sm" len="sm"/>
                          </a:ln>
                        </wps:spPr>
                        <wps:txbx>
                          <w:txbxContent>
                            <w:p w14:paraId="12AC3FC4" w14:textId="77777777" w:rsidR="0022259C" w:rsidRPr="0022259C" w:rsidRDefault="0022259C" w:rsidP="0022259C">
                              <w:pPr>
                                <w:spacing w:line="256" w:lineRule="auto"/>
                                <w:jc w:val="center"/>
                                <w:rPr>
                                  <w:rFonts w:ascii="Times New Roman" w:eastAsia="Times New Roman" w:hAnsi="Times New Roman" w:cs="Times New Roman"/>
                                  <w:color w:val="000000"/>
                                  <w:sz w:val="24"/>
                                  <w:szCs w:val="24"/>
                                  <w:lang w:val="uk-UA"/>
                                </w:rPr>
                              </w:pPr>
                              <w:r w:rsidRPr="0022259C">
                                <w:rPr>
                                  <w:rFonts w:ascii="Times New Roman" w:eastAsia="Times New Roman" w:hAnsi="Times New Roman" w:cs="Times New Roman"/>
                                  <w:color w:val="000000"/>
                                  <w:sz w:val="24"/>
                                  <w:szCs w:val="24"/>
                                  <w:lang w:val="uk-UA"/>
                                </w:rPr>
                                <w:t>Держава</w:t>
                              </w:r>
                            </w:p>
                          </w:txbxContent>
                        </wps:txbx>
                        <wps:bodyPr rot="0" vert="horz" wrap="square" lIns="88900" tIns="38100" rIns="88900" bIns="38100" anchor="t" anchorCtr="0" upright="1">
                          <a:noAutofit/>
                        </wps:bodyPr>
                      </wps:wsp>
                      <wps:wsp>
                        <wps:cNvPr id="1043028604" name="Стрелка: вниз 1394273200"/>
                        <wps:cNvSpPr>
                          <a:spLocks noChangeArrowheads="1"/>
                        </wps:cNvSpPr>
                        <wps:spPr bwMode="auto">
                          <a:xfrm>
                            <a:off x="1520407" y="790593"/>
                            <a:ext cx="546503" cy="133416"/>
                          </a:xfrm>
                          <a:prstGeom prst="downArrow">
                            <a:avLst>
                              <a:gd name="adj1" fmla="val 50000"/>
                              <a:gd name="adj2" fmla="val 50000"/>
                            </a:avLst>
                          </a:prstGeom>
                          <a:solidFill>
                            <a:schemeClr val="lt1">
                              <a:lumMod val="100000"/>
                              <a:lumOff val="0"/>
                            </a:schemeClr>
                          </a:solidFill>
                          <a:ln w="12700">
                            <a:solidFill>
                              <a:schemeClr val="dk1">
                                <a:lumMod val="100000"/>
                                <a:lumOff val="0"/>
                              </a:schemeClr>
                            </a:solidFill>
                            <a:miter lim="800000"/>
                            <a:headEnd/>
                            <a:tailEnd/>
                          </a:ln>
                        </wps:spPr>
                        <wps:bodyPr rot="0" vert="horz" wrap="square" lIns="91440" tIns="45720" rIns="91440" bIns="45720" anchor="ctr" anchorCtr="0" upright="1">
                          <a:noAutofit/>
                        </wps:bodyPr>
                      </wps:wsp>
                    </wpc:wpc>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CD0730B" id="Полотно 2" o:spid="_x0000_s1081" editas="canvas" style="width:483.9pt;height:430.35pt;mso-position-horizontal-relative:char;mso-position-vertical-relative:line" coordsize="61455,546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2" type="#_x0000_t75" style="position:absolute;width:61455;height:54654;visibility:visible;mso-wrap-style:square">
                  <v:fill o:detectmouseclick="t"/>
                  <v:path o:connecttype="none"/>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79" o:spid="_x0000_s1083" type="#_x0000_t66" style="position:absolute;left:35844;top:30501;width:3378;height:33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" adj="7156" strokeweight="1pt">
                  <v:shadow on="t" color="black" opacity="26213f" origin="-.5,-.5" offset=".74836mm,.74836mm"/>
                  <v:textbox>
                    <w:txbxContent>
                      <w:p w14:paraId="58AC5C59" w14:textId="77777777" w:rsidR="0022259C" w:rsidRDefault="0022259C" w:rsidP="0022259C"/>
                    </w:txbxContent>
                  </v:textbox>
                </v:shape>
                <v:shape id="Стрелка влево 20" o:spid="_x0000_s1084" type="#_x0000_t66" style="position:absolute;left:35828;top:9906;width:3380;height:33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" adj="7157" strokeweight="1pt">
                  <v:shadow on="t" color="black" opacity="26213f" origin="-.5,-.5" offset=".74836mm,.74836mm"/>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19" o:spid="_x0000_s1085" type="#_x0000_t68" style="position:absolute;left:47952;top:28292;width:5529;height:22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" adj="10800" strokeweight="1pt">
                  <v:shadow on="t" color="black" opacity="26213f" origin="-.5,-.5" offset=".74836mm,.74836mm"/>
                </v:shape>
                <v:roundrect id="Скругленный прямоугольник 74" o:spid="_x0000_s1086" style="position:absolute;left:39243;top:33800;width:22206;height:20494;visibility:visible;mso-wrap-style:square;v-text-anchor:middle" arcsize="98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" fillcolor="#7f7f7f" strokeweight="1.5pt">
                  <v:fill r:id="rId19" o:title="" type="pattern"/>
                  <v:textbox>
                    <w:txbxContent>
                      <w:p w14:paraId="675F94D3" w14:textId="77777777" w:rsidR="0022259C" w:rsidRDefault="0022259C" w:rsidP="0022259C">
                        <w:pPr>
                          <w:pStyle w:val="19"/>
                          <w:spacing w:before="0" w:beforeAutospacing="0" w:after="0" w:afterAutospacing="0"/>
                          <w:jc w:val="center"/>
                        </w:pPr>
                        <w:r>
                          <w:t> </w:t>
                        </w:r>
                      </w:p>
                    </w:txbxContent>
                  </v:textbox>
                </v:roundrect>
                <v:roundrect id="Скругленный прямоугольник 59" o:spid="_x0000_s1087" style="position:absolute;top:16261;width:35827;height:38037;visibility:visible;mso-wrap-style:square;v-text-anchor:middle" arcsize="98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" fillcolor="#7f7f7f" strokeweight="1.5pt">
                  <v:fill r:id="rId19" o:title="" type="pattern"/>
                  <v:textbox>
                    <w:txbxContent>
                      <w:p w14:paraId="58DD6254" w14:textId="77777777" w:rsidR="0022259C" w:rsidRDefault="0022259C" w:rsidP="0022259C">
                        <w:pPr>
                          <w:pStyle w:val="19"/>
                          <w:spacing w:before="0" w:beforeAutospacing="0" w:after="0" w:afterAutospacing="0"/>
                          <w:jc w:val="center"/>
                        </w:pPr>
                      </w:p>
                    </w:txbxContent>
                  </v:textbox>
                </v:roundrect>
                <v:rect id="Прямоугольник 42" o:spid="_x0000_s1088" style="position:absolute;left:2297;top:20429;width:32677;height:133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" filled="f" strokeweight="1.5pt">
                  <v:stroke dashstyle="1 1"/>
                  <v:textbox>
                    <w:txbxContent>
                      <w:p w14:paraId="40121E23" w14:textId="77777777" w:rsidR="0022259C" w:rsidRDefault="0022259C" w:rsidP="0022259C">
                        <w:pPr>
                          <w:pStyle w:val="19"/>
                          <w:spacing w:before="0" w:beforeAutospacing="0" w:after="0" w:afterAutospacing="0"/>
                          <w:jc w:val="center"/>
                        </w:pPr>
                      </w:p>
                    </w:txbxContent>
                  </v:textbox>
                </v:rect>
                <v:roundrect id="Скругленный прямоугольник 2" o:spid="_x0000_s1089" style="position:absolute;top:9240;width:35831;height:7021;visibility:visible;mso-wrap-style:square;v-text-anchor:middle" arcsize="546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" strokeweight="1.5pt">
                  <v:textbox>
                    <w:txbxContent>
                      <w:p w14:paraId="121AF497" w14:textId="47668B7E" w:rsidR="0022259C" w:rsidRPr="0022259C" w:rsidRDefault="00643691" w:rsidP="0022259C">
                        <w:pPr>
                          <w:jc w:val="center"/>
                          <w:rPr>
                            <w:rFonts w:ascii="Times New Roman" w:hAnsi="Times New Roman" w:cs="Times New Roman"/>
                            <w:bCs/>
                            <w:color w:val="000000"/>
                            <w:sz w:val="24"/>
                            <w:szCs w:val="24"/>
                            <w:lang w:val="uk-UA"/>
                          </w:rPr>
                        </w:pPr>
                        <w:r>
                          <w:rPr>
                            <w:rFonts w:ascii="Times New Roman" w:hAnsi="Times New Roman" w:cs="Times New Roman"/>
                            <w:bCs/>
                            <w:color w:val="000000"/>
                            <w:sz w:val="24"/>
                            <w:szCs w:val="24"/>
                            <w:lang w:val="uk-UA"/>
                          </w:rPr>
                          <w:t>Бізнес-модель банку</w:t>
                        </w:r>
                        <w:r w:rsidR="0022259C" w:rsidRPr="0022259C">
                          <w:rPr>
                            <w:rFonts w:ascii="Times New Roman" w:hAnsi="Times New Roman" w:cs="Times New Roman"/>
                            <w:bCs/>
                            <w:color w:val="000000"/>
                            <w:sz w:val="24"/>
                            <w:szCs w:val="24"/>
                            <w:lang w:val="uk-UA"/>
                          </w:rPr>
                          <w:t xml:space="preserve">, </w:t>
                        </w:r>
                        <w:r>
                          <w:rPr>
                            <w:rFonts w:ascii="Times New Roman" w:hAnsi="Times New Roman" w:cs="Times New Roman"/>
                            <w:bCs/>
                            <w:color w:val="000000"/>
                            <w:sz w:val="24"/>
                            <w:szCs w:val="24"/>
                            <w:lang w:val="uk-UA"/>
                          </w:rPr>
                          <w:t>сформована</w:t>
                        </w:r>
                        <w:r w:rsidR="0022259C" w:rsidRPr="0022259C">
                          <w:rPr>
                            <w:rFonts w:ascii="Times New Roman" w:hAnsi="Times New Roman" w:cs="Times New Roman"/>
                            <w:bCs/>
                            <w:color w:val="000000"/>
                            <w:sz w:val="24"/>
                            <w:szCs w:val="24"/>
                            <w:lang w:val="uk-UA"/>
                          </w:rPr>
                          <w:t xml:space="preserve"> під впливом дії інструментів зовнішніх та внутрішніх стейкхолдерів</w:t>
                        </w:r>
                      </w:p>
                    </w:txbxContent>
                  </v:textbox>
                </v:roundrect>
                <v:roundrect id="Скругленный прямоугольник 38" o:spid="_x0000_s1090" style="position:absolute;left:39225;top:29911;width:22224;height:4275;visibility:visible;mso-wrap-style:square;v-text-anchor:middle" arcsize="551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" strokeweight="1.5pt">
                  <v:textbox>
                    <w:txbxContent>
                      <w:p w14:paraId="2F261076" w14:textId="77777777" w:rsidR="0022259C" w:rsidRPr="00AA757D" w:rsidRDefault="0022259C" w:rsidP="0022259C">
                        <w:pPr>
                          <w:pStyle w:val="19"/>
                          <w:spacing w:before="0" w:beforeAutospacing="0" w:after="0" w:afterAutospacing="0" w:line="216" w:lineRule="auto"/>
                          <w:ind w:left="-113" w:right="-113"/>
                          <w:jc w:val="center"/>
                          <w:rPr>
                            <w:bCs/>
                          </w:rPr>
                        </w:pPr>
                        <w:r w:rsidRPr="00AA757D">
                          <w:rPr>
                            <w:bCs/>
                            <w:color w:val="000000"/>
                            <w:lang w:val="uk-UA"/>
                          </w:rPr>
                          <w:t>Зовнішні фактори непостійної дії</w:t>
                        </w:r>
                      </w:p>
                    </w:txbxContent>
                  </v:textbox>
                </v:roundrect>
                <v:rect id="Прямоугольник 39" o:spid="_x0000_s1091" style="position:absolute;left:43094;top:38173;width:17749;height:2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" strokeweight="1pt">
                  <v:textbox>
                    <w:txbxContent>
                      <w:p w14:paraId="62523CE8"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Циклічні зміни</w:t>
                        </w:r>
                      </w:p>
                    </w:txbxContent>
                  </v:textbox>
                </v:rect>
                <v:rect id="Прямоугольник 40" o:spid="_x0000_s1092" style="position:absolute;left:43047;top:34873;width:17796;height:27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" strokeweight="1pt">
                  <v:textbox>
                    <w:txbxContent>
                      <w:p w14:paraId="07F77969"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Сезонні коливання</w:t>
                        </w:r>
                      </w:p>
                    </w:txbxContent>
                  </v:textbox>
                </v:rect>
                <v:shape id="Стрелка вверх 4" o:spid="_x0000_s1093" type="#_x0000_t68" style="position:absolute;left:15204;top:33391;width:7018;height:15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" adj="10800" strokeweight="1pt">
                  <v:shadow on="t" color="black" opacity="26213f" origin="-.5,-.5" offset=".74836mm,.74836mm"/>
                </v:shape>
                <v:rect id="Прямоугольник 31" o:spid="_x0000_s1094" style="position:absolute;left:2714;top:26577;width:15572;height:6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" strokeweight="1pt">
                  <v:textbox>
                    <w:txbxContent>
                      <w:p w14:paraId="3BF95E8D" w14:textId="77777777" w:rsidR="0022259C" w:rsidRPr="00AA757D" w:rsidRDefault="0022259C" w:rsidP="0022259C">
                        <w:pPr>
                          <w:pStyle w:val="19"/>
                          <w:spacing w:before="0" w:beforeAutospacing="0" w:after="0" w:afterAutospacing="0"/>
                          <w:ind w:left="-142" w:right="-145"/>
                          <w:jc w:val="center"/>
                        </w:pPr>
                        <w:r w:rsidRPr="00AA757D">
                          <w:rPr>
                            <w:rFonts w:eastAsia="Calibri"/>
                            <w:color w:val="000000"/>
                            <w:lang w:val="uk-UA"/>
                          </w:rPr>
                          <w:t>Якість управління активами і пасивами банку</w:t>
                        </w:r>
                      </w:p>
                    </w:txbxContent>
                  </v:textbox>
                </v:rect>
                <v:rect id="Прямоугольник 35" o:spid="_x0000_s1095" style="position:absolute;left:2714;top:20952;width:15572;height:49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" strokeweight="1pt">
                  <v:textbox>
                    <w:txbxContent>
                      <w:p w14:paraId="68AD23E8"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 xml:space="preserve">Якість управління </w:t>
                        </w:r>
                        <w:r>
                          <w:rPr>
                            <w:rFonts w:eastAsia="Calibri"/>
                            <w:color w:val="000000"/>
                            <w:lang w:val="uk-UA"/>
                          </w:rPr>
                          <w:t>ризиками</w:t>
                        </w:r>
                      </w:p>
                    </w:txbxContent>
                  </v:textbox>
                </v:rect>
                <v:rect id="Прямоугольник 41" o:spid="_x0000_s1096" style="position:absolute;left:43110;top:41387;width:17732;height:2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" strokeweight="1pt">
                  <v:textbox>
                    <w:txbxContent>
                      <w:p w14:paraId="55476F92"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Випадкові/надзвичайні фактори</w:t>
                        </w:r>
                      </w:p>
                    </w:txbxContent>
                  </v:textbox>
                </v:rect>
                <v:roundrect id="Скругленный прямоугольник 45" o:spid="_x0000_s1097" style="position:absolute;left:2303;top:34873;width:32677;height:3465;visibility:visible;mso-wrap-style:squar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" strokeweight="1.5pt">
                  <v:textbox>
                    <w:txbxContent>
                      <w:p w14:paraId="30900A48" w14:textId="77777777" w:rsidR="0022259C" w:rsidRPr="00AA757D" w:rsidRDefault="0022259C" w:rsidP="0022259C">
                        <w:pPr>
                          <w:pStyle w:val="19"/>
                          <w:spacing w:before="0" w:beforeAutospacing="0" w:after="0" w:afterAutospacing="0"/>
                          <w:jc w:val="center"/>
                        </w:pPr>
                        <w:r w:rsidRPr="00AA757D">
                          <w:rPr>
                            <w:color w:val="000000"/>
                            <w:lang w:val="uk-UA"/>
                          </w:rPr>
                          <w:t>Зовнішні фактори прямого впливу</w:t>
                        </w:r>
                      </w:p>
                    </w:txbxContent>
                  </v:textbox>
                </v:roundrect>
                <v:rect id="Прямоугольник 46" o:spid="_x0000_s1098" style="position:absolute;left:2303;top:40222;width:32670;height:1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" filled="f" strokeweight="1.5pt">
                  <v:stroke dashstyle="1 1"/>
                  <v:textbox>
                    <w:txbxContent>
                      <w:p w14:paraId="20E7489F" w14:textId="77777777" w:rsidR="0022259C" w:rsidRDefault="0022259C" w:rsidP="0022259C">
                        <w:pPr>
                          <w:pStyle w:val="19"/>
                          <w:spacing w:before="0" w:beforeAutospacing="0" w:after="0" w:afterAutospacing="0"/>
                          <w:jc w:val="center"/>
                        </w:pPr>
                        <w:r>
                          <w:t> </w:t>
                        </w:r>
                      </w:p>
                    </w:txbxContent>
                  </v:textbox>
                </v:rect>
                <v:rect id="Прямоугольник 47" o:spid="_x0000_s1099" style="position:absolute;left:2731;top:40870;width:10033;height:6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" strokeweight="1pt">
                  <v:textbox>
                    <w:txbxContent>
                      <w:p w14:paraId="63D9B4C8" w14:textId="77777777" w:rsidR="0022259C" w:rsidRPr="006A057E" w:rsidRDefault="0022259C" w:rsidP="0022259C">
                        <w:pPr>
                          <w:pStyle w:val="19"/>
                          <w:spacing w:before="0" w:beforeAutospacing="0" w:after="0" w:afterAutospacing="0"/>
                          <w:ind w:left="-142" w:right="-146"/>
                          <w:jc w:val="center"/>
                          <w:rPr>
                            <w:rFonts w:eastAsia="Calibri"/>
                            <w:color w:val="000000"/>
                            <w:lang w:val="uk-UA"/>
                          </w:rPr>
                        </w:pPr>
                        <w:r w:rsidRPr="00AA757D">
                          <w:rPr>
                            <w:rFonts w:eastAsia="Calibri"/>
                            <w:color w:val="000000"/>
                            <w:lang w:val="uk-UA"/>
                          </w:rPr>
                          <w:t>Банківський нагляд та регулювання</w:t>
                        </w:r>
                      </w:p>
                    </w:txbxContent>
                  </v:textbox>
                </v:rect>
                <v:rect id="Прямоугольник 48" o:spid="_x0000_s1100" style="position:absolute;left:13577;top:40864;width:10027;height:67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" strokeweight="1pt">
                  <v:textbox>
                    <w:txbxContent>
                      <w:p w14:paraId="31F93F43" w14:textId="77777777" w:rsidR="0022259C" w:rsidRPr="00AA757D" w:rsidRDefault="0022259C" w:rsidP="0022259C">
                        <w:pPr>
                          <w:pStyle w:val="19"/>
                          <w:spacing w:before="0" w:beforeAutospacing="0" w:after="0" w:afterAutospacing="0"/>
                          <w:jc w:val="center"/>
                        </w:pPr>
                        <w:r>
                          <w:rPr>
                            <w:rFonts w:eastAsia="Calibri"/>
                            <w:color w:val="000000"/>
                            <w:lang w:val="uk-UA"/>
                          </w:rPr>
                          <w:t>Монетарна</w:t>
                        </w:r>
                        <w:r w:rsidRPr="00AA757D">
                          <w:rPr>
                            <w:rFonts w:eastAsia="Calibri"/>
                            <w:color w:val="000000"/>
                            <w:lang w:val="uk-UA"/>
                          </w:rPr>
                          <w:t xml:space="preserve"> політика</w:t>
                        </w:r>
                      </w:p>
                    </w:txbxContent>
                  </v:textbox>
                </v:rect>
                <v:rect id="Прямоугольник 49" o:spid="_x0000_s1101" style="position:absolute;left:55948;top:44995;width:4892;height:83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" strokeweight="1pt">
                  <v:textbox>
                    <w:txbxContent>
                      <w:p w14:paraId="41FCC8AD" w14:textId="77777777" w:rsidR="0022259C" w:rsidRPr="00AA757D" w:rsidRDefault="0022259C" w:rsidP="0022259C">
                        <w:pPr>
                          <w:pStyle w:val="19"/>
                          <w:spacing w:before="0" w:beforeAutospacing="0" w:after="0" w:afterAutospacing="0" w:line="216" w:lineRule="auto"/>
                          <w:ind w:left="-170" w:right="-170"/>
                          <w:jc w:val="center"/>
                        </w:pPr>
                        <w:r w:rsidRPr="00AA757D">
                          <w:rPr>
                            <w:rFonts w:eastAsia="Calibri"/>
                            <w:color w:val="000000"/>
                            <w:lang w:val="uk-UA"/>
                          </w:rPr>
                          <w:t>Щодо банку</w:t>
                        </w:r>
                      </w:p>
                    </w:txbxContent>
                  </v:textbox>
                </v:rect>
                <v:roundrect id="Скругленный прямоугольник 3" o:spid="_x0000_s1102" style="position:absolute;left:2298;top:17124;width:32682;height:3294;visibility:visible;mso-wrap-style:squar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" strokeweight="1.5pt">
                  <v:textbox>
                    <w:txbxContent>
                      <w:p w14:paraId="19AB7ECD" w14:textId="77777777" w:rsidR="0022259C" w:rsidRPr="0022259C" w:rsidRDefault="0022259C" w:rsidP="0022259C">
                        <w:pPr>
                          <w:jc w:val="center"/>
                          <w:rPr>
                            <w:rFonts w:ascii="Times New Roman" w:hAnsi="Times New Roman" w:cs="Times New Roman"/>
                            <w:bCs/>
                            <w:iCs/>
                            <w:color w:val="000000"/>
                            <w:sz w:val="24"/>
                            <w:szCs w:val="24"/>
                            <w:lang w:val="uk-UA"/>
                          </w:rPr>
                        </w:pPr>
                        <w:r w:rsidRPr="0022259C">
                          <w:rPr>
                            <w:rFonts w:ascii="Times New Roman" w:hAnsi="Times New Roman" w:cs="Times New Roman"/>
                            <w:bCs/>
                            <w:iCs/>
                            <w:color w:val="000000"/>
                            <w:sz w:val="24"/>
                            <w:szCs w:val="24"/>
                            <w:lang w:val="uk-UA"/>
                          </w:rPr>
                          <w:t>Внутрішні фактори</w:t>
                        </w:r>
                      </w:p>
                    </w:txbxContent>
                  </v:textbox>
                </v:roundrect>
                <v:rect id="Прямоугольник 44" o:spid="_x0000_s1103" style="position:absolute;left:19137;top:20955;width:15205;height:49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" strokeweight="1pt">
                  <v:textbox>
                    <w:txbxContent>
                      <w:p w14:paraId="632C2BCD" w14:textId="2AE0BFC8" w:rsidR="0022259C" w:rsidRPr="00AA757D" w:rsidRDefault="00495E01" w:rsidP="0022259C">
                        <w:pPr>
                          <w:pStyle w:val="19"/>
                          <w:spacing w:before="0" w:beforeAutospacing="0" w:after="0" w:afterAutospacing="0"/>
                          <w:ind w:left="-142" w:right="-147"/>
                          <w:jc w:val="center"/>
                        </w:pPr>
                        <w:r>
                          <w:rPr>
                            <w:rFonts w:eastAsia="Calibri"/>
                            <w:color w:val="000000"/>
                            <w:lang w:val="uk-UA"/>
                          </w:rPr>
                          <w:t>Рівень капіталізації та потенціал власників</w:t>
                        </w:r>
                      </w:p>
                    </w:txbxContent>
                  </v:textbox>
                </v:rect>
                <v:roundrect id="Скругленный прямоугольник 60" o:spid="_x0000_s1104" style="position:absolute;left:39208;top:14346;width:22211;height:13946;visibility:visible;mso-wrap-style:square;v-text-anchor:middle" arcsize="98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" fillcolor="#7f7f7f" strokeweight="1.5pt">
                  <v:fill r:id="rId19" o:title="" type="pattern"/>
                  <v:textbox>
                    <w:txbxContent>
                      <w:p w14:paraId="3099538E" w14:textId="77777777" w:rsidR="0022259C" w:rsidRDefault="0022259C" w:rsidP="0022259C">
                        <w:pPr>
                          <w:pStyle w:val="19"/>
                          <w:spacing w:before="0" w:beforeAutospacing="0" w:after="0" w:afterAutospacing="0"/>
                          <w:jc w:val="center"/>
                        </w:pPr>
                        <w:r>
                          <w:t> </w:t>
                        </w:r>
                      </w:p>
                    </w:txbxContent>
                  </v:textbox>
                </v:roundrect>
                <v:rect id="Прямоугольник 51" o:spid="_x0000_s1105" style="position:absolute;left:40507;top:44993;width:14676;height:8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" strokeweight="1pt">
                  <v:textbox>
                    <w:txbxContent>
                      <w:p w14:paraId="052740A3" w14:textId="77777777" w:rsidR="0022259C" w:rsidRPr="00AA757D" w:rsidRDefault="0022259C" w:rsidP="0022259C">
                        <w:pPr>
                          <w:pStyle w:val="19"/>
                          <w:spacing w:before="0" w:beforeAutospacing="0" w:after="0" w:afterAutospacing="0"/>
                          <w:ind w:left="-142" w:right="-162"/>
                          <w:jc w:val="center"/>
                        </w:pPr>
                        <w:r w:rsidRPr="00AA757D">
                          <w:rPr>
                            <w:rFonts w:eastAsia="Calibri"/>
                            <w:color w:val="000000"/>
                            <w:lang w:val="uk-UA"/>
                          </w:rPr>
                          <w:t>Щодо банківської системи чи національної економіки</w:t>
                        </w:r>
                      </w:p>
                    </w:txbxContent>
                  </v:textbox>
                </v:rect>
                <v:rect id="Прямоугольник 52" o:spid="_x0000_s1106" style="position:absolute;left:2743;top:48594;width:15543;height:47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" strokeweight="1pt">
                  <v:textbox>
                    <w:txbxContent>
                      <w:p w14:paraId="4DE75CB8" w14:textId="77777777" w:rsidR="0022259C" w:rsidRPr="00AA757D" w:rsidRDefault="0022259C" w:rsidP="0022259C">
                        <w:pPr>
                          <w:pStyle w:val="19"/>
                          <w:spacing w:before="0" w:beforeAutospacing="0" w:after="0" w:afterAutospacing="0"/>
                          <w:ind w:right="-4"/>
                          <w:jc w:val="center"/>
                        </w:pPr>
                        <w:r w:rsidRPr="00AA757D">
                          <w:rPr>
                            <w:rFonts w:eastAsia="Calibri"/>
                            <w:color w:val="000000"/>
                            <w:lang w:val="uk-UA"/>
                          </w:rPr>
                          <w:t>Законодавчі вимоги загальної дії</w:t>
                        </w:r>
                      </w:p>
                    </w:txbxContent>
                  </v:textbox>
                </v:rect>
                <v:roundrect id="Скругленный прямоугольник 37" o:spid="_x0000_s1107" style="position:absolute;left:39224;width:22225;height:14346;visibility:visible;mso-wrap-style:square;v-text-anchor:middle" arcsize="443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" strokeweight="1.5pt">
                  <v:textbox>
                    <w:txbxContent>
                      <w:p w14:paraId="3FDCDED4" w14:textId="77777777" w:rsidR="0022259C" w:rsidRPr="00AA757D" w:rsidRDefault="0022259C" w:rsidP="0022259C">
                        <w:pPr>
                          <w:pStyle w:val="19"/>
                          <w:spacing w:before="0" w:beforeAutospacing="0" w:after="0" w:afterAutospacing="0"/>
                          <w:ind w:left="-142" w:right="-127"/>
                          <w:jc w:val="center"/>
                          <w:rPr>
                            <w:bCs/>
                            <w:color w:val="000000"/>
                            <w:lang w:val="uk-UA"/>
                          </w:rPr>
                        </w:pPr>
                        <w:r w:rsidRPr="00AA757D">
                          <w:rPr>
                            <w:bCs/>
                            <w:color w:val="000000"/>
                            <w:lang w:val="uk-UA"/>
                          </w:rPr>
                          <w:t>Зовнішні фактори загальної дії, що виникають як результат взаємодії економічних агентів  у</w:t>
                        </w:r>
                      </w:p>
                      <w:p w14:paraId="175D38A5" w14:textId="2ED7906D" w:rsidR="0022259C" w:rsidRPr="00AA757D" w:rsidRDefault="0022259C" w:rsidP="0022259C">
                        <w:pPr>
                          <w:pStyle w:val="19"/>
                          <w:spacing w:before="0" w:beforeAutospacing="0" w:after="0" w:afterAutospacing="0"/>
                          <w:ind w:left="-142" w:right="-127"/>
                          <w:jc w:val="center"/>
                          <w:rPr>
                            <w:bCs/>
                          </w:rPr>
                        </w:pPr>
                        <w:r w:rsidRPr="00AA757D">
                          <w:rPr>
                            <w:bCs/>
                            <w:color w:val="000000"/>
                            <w:lang w:val="uk-UA"/>
                          </w:rPr>
                          <w:t xml:space="preserve"> довгостроковій перспективі</w:t>
                        </w:r>
                        <w:r w:rsidR="0088014A">
                          <w:rPr>
                            <w:bCs/>
                            <w:color w:val="000000"/>
                            <w:lang w:val="uk-UA"/>
                          </w:rPr>
                          <w:t>, та виникають на глобальному, національному та регіональному рівнях</w:t>
                        </w:r>
                      </w:p>
                    </w:txbxContent>
                  </v:textbox>
                </v:roundrect>
                <v:rect id="Прямоугольник 53" o:spid="_x0000_s1108" style="position:absolute;left:19136;top:48621;width:15204;height:4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" strokeweight="1pt">
                  <v:textbox>
                    <w:txbxContent>
                      <w:p w14:paraId="6E52CC4F" w14:textId="77777777" w:rsidR="0022259C" w:rsidRPr="00AA757D" w:rsidRDefault="0022259C" w:rsidP="0022259C">
                        <w:pPr>
                          <w:pStyle w:val="19"/>
                          <w:spacing w:before="0" w:beforeAutospacing="0" w:after="0" w:afterAutospacing="0"/>
                          <w:ind w:left="-142" w:right="-192"/>
                          <w:jc w:val="center"/>
                          <w:rPr>
                            <w:rFonts w:eastAsia="Calibri"/>
                            <w:color w:val="000000"/>
                            <w:lang w:val="uk-UA"/>
                          </w:rPr>
                        </w:pPr>
                        <w:r w:rsidRPr="00AA757D">
                          <w:rPr>
                            <w:rFonts w:eastAsia="Calibri"/>
                            <w:color w:val="000000"/>
                            <w:lang w:val="uk-UA"/>
                          </w:rPr>
                          <w:t xml:space="preserve">Політика держави як учасника </w:t>
                        </w:r>
                      </w:p>
                      <w:p w14:paraId="7974DFA4" w14:textId="77777777" w:rsidR="0022259C" w:rsidRPr="00AA757D" w:rsidRDefault="0022259C" w:rsidP="0022259C">
                        <w:pPr>
                          <w:pStyle w:val="19"/>
                          <w:spacing w:before="0" w:beforeAutospacing="0" w:after="0" w:afterAutospacing="0"/>
                          <w:ind w:left="-142" w:right="-192"/>
                          <w:jc w:val="center"/>
                        </w:pPr>
                        <w:r w:rsidRPr="00AA757D">
                          <w:rPr>
                            <w:rFonts w:eastAsia="Calibri"/>
                            <w:color w:val="000000"/>
                            <w:lang w:val="uk-UA"/>
                          </w:rPr>
                          <w:t>фінансового ринку</w:t>
                        </w:r>
                      </w:p>
                    </w:txbxContent>
                  </v:textbox>
                </v:rect>
                <v:rect id="Прямоугольник 54" o:spid="_x0000_s1109" style="position:absolute;left:24303;top:40883;width:10039;height:67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" strokeweight="1pt">
                  <v:textbox>
                    <w:txbxContent>
                      <w:p w14:paraId="13B49AFB" w14:textId="77777777" w:rsidR="0022259C" w:rsidRPr="00AA757D" w:rsidRDefault="0022259C" w:rsidP="0022259C">
                        <w:pPr>
                          <w:pStyle w:val="19"/>
                          <w:spacing w:before="0" w:beforeAutospacing="0" w:after="0" w:afterAutospacing="0"/>
                          <w:jc w:val="center"/>
                        </w:pPr>
                        <w:r w:rsidRPr="00AA757D">
                          <w:rPr>
                            <w:rFonts w:eastAsia="Calibri"/>
                            <w:lang w:val="uk-UA"/>
                          </w:rPr>
                          <w:t>Стан фінансового ринку</w:t>
                        </w:r>
                      </w:p>
                    </w:txbxContent>
                  </v:textbox>
                </v:rect>
                <v:line id="Прямая соединительная линия 5" o:spid="_x0000_s1110" style="position:absolute;visibility:visible;mso-wrap-style:square" from="850,16261" to="850,36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" strokeweight="1pt">
                  <v:stroke startarrow="diamond"/>
                </v:line>
                <v:shape id="Прямая со стрелкой 6" o:spid="_x0000_s1111" type="#_x0000_t32" style="position:absolute;left:850;top:20057;width:144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" strokeweight="1pt">
                  <v:stroke endarrow="block"/>
                </v:shape>
                <v:shape id="Прямая со стрелкой 7" o:spid="_x0000_s1112" type="#_x0000_t32" style="position:absolute;left:756;top:36607;width:1454;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" strokeweight="1pt">
                  <v:stroke endarrow="block"/>
                </v:shape>
                <v:group id="Группа 1155361521" o:spid="_x0000_s1113" style="position:absolute;left:40508;top:14346;width:19845;height:13025" coordorigin="40508,10726" coordsize="19844,13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">
                  <v:rect id="Прямоугольник 55" o:spid="_x0000_s1114" style="position:absolute;left:42505;top:11260;width:17848;height:2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" strokeweight="1pt">
                    <v:textbox>
                      <w:txbxContent>
                        <w:p w14:paraId="12AA412A" w14:textId="77777777" w:rsidR="0022259C" w:rsidRPr="00AA757D" w:rsidRDefault="0022259C" w:rsidP="0022259C">
                          <w:pPr>
                            <w:pStyle w:val="19"/>
                            <w:spacing w:before="0" w:beforeAutospacing="0" w:after="0" w:afterAutospacing="0"/>
                            <w:ind w:left="-142" w:right="-199"/>
                            <w:jc w:val="center"/>
                          </w:pPr>
                          <w:r w:rsidRPr="00AA757D">
                            <w:rPr>
                              <w:rFonts w:eastAsia="Calibri"/>
                              <w:color w:val="000000"/>
                              <w:lang w:val="uk-UA"/>
                            </w:rPr>
                            <w:t>Макроекономічна ситуація у державі</w:t>
                          </w:r>
                        </w:p>
                      </w:txbxContent>
                    </v:textbox>
                  </v:rect>
                  <v:rect id="Прямоугольник 56" o:spid="_x0000_s1115" style="position:absolute;left:42499;top:14475;width:17853;height:2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" strokeweight="1pt">
                    <v:textbox>
                      <w:txbxContent>
                        <w:p w14:paraId="2892A1A8"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Політичні фактори</w:t>
                          </w:r>
                        </w:p>
                      </w:txbxContent>
                    </v:textbox>
                  </v:rect>
                  <v:rect id="Прямоугольник 57" o:spid="_x0000_s1116" style="position:absolute;left:42507;top:17692;width:17846;height:2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" strokeweight="1pt">
                    <v:textbox>
                      <w:txbxContent>
                        <w:p w14:paraId="1C5062C1"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Соціальні фактори</w:t>
                          </w:r>
                        </w:p>
                      </w:txbxContent>
                    </v:textbox>
                  </v:rect>
                  <v:rect id="Прямоугольник 58" o:spid="_x0000_s1117" style="position:absolute;left:42512;top:20882;width:17840;height:28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" strokeweight="1pt">
                    <v:textbox>
                      <w:txbxContent>
                        <w:p w14:paraId="52E94CD8" w14:textId="77777777" w:rsidR="0022259C" w:rsidRPr="00AA757D" w:rsidRDefault="0022259C" w:rsidP="0022259C">
                          <w:pPr>
                            <w:pStyle w:val="19"/>
                            <w:spacing w:before="0" w:beforeAutospacing="0" w:after="0" w:afterAutospacing="0"/>
                            <w:jc w:val="center"/>
                          </w:pPr>
                          <w:r w:rsidRPr="00AA757D">
                            <w:rPr>
                              <w:rFonts w:eastAsia="Calibri"/>
                              <w:color w:val="000000"/>
                              <w:lang w:val="uk-UA"/>
                            </w:rPr>
                            <w:t>Технологічні фактори</w:t>
                          </w:r>
                        </w:p>
                      </w:txbxContent>
                    </v:textbox>
                  </v:rect>
                  <v:line id="Прямая соединительная линия 8" o:spid="_x0000_s1118" style="position:absolute;visibility:visible;mso-wrap-style:square" from="40508,10726" to="40508,222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">
                    <v:stroke startarrow="diamond"/>
                  </v:line>
                  <v:shape id="Прямая со стрелкой 9" o:spid="_x0000_s1119" type="#_x0000_t32" style="position:absolute;left:40509;top:12641;width:19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">
                    <v:stroke endarrow="block"/>
                  </v:shape>
                  <v:shape id="Прямая со стрелкой 10" o:spid="_x0000_s1120" type="#_x0000_t32" style="position:absolute;left:40509;top:15831;width:198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">
                    <v:stroke endarrow="block"/>
                  </v:shape>
                  <v:shape id="Прямая со стрелкой 11" o:spid="_x0000_s1121" type="#_x0000_t32" style="position:absolute;left:40509;top:19021;width:19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">
                    <v:stroke endarrow="block"/>
                  </v:shape>
                  <v:shape id="Прямая со стрелкой 12" o:spid="_x0000_s1122" type="#_x0000_t32" style="position:absolute;left:40509;top:22299;width:19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">
                    <v:stroke endarrow="block"/>
                  </v:shape>
                </v:group>
                <v:line id="Прямая соединительная линия 13" o:spid="_x0000_s1123" style="position:absolute;visibility:visible;mso-wrap-style:square" from="41058,34186" to="41058,4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">
                  <v:stroke startarrow="diamond"/>
                </v:line>
                <v:shape id="Прямая со стрелкой 14" o:spid="_x0000_s1124" type="#_x0000_t32" style="position:absolute;left:41060;top:36213;width:19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">
                  <v:stroke endarrow="block"/>
                </v:shape>
                <v:shape id="Прямая со стрелкой 15" o:spid="_x0000_s1125" type="#_x0000_t32" style="position:absolute;left:41060;top:39617;width:198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">
                  <v:stroke endarrow="block"/>
                </v:shape>
                <v:shape id="Прямая со стрелкой 16" o:spid="_x0000_s1126" type="#_x0000_t32" style="position:absolute;left:41059;top:42875;width:205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">
                  <v:stroke endarrow="block"/>
                </v:shape>
                <v:shape id="Прямая со стрелкой 17" o:spid="_x0000_s1127" type="#_x0000_t32" style="position:absolute;left:49248;top:44191;width:0;height:8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">
                  <v:stroke endarrow="block"/>
                </v:shape>
                <v:shape id="Прямая со стрелкой 18" o:spid="_x0000_s1128" type="#_x0000_t32" style="position:absolute;left:58180;top:44191;width:0;height:7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">
                  <v:stroke endarrow="block"/>
                </v:shape>
                <v:rect id="Прямоугольник 78" o:spid="_x0000_s1129" style="position:absolute;left:19137;top:26577;width:15199;height:6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" strokeweight="1pt">
                  <v:textbox>
                    <w:txbxContent>
                      <w:p w14:paraId="0D24DD13" w14:textId="112AD8A9" w:rsidR="002A7585" w:rsidRPr="00183E4D" w:rsidRDefault="00183E4D" w:rsidP="00183E4D">
                        <w:pPr>
                          <w:pStyle w:val="19"/>
                          <w:spacing w:before="0" w:beforeAutospacing="0" w:after="0" w:afterAutospacing="0"/>
                          <w:ind w:left="-142" w:right="-147"/>
                          <w:jc w:val="center"/>
                          <w:rPr>
                            <w:rFonts w:eastAsia="Calibri"/>
                            <w:color w:val="000000"/>
                            <w:lang w:val="uk-UA"/>
                          </w:rPr>
                        </w:pPr>
                        <w:r w:rsidRPr="00183E4D">
                          <w:rPr>
                            <w:rFonts w:eastAsia="Calibri"/>
                            <w:color w:val="000000"/>
                            <w:lang w:val="uk-UA"/>
                          </w:rPr>
                          <w:t>Якість управління фінансовими результа</w:t>
                        </w:r>
                        <w:r>
                          <w:rPr>
                            <w:rFonts w:eastAsia="Calibri"/>
                            <w:color w:val="000000"/>
                            <w:lang w:val="uk-UA"/>
                          </w:rPr>
                          <w:t>та</w:t>
                        </w:r>
                        <w:r w:rsidRPr="00183E4D">
                          <w:rPr>
                            <w:rFonts w:eastAsia="Calibri"/>
                            <w:color w:val="000000"/>
                            <w:lang w:val="uk-UA"/>
                          </w:rPr>
                          <w:t xml:space="preserve">ми </w:t>
                        </w:r>
                      </w:p>
                    </w:txbxContent>
                  </v:textbox>
                </v:rect>
                <v:rect id="Прямоугольник 1808857861" o:spid="_x0000_s1130" style="position:absolute;left:63;width:8700;height:5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" strokeweight="1pt">
                  <v:stroke startarrowwidth="narrow" startarrowlength="short" endarrowwidth="narrow" endarrowlength="short" joinstyle="round"/>
                  <v:textbox inset="7pt,3pt,7pt,3pt">
                    <w:txbxContent>
                      <w:p w14:paraId="3DD08D55" w14:textId="77777777" w:rsidR="0022259C" w:rsidRPr="0022259C" w:rsidRDefault="0022259C" w:rsidP="0022259C">
                        <w:pPr>
                          <w:spacing w:after="0" w:line="256" w:lineRule="auto"/>
                          <w:ind w:left="-170"/>
                          <w:jc w:val="center"/>
                          <w:rPr>
                            <w:rFonts w:ascii="Times New Roman" w:eastAsia="Times New Roman" w:hAnsi="Times New Roman" w:cs="Times New Roman"/>
                            <w:color w:val="000000"/>
                            <w:sz w:val="24"/>
                            <w:szCs w:val="24"/>
                            <w:lang w:val="uk-UA"/>
                          </w:rPr>
                        </w:pPr>
                        <w:r w:rsidRPr="0022259C">
                          <w:rPr>
                            <w:rFonts w:ascii="Times New Roman" w:hAnsi="Times New Roman" w:cs="Times New Roman"/>
                            <w:color w:val="000000"/>
                            <w:sz w:val="24"/>
                            <w:szCs w:val="24"/>
                            <w:lang w:val="uk-UA"/>
                          </w:rPr>
                          <w:t>Власники</w:t>
                        </w:r>
                        <w:r w:rsidRPr="0022259C">
                          <w:rPr>
                            <w:rFonts w:ascii="Times New Roman" w:eastAsia="Times New Roman" w:hAnsi="Times New Roman" w:cs="Times New Roman"/>
                            <w:color w:val="000000"/>
                            <w:sz w:val="24"/>
                            <w:szCs w:val="24"/>
                            <w:lang w:val="uk-UA"/>
                          </w:rPr>
                          <w:t xml:space="preserve"> </w:t>
                        </w:r>
                      </w:p>
                    </w:txbxContent>
                  </v:textbox>
                </v:rect>
                <v:rect id="Прямоугольник 382611431" o:spid="_x0000_s1131" style="position:absolute;left:7219;width:10319;height:5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" strokeweight="1pt">
                  <v:stroke startarrowwidth="narrow" startarrowlength="short" endarrowwidth="narrow" endarrowlength="short" joinstyle="round"/>
                  <v:textbox inset="7pt,3pt,7pt,3pt">
                    <w:txbxContent>
                      <w:p w14:paraId="04CAD7AA" w14:textId="77777777" w:rsidR="0022259C" w:rsidRPr="0022259C" w:rsidRDefault="0022259C" w:rsidP="0022259C">
                        <w:pPr>
                          <w:spacing w:after="0" w:line="257" w:lineRule="auto"/>
                          <w:ind w:left="-170" w:right="-113"/>
                          <w:jc w:val="center"/>
                          <w:rPr>
                            <w:rFonts w:ascii="Times New Roman" w:eastAsia="Times New Roman" w:hAnsi="Times New Roman" w:cs="Times New Roman"/>
                            <w:color w:val="000000"/>
                            <w:sz w:val="24"/>
                            <w:szCs w:val="24"/>
                            <w:lang w:val="uk-UA"/>
                          </w:rPr>
                        </w:pPr>
                        <w:r w:rsidRPr="0022259C">
                          <w:rPr>
                            <w:rFonts w:ascii="Times New Roman" w:eastAsia="Times New Roman" w:hAnsi="Times New Roman" w:cs="Times New Roman"/>
                            <w:color w:val="000000"/>
                            <w:sz w:val="24"/>
                            <w:szCs w:val="24"/>
                            <w:lang w:val="uk-UA"/>
                          </w:rPr>
                          <w:t xml:space="preserve">Менеджмент </w:t>
                        </w:r>
                      </w:p>
                    </w:txbxContent>
                  </v:textbox>
                </v:rect>
                <v:rect id="Прямоугольник 78145321" o:spid="_x0000_s1132" style="position:absolute;left:16573;width:11912;height:5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" strokeweight="1pt">
                  <v:stroke startarrowwidth="narrow" startarrowlength="short" endarrowwidth="narrow" endarrowlength="short" joinstyle="round"/>
                  <v:textbox inset="7pt,3pt,7pt,3pt">
                    <w:txbxContent>
                      <w:p w14:paraId="74C049CE" w14:textId="77777777" w:rsidR="0022259C" w:rsidRPr="0022259C" w:rsidRDefault="0022259C" w:rsidP="0022259C">
                        <w:pPr>
                          <w:spacing w:after="0" w:line="256" w:lineRule="auto"/>
                          <w:ind w:left="-170"/>
                          <w:jc w:val="center"/>
                          <w:rPr>
                            <w:rFonts w:ascii="Times New Roman" w:eastAsia="Times New Roman" w:hAnsi="Times New Roman" w:cs="Times New Roman"/>
                            <w:color w:val="000000"/>
                            <w:sz w:val="24"/>
                            <w:szCs w:val="24"/>
                            <w:lang w:val="uk-UA"/>
                          </w:rPr>
                        </w:pPr>
                        <w:r w:rsidRPr="0022259C">
                          <w:rPr>
                            <w:rFonts w:ascii="Times New Roman" w:eastAsia="Times New Roman" w:hAnsi="Times New Roman" w:cs="Times New Roman"/>
                            <w:color w:val="000000"/>
                            <w:sz w:val="24"/>
                            <w:szCs w:val="24"/>
                            <w:lang w:val="uk-UA"/>
                          </w:rPr>
                          <w:t xml:space="preserve">Кредитори </w:t>
                        </w:r>
                        <w:r w:rsidRPr="0022259C">
                          <w:rPr>
                            <w:rFonts w:ascii="Times New Roman" w:hAnsi="Times New Roman" w:cs="Times New Roman"/>
                            <w:color w:val="000000"/>
                            <w:sz w:val="24"/>
                            <w:szCs w:val="24"/>
                            <w:lang w:val="uk-UA"/>
                          </w:rPr>
                          <w:t>та контрагенти</w:t>
                        </w:r>
                      </w:p>
                    </w:txbxContent>
                  </v:textbox>
                </v:rect>
                <v:rect id="Прямоугольник 175340258" o:spid="_x0000_s1133" style="position:absolute;left:26706;width:9138;height:5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" strokeweight="1pt">
                  <v:stroke startarrowwidth="narrow" startarrowlength="short" endarrowwidth="narrow" endarrowlength="short" joinstyle="round"/>
                  <v:textbox inset="7pt,3pt,7pt,3pt">
                    <w:txbxContent>
                      <w:p w14:paraId="0FDC54C2" w14:textId="77777777" w:rsidR="0022259C" w:rsidRPr="0022259C" w:rsidRDefault="0022259C" w:rsidP="0022259C">
                        <w:pPr>
                          <w:spacing w:after="0" w:line="256" w:lineRule="auto"/>
                          <w:ind w:left="-170"/>
                          <w:jc w:val="center"/>
                          <w:rPr>
                            <w:rFonts w:ascii="Times New Roman" w:eastAsia="Times New Roman" w:hAnsi="Times New Roman" w:cs="Times New Roman"/>
                            <w:color w:val="000000"/>
                            <w:sz w:val="24"/>
                            <w:szCs w:val="24"/>
                            <w:lang w:val="uk-UA"/>
                          </w:rPr>
                        </w:pPr>
                        <w:r w:rsidRPr="0022259C">
                          <w:rPr>
                            <w:rFonts w:ascii="Times New Roman" w:eastAsia="Times New Roman" w:hAnsi="Times New Roman" w:cs="Times New Roman"/>
                            <w:color w:val="000000"/>
                            <w:sz w:val="24"/>
                            <w:szCs w:val="24"/>
                            <w:lang w:val="uk-UA"/>
                          </w:rPr>
                          <w:t>Клієнти та суспільство</w:t>
                        </w:r>
                      </w:p>
                    </w:txbxContent>
                  </v:textbox>
                </v:rect>
                <v:rect id="Прямоугольник 1774195048" o:spid="_x0000_s1134" style="position:absolute;left:63;top:4762;width:35781;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" strokeweight="1pt">
                  <v:stroke startarrowwidth="narrow" startarrowlength="short" endarrowwidth="narrow" endarrowlength="short" joinstyle="round"/>
                  <v:textbox inset="7pt,3pt,7pt,3pt">
                    <w:txbxContent>
                      <w:p w14:paraId="12AC3FC4" w14:textId="77777777" w:rsidR="0022259C" w:rsidRPr="0022259C" w:rsidRDefault="0022259C" w:rsidP="0022259C">
                        <w:pPr>
                          <w:spacing w:line="256" w:lineRule="auto"/>
                          <w:jc w:val="center"/>
                          <w:rPr>
                            <w:rFonts w:ascii="Times New Roman" w:eastAsia="Times New Roman" w:hAnsi="Times New Roman" w:cs="Times New Roman"/>
                            <w:color w:val="000000"/>
                            <w:sz w:val="24"/>
                            <w:szCs w:val="24"/>
                            <w:lang w:val="uk-UA"/>
                          </w:rPr>
                        </w:pPr>
                        <w:r w:rsidRPr="0022259C">
                          <w:rPr>
                            <w:rFonts w:ascii="Times New Roman" w:eastAsia="Times New Roman" w:hAnsi="Times New Roman" w:cs="Times New Roman"/>
                            <w:color w:val="000000"/>
                            <w:sz w:val="24"/>
                            <w:szCs w:val="24"/>
                            <w:lang w:val="uk-UA"/>
                          </w:rPr>
                          <w:t>Держава</w:t>
                        </w:r>
                      </w:p>
                    </w:txbxContent>
                  </v:textbox>
                </v:rect>
                <v:shape id="Стрелка: вниз 1394273200" o:spid="_x0000_s1135" type="#_x0000_t67" style="position:absolute;left:15204;top:7905;width:5465;height:1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" adj="10800" fillcolor="white [3201]" strokecolor="black [3200]" strokeweight="1pt"/>
                <w10:anchorlock/>
              </v:group>
            </w:pict>
          </mc:Fallback>
        </mc:AlternateContent>
      </w:r>
    </w:p>
    <w:p w14:paraId="0A617AB0" w14:textId="4BD75F31" w:rsidR="0022259C" w:rsidRPr="00F00EB0" w:rsidRDefault="0022259C" w:rsidP="0016749F">
      <w:pPr>
        <w:spacing w:after="0" w:line="360" w:lineRule="auto"/>
        <w:jc w:val="center"/>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Рисунок 1.</w:t>
      </w:r>
      <w:r w:rsidR="00A962C3" w:rsidRPr="00F00EB0">
        <w:rPr>
          <w:rFonts w:ascii="Times New Roman" w:eastAsia="Times New Roman" w:hAnsi="Times New Roman" w:cs="Times New Roman"/>
          <w:color w:val="000000" w:themeColor="text1"/>
          <w:sz w:val="28"/>
          <w:szCs w:val="28"/>
          <w:lang w:val="uk-UA" w:eastAsia="ru-RU"/>
        </w:rPr>
        <w:t>5</w:t>
      </w:r>
      <w:r w:rsidRPr="00F00EB0">
        <w:rPr>
          <w:rFonts w:ascii="Times New Roman" w:eastAsia="Times New Roman" w:hAnsi="Times New Roman" w:cs="Times New Roman"/>
          <w:color w:val="000000" w:themeColor="text1"/>
          <w:sz w:val="28"/>
          <w:szCs w:val="28"/>
          <w:lang w:val="uk-UA" w:eastAsia="ru-RU"/>
        </w:rPr>
        <w:t xml:space="preserve"> – Фактори впливу на ФСБ</w:t>
      </w:r>
      <w:r w:rsidR="0088014A" w:rsidRPr="00F00EB0">
        <w:rPr>
          <w:rFonts w:ascii="Times New Roman" w:eastAsia="Times New Roman" w:hAnsi="Times New Roman" w:cs="Times New Roman"/>
          <w:color w:val="000000" w:themeColor="text1"/>
          <w:sz w:val="28"/>
          <w:szCs w:val="28"/>
          <w:lang w:val="uk-UA" w:eastAsia="ru-RU"/>
        </w:rPr>
        <w:t xml:space="preserve"> </w:t>
      </w:r>
      <w:r w:rsidR="0088014A" w:rsidRPr="00F00EB0">
        <w:rPr>
          <w:rFonts w:ascii="Times New Roman" w:hAnsi="Times New Roman" w:cs="Times New Roman"/>
          <w:color w:val="000000" w:themeColor="text1"/>
          <w:sz w:val="28"/>
          <w:szCs w:val="28"/>
          <w:lang w:val="uk-UA"/>
        </w:rPr>
        <w:t>[складено автором на основі</w:t>
      </w:r>
      <w:r w:rsidR="0016749F" w:rsidRPr="00F00EB0">
        <w:rPr>
          <w:rFonts w:ascii="Times New Roman" w:hAnsi="Times New Roman" w:cs="Times New Roman"/>
          <w:color w:val="000000" w:themeColor="text1"/>
          <w:sz w:val="28"/>
          <w:szCs w:val="28"/>
          <w:lang w:val="uk-UA"/>
        </w:rPr>
        <w:t xml:space="preserve"> 3, 15, 34, 36, 42</w:t>
      </w:r>
      <w:r w:rsidR="0088014A" w:rsidRPr="00F00EB0">
        <w:rPr>
          <w:rFonts w:ascii="Times New Roman" w:hAnsi="Times New Roman" w:cs="Times New Roman"/>
          <w:color w:val="000000" w:themeColor="text1"/>
          <w:sz w:val="28"/>
          <w:szCs w:val="28"/>
          <w:lang w:val="uk-UA"/>
        </w:rPr>
        <w:t>]</w:t>
      </w:r>
    </w:p>
    <w:p w14:paraId="2330DC3F" w14:textId="77777777" w:rsidR="00FE4C50" w:rsidRPr="00F00EB0" w:rsidRDefault="00FE4C50" w:rsidP="0078322A">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24C5F492" w14:textId="487D9916" w:rsidR="00495E01" w:rsidRPr="00F00EB0" w:rsidRDefault="00495E01" w:rsidP="0078322A">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Для систематизації внутрішніх факторів впливу на ФСБ запропоновано використовувати такі критеріальні ознаки, які визначаються в контексті кількісної оцінки її рівня (рівень капіталізації банку, ризикові позиції, ліквідність, рентабельність та інші фінансові показники). На основі аналізу цих критеріїв можна ідентифікувати ті внутрішні фактори, які мають суттєвий вплив на ФСБ та приймати відповідні рішення для її забезпечення та успішної діяльності банку.</w:t>
      </w:r>
    </w:p>
    <w:p w14:paraId="27477812" w14:textId="77777777" w:rsidR="0078322A" w:rsidRPr="00F00EB0" w:rsidRDefault="0078322A" w:rsidP="00327E93">
      <w:pPr>
        <w:spacing w:after="0" w:line="360" w:lineRule="auto"/>
        <w:contextualSpacing/>
        <w:jc w:val="both"/>
        <w:rPr>
          <w:rFonts w:ascii="Times New Roman" w:hAnsi="Times New Roman" w:cs="Times New Roman"/>
          <w:color w:val="000000" w:themeColor="text1"/>
          <w:sz w:val="28"/>
          <w:szCs w:val="28"/>
          <w:lang w:val="uk-UA"/>
        </w:rPr>
      </w:pPr>
    </w:p>
    <w:p w14:paraId="40E57B2E" w14:textId="77777777" w:rsidR="009515BC" w:rsidRPr="00F00EB0" w:rsidRDefault="009515BC" w:rsidP="009515BC">
      <w:pPr>
        <w:pStyle w:val="10"/>
        <w:ind w:firstLine="709"/>
        <w:jc w:val="both"/>
        <w:rPr>
          <w:rFonts w:cs="Times New Roman"/>
          <w:bCs/>
          <w:color w:val="000000" w:themeColor="text1"/>
          <w:lang w:val="uk-UA"/>
        </w:rPr>
      </w:pPr>
      <w:bookmarkStart w:id="9" w:name="_Toc137414304"/>
      <w:bookmarkStart w:id="10" w:name="_Toc42962268"/>
      <w:r w:rsidRPr="00F00EB0">
        <w:rPr>
          <w:rFonts w:cs="Times New Roman"/>
          <w:bCs/>
          <w:color w:val="000000" w:themeColor="text1"/>
          <w:lang w:val="uk-UA"/>
        </w:rPr>
        <w:lastRenderedPageBreak/>
        <w:t>1.2 Формування й реалізація механізму забезпечення фінансової стійкості банку</w:t>
      </w:r>
      <w:bookmarkEnd w:id="9"/>
    </w:p>
    <w:p w14:paraId="3EB369A7" w14:textId="77777777" w:rsidR="009515BC" w:rsidRPr="00F00EB0" w:rsidRDefault="009515BC" w:rsidP="009515BC">
      <w:pPr>
        <w:spacing w:after="0" w:line="360" w:lineRule="auto"/>
        <w:ind w:firstLine="709"/>
        <w:contextualSpacing/>
        <w:jc w:val="both"/>
        <w:rPr>
          <w:rFonts w:ascii="Times New Roman" w:hAnsi="Times New Roman" w:cs="Times New Roman"/>
          <w:color w:val="000000" w:themeColor="text1"/>
          <w:sz w:val="28"/>
          <w:szCs w:val="28"/>
          <w:lang w:val="uk-UA"/>
        </w:rPr>
      </w:pPr>
    </w:p>
    <w:p w14:paraId="03E912A0" w14:textId="77777777" w:rsidR="009515BC" w:rsidRPr="00F00EB0" w:rsidRDefault="009515BC" w:rsidP="009515BC">
      <w:pPr>
        <w:spacing w:after="0" w:line="360" w:lineRule="auto"/>
        <w:ind w:firstLine="709"/>
        <w:contextualSpacing/>
        <w:jc w:val="both"/>
        <w:rPr>
          <w:rFonts w:ascii="Times New Roman" w:hAnsi="Times New Roman" w:cs="Times New Roman"/>
          <w:color w:val="000000" w:themeColor="text1"/>
          <w:sz w:val="28"/>
          <w:szCs w:val="28"/>
          <w:lang w:val="uk-UA"/>
        </w:rPr>
      </w:pPr>
    </w:p>
    <w:p w14:paraId="1F7C2745"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Банківська система є невіддільною складовою економічної системи країни та залежить від рівня та якості розвитку всіх процесів, що відбуваються в ній та суспільстві. Банки є чутливими до навіть незначних змін в операційному середовищі, оскільки вони виконують ряд важливих функцій в економіці та взаємодіють зі значною кількість контрагентів.</w:t>
      </w:r>
    </w:p>
    <w:p w14:paraId="78FB3CCF"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В умовах повномасштабної військової агресії банки України мають швидко реагувати на ризик-фактори та знаходити нові інструменти для нівелювання їх негативного впливу на ФСБ. Так, банки мають вдосконалювати системи ризик-менеджменту, розробляти нові стандарти та критерії кредитування, щоб зменшити кредитний ризик, підвищувати рівень ліквідності та капіталізації. Всі заходи мають мати превентивний характер або мінімальний часовий лаг для впровадження, щоб адаптувати діяльність до функціонування в умовах війни та нівелювати наслідки реалізації загроз, наскільки це можливо.</w:t>
      </w:r>
    </w:p>
    <w:p w14:paraId="5958BA9F"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Зважаючи на зазначене вище, дослідження механізму забезпечення ФСБ набуває важливого значення. Вони повинні забезпечити розробку ефективних стратегій та інструментів для забезпечення ФСБ, що матиме важливе практичне значення для збереження довіри до банківської системи та підтримки стійкого розвитку економіки. Актуальною частиною цього питання є недостатність розробки концептуальних засад забезпечення ФСБ в умовах воєнного стану та нестабільності. Це обумовлює необхідність теоретичного обґрунтування категорії «механізм забезпечення ФСБ» та визначення його складових елементів. </w:t>
      </w:r>
    </w:p>
    <w:p w14:paraId="3BFC557B"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Забезпечення ФСБ, формування відповідних механізмів та розвиток інструментарію забезпечення знайшли відображення у роботах таких науковців, як: В. Ю. Біляєва [7], В. В. Бриштіна, Л. А. Клюско [10], О. В.Дзюблюк, Р. В. Михайлюк [18], М. І. Звєряков [23, 24], Р. С. Квасницька, Н. В. Гайдайчук [30], В. М. Кочетков [38], Л. І. Лачкова та інш. [41], Р. В. Михайлюк [46, 47], </w:t>
      </w:r>
      <w:r w:rsidRPr="00F00EB0">
        <w:rPr>
          <w:rFonts w:ascii="Times New Roman" w:hAnsi="Times New Roman" w:cs="Times New Roman"/>
          <w:color w:val="000000" w:themeColor="text1"/>
          <w:sz w:val="28"/>
          <w:szCs w:val="28"/>
          <w:lang w:val="uk-UA"/>
        </w:rPr>
        <w:lastRenderedPageBreak/>
        <w:t>Ю. М. Нікольчук та О. О. Лопатовська [48], О. Й. Шевцова та Ю. Р. Горбунова [67], О. Р. Яременко та А. В. Беренич [69] та інших. Попри значний науковий фундамент, сформований зазначеними вище та іншими вченими, формування механізму забезпечення ФСБ потребує постійного дослідження та вдосконалення, особливо на поточному етапі функціонування банківської системи в умовах повномасштабної агресії росії.</w:t>
      </w:r>
    </w:p>
    <w:p w14:paraId="5A6822DA"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За результатами дослідження ми визначили, що «… методологічною основою механізму забезпечення ФСБ є системний та процесно-потоковий підходи [39]». Відповідно, ми також вважаємо за доцільне використовувати методологічне підґрунтя цих методів, що передбачає розгляд механізму забезпечення ФСБ як сукупності елементів, які взаємодіють між собою на основі принципів процесно-потокового підходу, щоб досягти визначених цілей. Поточні умови функціонування банківської системи країни змушують банки адаптуватись до нових умов функціонування, що є надзвичайно волатильними та невизначеними. Зважаючи на це, для формування механізму забезпечення ФСБ необхідно застосувати елементи адаптивного підходу, оскільки він передбачає гнучкість та здатність до пристосування банку до нових умов (рис. 1.6).</w:t>
      </w:r>
    </w:p>
    <w:p w14:paraId="680DF6DC"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Об’єктна складова механізму забезпечення ФСБ передбачає вивчення тих об’єктів, які визначають її динамічний рівень. Базуючись на теорії управління, це можуть бути виключно внутрішні фактори, що детермінують її рівень. Відповідно до систематизації факторів ФСБ, наведених у підрозділі 1.1, це можуть бути такі елементи, як активи, пасиви, капітал, ризики, ефективність діяльності тощо. Розуміння цих об’єктів та їх взаємозв’язку дозволяє суб’єктам банківського менеджменту визначати ключові фактори, які впливають на ФСБ, та на які першочергово має бути спрямований управлінський вплив.</w:t>
      </w:r>
    </w:p>
    <w:p w14:paraId="7AC444D0"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Суб’єктна складова передбачає вивчення тих організаційних та управлінських структур, які прямо чи опосередковано беруть участь в забезпеченні ФСБ.</w:t>
      </w:r>
      <w:r w:rsidRPr="00F00EB0">
        <w:rPr>
          <w:rFonts w:ascii="Times New Roman" w:hAnsi="Times New Roman" w:cs="Times New Roman"/>
          <w:color w:val="000000" w:themeColor="text1"/>
          <w:sz w:val="28"/>
          <w:szCs w:val="28"/>
          <w:lang w:val="uk-UA"/>
        </w:rPr>
        <w:br w:type="page"/>
      </w:r>
    </w:p>
    <w:p w14:paraId="5690D92C" w14:textId="77777777" w:rsidR="009515BC" w:rsidRPr="00F00EB0" w:rsidRDefault="009515BC" w:rsidP="009515BC">
      <w:pPr>
        <w:rPr>
          <w:rFonts w:ascii="Times New Roman" w:hAnsi="Times New Roman" w:cs="Times New Roman"/>
          <w:color w:val="000000" w:themeColor="text1"/>
          <w:lang w:val="uk-UA"/>
        </w:rPr>
      </w:pPr>
      <w:r w:rsidRPr="00F00EB0">
        <w:rPr>
          <w:rFonts w:ascii="Times New Roman" w:hAnsi="Times New Roman" w:cs="Times New Roman"/>
          <w:noProof/>
          <w:color w:val="000000" w:themeColor="text1"/>
          <w:lang w:eastAsia="ru-RU"/>
        </w:rPr>
        <w:lastRenderedPageBreak/>
        <mc:AlternateContent>
          <mc:Choice Requires="wpc">
            <w:drawing>
              <wp:inline distT="0" distB="0" distL="0" distR="0" wp14:anchorId="31D01666" wp14:editId="16F80A7E">
                <wp:extent cx="6115050" cy="8321040"/>
                <wp:effectExtent l="14605" t="0" r="4445" b="74295"/>
                <wp:docPr id="1534" name="Полотно 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946139004" name="Прямоугольник 886"/>
                        <wps:cNvSpPr>
                          <a:spLocks noChangeArrowheads="1"/>
                        </wps:cNvSpPr>
                        <wps:spPr bwMode="auto">
                          <a:xfrm>
                            <a:off x="729482" y="5002645"/>
                            <a:ext cx="5259571" cy="2259301"/>
                          </a:xfrm>
                          <a:prstGeom prst="rect">
                            <a:avLst/>
                          </a:prstGeom>
                          <a:solidFill>
                            <a:srgbClr val="FFFFFF"/>
                          </a:solidFill>
                          <a:ln w="25400">
                            <a:solidFill>
                              <a:srgbClr val="000000"/>
                            </a:solidFill>
                            <a:prstDash val="sysDash"/>
                            <a:miter lim="800000"/>
                            <a:headEnd/>
                            <a:tailEnd/>
                          </a:ln>
                        </wps:spPr>
                        <wps:bodyPr rot="0" vert="horz" wrap="square" lIns="91440" tIns="45720" rIns="91440" bIns="45720" anchor="ctr" anchorCtr="0" upright="1">
                          <a:noAutofit/>
                        </wps:bodyPr>
                      </wps:wsp>
                      <wps:wsp>
                        <wps:cNvPr id="298554739" name="Прямоугольник 888"/>
                        <wps:cNvSpPr>
                          <a:spLocks noChangeArrowheads="1"/>
                        </wps:cNvSpPr>
                        <wps:spPr bwMode="auto">
                          <a:xfrm>
                            <a:off x="729482" y="5013946"/>
                            <a:ext cx="5259671" cy="2248000"/>
                          </a:xfrm>
                          <a:prstGeom prst="rect">
                            <a:avLst/>
                          </a:prstGeom>
                          <a:solidFill>
                            <a:srgbClr val="FFFFFF"/>
                          </a:solidFill>
                          <a:ln w="25400">
                            <a:solidFill>
                              <a:srgbClr val="000000"/>
                            </a:solidFill>
                            <a:prstDash val="sysDash"/>
                            <a:miter lim="800000"/>
                            <a:headEnd/>
                            <a:tailEnd/>
                          </a:ln>
                        </wps:spPr>
                        <wps:bodyPr rot="0" vert="horz" wrap="square" lIns="91440" tIns="45720" rIns="91440" bIns="45720" anchor="ctr" anchorCtr="0" upright="1">
                          <a:noAutofit/>
                        </wps:bodyPr>
                      </wps:wsp>
                      <wps:wsp>
                        <wps:cNvPr id="176227302" name="Прямоугольник 889"/>
                        <wps:cNvSpPr>
                          <a:spLocks noChangeArrowheads="1"/>
                        </wps:cNvSpPr>
                        <wps:spPr bwMode="auto">
                          <a:xfrm>
                            <a:off x="718982" y="4665815"/>
                            <a:ext cx="5259571" cy="2595431"/>
                          </a:xfrm>
                          <a:prstGeom prst="rect">
                            <a:avLst/>
                          </a:prstGeom>
                          <a:solidFill>
                            <a:srgbClr val="FFFFFF"/>
                          </a:solidFill>
                          <a:ln w="25400">
                            <a:solidFill>
                              <a:srgbClr val="000000"/>
                            </a:solidFill>
                            <a:prstDash val="sysDash"/>
                            <a:miter lim="800000"/>
                            <a:headEnd/>
                            <a:tailEnd/>
                          </a:ln>
                        </wps:spPr>
                        <wps:bodyPr rot="0" vert="horz" wrap="square" lIns="91440" tIns="45720" rIns="91440" bIns="45720" anchor="ctr" anchorCtr="0" upright="1">
                          <a:noAutofit/>
                        </wps:bodyPr>
                      </wps:wsp>
                      <wps:wsp>
                        <wps:cNvPr id="582069932" name="Стрелка вниз 890"/>
                        <wps:cNvSpPr>
                          <a:spLocks noChangeArrowheads="1"/>
                        </wps:cNvSpPr>
                        <wps:spPr bwMode="auto">
                          <a:xfrm>
                            <a:off x="2490439" y="2767346"/>
                            <a:ext cx="1140272" cy="118911"/>
                          </a:xfrm>
                          <a:prstGeom prst="downArrow">
                            <a:avLst>
                              <a:gd name="adj1" fmla="val 50000"/>
                              <a:gd name="adj2" fmla="val 50000"/>
                            </a:avLst>
                          </a:prstGeom>
                          <a:solidFill>
                            <a:srgbClr val="FFFFFF"/>
                          </a:solidFill>
                          <a:ln w="9525">
                            <a:solidFill>
                              <a:srgbClr val="000000"/>
                            </a:solidFill>
                            <a:miter lim="800000"/>
                            <a:headEnd/>
                            <a:tailEnd/>
                          </a:ln>
                        </wps:spPr>
                        <wps:bodyPr rot="0" vert="horz" wrap="square" lIns="91440" tIns="45720" rIns="91440" bIns="45720" anchor="ctr" anchorCtr="0" upright="1">
                          <a:noAutofit/>
                        </wps:bodyPr>
                      </wps:wsp>
                      <wps:wsp>
                        <wps:cNvPr id="1682940907" name="Скругленный прямоугольник 891"/>
                        <wps:cNvSpPr>
                          <a:spLocks noChangeArrowheads="1"/>
                        </wps:cNvSpPr>
                        <wps:spPr bwMode="auto">
                          <a:xfrm>
                            <a:off x="0" y="441239"/>
                            <a:ext cx="6053852" cy="2326007"/>
                          </a:xfrm>
                          <a:prstGeom prst="roundRect">
                            <a:avLst>
                              <a:gd name="adj" fmla="val 3940"/>
                            </a:avLst>
                          </a:prstGeom>
                          <a:solidFill>
                            <a:srgbClr val="F2F2F2"/>
                          </a:solidFill>
                          <a:ln w="25400">
                            <a:solidFill>
                              <a:srgbClr val="000000"/>
                            </a:solidFill>
                            <a:prstDash val="sysDot"/>
                            <a:round/>
                            <a:headEnd/>
                            <a:tailEnd/>
                          </a:ln>
                        </wps:spPr>
                        <wps:bodyPr rot="0" vert="horz" wrap="square" lIns="91440" tIns="45720" rIns="91440" bIns="45720" anchor="ctr" anchorCtr="0" upright="1">
                          <a:noAutofit/>
                        </wps:bodyPr>
                      </wps:wsp>
                      <wps:wsp>
                        <wps:cNvPr id="279840811" name="Прямоугольник 894"/>
                        <wps:cNvSpPr>
                          <a:spLocks noChangeArrowheads="1"/>
                        </wps:cNvSpPr>
                        <wps:spPr bwMode="auto">
                          <a:xfrm>
                            <a:off x="90498" y="2465519"/>
                            <a:ext cx="3301919" cy="271324"/>
                          </a:xfrm>
                          <a:prstGeom prst="rect">
                            <a:avLst/>
                          </a:prstGeom>
                          <a:solidFill>
                            <a:srgbClr val="FFFFFF"/>
                          </a:solidFill>
                          <a:ln w="9525">
                            <a:solidFill>
                              <a:srgbClr val="000000"/>
                            </a:solidFill>
                            <a:miter lim="800000"/>
                            <a:headEnd/>
                            <a:tailEnd/>
                          </a:ln>
                        </wps:spPr>
                        <wps:txbx>
                          <w:txbxContent>
                            <w:p w14:paraId="6BACBD0A" w14:textId="77777777" w:rsidR="009515BC" w:rsidRPr="008F5239" w:rsidRDefault="009515BC" w:rsidP="009515BC">
                              <w:pPr>
                                <w:pStyle w:val="afd"/>
                                <w:spacing w:before="0" w:beforeAutospacing="0" w:after="0" w:afterAutospacing="0"/>
                                <w:ind w:left="-142" w:right="-169"/>
                                <w:jc w:val="center"/>
                                <w:rPr>
                                  <w:b/>
                                  <w:i/>
                                </w:rPr>
                              </w:pPr>
                              <w:r w:rsidRPr="008F5239">
                                <w:rPr>
                                  <w:b/>
                                  <w:i/>
                                </w:rPr>
                                <w:t>Елементи забезпечення</w:t>
                              </w:r>
                              <w:r>
                                <w:rPr>
                                  <w:b/>
                                  <w:i/>
                                </w:rPr>
                                <w:t xml:space="preserve"> </w:t>
                              </w:r>
                            </w:p>
                          </w:txbxContent>
                        </wps:txbx>
                        <wps:bodyPr rot="0" vert="horz" wrap="square" lIns="91440" tIns="45720" rIns="91440" bIns="45720" anchor="ctr" anchorCtr="0" upright="1">
                          <a:noAutofit/>
                        </wps:bodyPr>
                      </wps:wsp>
                      <wps:wsp>
                        <wps:cNvPr id="508352265" name="Прямоугольник 895"/>
                        <wps:cNvSpPr>
                          <a:spLocks noChangeArrowheads="1"/>
                        </wps:cNvSpPr>
                        <wps:spPr bwMode="auto">
                          <a:xfrm>
                            <a:off x="3456015" y="518746"/>
                            <a:ext cx="2532938" cy="2217797"/>
                          </a:xfrm>
                          <a:prstGeom prst="rect">
                            <a:avLst/>
                          </a:prstGeom>
                          <a:solidFill>
                            <a:srgbClr val="FFFFFF"/>
                          </a:solidFill>
                          <a:ln w="9525">
                            <a:solidFill>
                              <a:srgbClr val="000000"/>
                            </a:solidFill>
                            <a:miter lim="800000"/>
                            <a:headEnd/>
                            <a:tailEnd/>
                          </a:ln>
                        </wps:spPr>
                        <wps:txbx>
                          <w:txbxContent>
                            <w:p w14:paraId="5CDD0817" w14:textId="77777777" w:rsidR="009515BC" w:rsidRPr="00BF2E8A" w:rsidRDefault="009515BC" w:rsidP="009515BC">
                              <w:pPr>
                                <w:pStyle w:val="afd"/>
                                <w:spacing w:before="0" w:beforeAutospacing="0" w:after="0" w:afterAutospacing="0"/>
                                <w:ind w:firstLine="232"/>
                                <w:jc w:val="center"/>
                                <w:rPr>
                                  <w:b/>
                                  <w:sz w:val="22"/>
                                  <w:szCs w:val="22"/>
                                </w:rPr>
                              </w:pPr>
                              <w:r w:rsidRPr="00BF2E8A">
                                <w:rPr>
                                  <w:b/>
                                  <w:sz w:val="22"/>
                                  <w:szCs w:val="22"/>
                                </w:rPr>
                                <w:t xml:space="preserve">Принципи </w:t>
                              </w:r>
                            </w:p>
                            <w:p w14:paraId="268C4415" w14:textId="77777777" w:rsidR="009515BC" w:rsidRPr="00BF2E8A" w:rsidRDefault="009515BC" w:rsidP="009515BC">
                              <w:pPr>
                                <w:pStyle w:val="afd"/>
                                <w:spacing w:before="0" w:beforeAutospacing="0" w:after="0" w:afterAutospacing="0"/>
                                <w:jc w:val="both"/>
                                <w:rPr>
                                  <w:sz w:val="22"/>
                                  <w:szCs w:val="22"/>
                                </w:rPr>
                              </w:pPr>
                              <w:r w:rsidRPr="00BF2E8A">
                                <w:rPr>
                                  <w:sz w:val="22"/>
                                  <w:szCs w:val="22"/>
                                </w:rPr>
                                <w:t xml:space="preserve">системної логіки → цілісність, внутрішня узгодженість, структурність, розвиток, лабільність, ітеративність, варіативність; </w:t>
                              </w:r>
                            </w:p>
                            <w:p w14:paraId="6E1C986B" w14:textId="77777777" w:rsidR="009515BC" w:rsidRPr="00BF2E8A" w:rsidRDefault="009515BC" w:rsidP="009515BC">
                              <w:pPr>
                                <w:pStyle w:val="afd"/>
                                <w:spacing w:before="0" w:beforeAutospacing="0" w:after="0" w:afterAutospacing="0"/>
                                <w:jc w:val="both"/>
                                <w:rPr>
                                  <w:sz w:val="22"/>
                                  <w:szCs w:val="22"/>
                                </w:rPr>
                              </w:pPr>
                              <w:r>
                                <w:rPr>
                                  <w:sz w:val="22"/>
                                  <w:szCs w:val="22"/>
                                </w:rPr>
                                <w:t>адаптивного</w:t>
                              </w:r>
                              <w:r w:rsidRPr="00BF2E8A">
                                <w:rPr>
                                  <w:sz w:val="22"/>
                                  <w:szCs w:val="22"/>
                                </w:rPr>
                                <w:t xml:space="preserve"> управління → гнучкість, безперервність, дуальний зв'язок, саморегулювання, відкритість); </w:t>
                              </w:r>
                            </w:p>
                            <w:p w14:paraId="5A1022F3" w14:textId="77777777" w:rsidR="009515BC" w:rsidRPr="00BF2E8A" w:rsidRDefault="009515BC" w:rsidP="009515BC">
                              <w:pPr>
                                <w:pStyle w:val="afd"/>
                                <w:spacing w:before="0" w:beforeAutospacing="0" w:after="0" w:afterAutospacing="0"/>
                                <w:jc w:val="both"/>
                                <w:rPr>
                                  <w:sz w:val="22"/>
                                  <w:szCs w:val="22"/>
                                </w:rPr>
                              </w:pPr>
                              <w:r w:rsidRPr="00BF2E8A">
                                <w:rPr>
                                  <w:sz w:val="22"/>
                                  <w:szCs w:val="22"/>
                                </w:rPr>
                                <w:t>специфічні → необхідна різноманітність, узгодженість, збалансованість, ринкова кон’юнктура, ефективність та розвиток)</w:t>
                              </w:r>
                            </w:p>
                          </w:txbxContent>
                        </wps:txbx>
                        <wps:bodyPr rot="0" vert="horz" wrap="square" lIns="91440" tIns="45720" rIns="91440" bIns="45720" anchor="t" anchorCtr="0" upright="1">
                          <a:noAutofit/>
                        </wps:bodyPr>
                      </wps:wsp>
                      <wps:wsp>
                        <wps:cNvPr id="119134919" name="Прямоугольник 896"/>
                        <wps:cNvSpPr>
                          <a:spLocks noChangeArrowheads="1"/>
                        </wps:cNvSpPr>
                        <wps:spPr bwMode="auto">
                          <a:xfrm>
                            <a:off x="55599" y="518746"/>
                            <a:ext cx="3337118" cy="1902469"/>
                          </a:xfrm>
                          <a:prstGeom prst="rect">
                            <a:avLst/>
                          </a:prstGeom>
                          <a:solidFill>
                            <a:srgbClr val="FFFFFF"/>
                          </a:solidFill>
                          <a:ln w="9525">
                            <a:solidFill>
                              <a:srgbClr val="000000"/>
                            </a:solidFill>
                            <a:miter lim="800000"/>
                            <a:headEnd/>
                            <a:tailEnd/>
                          </a:ln>
                        </wps:spPr>
                        <wps:txbx>
                          <w:txbxContent>
                            <w:p w14:paraId="3819BBA4" w14:textId="77777777" w:rsidR="009515BC" w:rsidRPr="00B265D2" w:rsidRDefault="009515BC" w:rsidP="009515BC">
                              <w:pPr>
                                <w:pStyle w:val="afd"/>
                                <w:spacing w:before="0" w:beforeAutospacing="0" w:after="0" w:afterAutospacing="0"/>
                                <w:ind w:left="-57" w:right="-113"/>
                                <w:jc w:val="both"/>
                                <w:rPr>
                                  <w:color w:val="000000"/>
                                  <w:sz w:val="22"/>
                                  <w:szCs w:val="22"/>
                                </w:rPr>
                              </w:pPr>
                              <w:r w:rsidRPr="00B265D2">
                                <w:rPr>
                                  <w:b/>
                                  <w:bCs/>
                                  <w:i/>
                                  <w:iCs/>
                                  <w:color w:val="000000"/>
                                  <w:sz w:val="22"/>
                                  <w:szCs w:val="22"/>
                                </w:rPr>
                                <w:t>Завдання – фінансова рівновага</w:t>
                              </w:r>
                              <w:r w:rsidRPr="00B265D2">
                                <w:rPr>
                                  <w:color w:val="000000"/>
                                  <w:sz w:val="22"/>
                                  <w:szCs w:val="22"/>
                                </w:rPr>
                                <w:t xml:space="preserve">: </w:t>
                              </w:r>
                              <w:r w:rsidRPr="00B265D2">
                                <w:rPr>
                                  <w:color w:val="000000"/>
                                  <w:sz w:val="22"/>
                                  <w:szCs w:val="22"/>
                                </w:rPr>
                                <w:br/>
                                <w:t xml:space="preserve">збалансованість активів і пасивів (забезпечення достатності капіталу, оптимізація ризиків, максимізація ефективності); </w:t>
                              </w:r>
                            </w:p>
                            <w:p w14:paraId="4E40439E" w14:textId="77777777" w:rsidR="009515BC" w:rsidRPr="00B265D2" w:rsidRDefault="009515BC" w:rsidP="009515BC">
                              <w:pPr>
                                <w:pStyle w:val="afd"/>
                                <w:spacing w:before="0" w:beforeAutospacing="0" w:after="0" w:afterAutospacing="0"/>
                                <w:ind w:left="-57" w:right="-113"/>
                                <w:jc w:val="both"/>
                                <w:rPr>
                                  <w:color w:val="000000"/>
                                  <w:sz w:val="22"/>
                                  <w:szCs w:val="22"/>
                                </w:rPr>
                              </w:pPr>
                              <w:r w:rsidRPr="00B265D2">
                                <w:rPr>
                                  <w:color w:val="000000"/>
                                  <w:sz w:val="22"/>
                                  <w:szCs w:val="22"/>
                                </w:rPr>
                                <w:t>збалансованість доходів і витрат (забезпечення рентабельності);</w:t>
                              </w:r>
                            </w:p>
                            <w:p w14:paraId="126ED15A" w14:textId="77777777" w:rsidR="009515BC" w:rsidRPr="00B265D2" w:rsidRDefault="009515BC" w:rsidP="009515BC">
                              <w:pPr>
                                <w:pStyle w:val="afd"/>
                                <w:spacing w:before="0" w:beforeAutospacing="0" w:after="0" w:afterAutospacing="0"/>
                                <w:ind w:left="-57" w:right="-113"/>
                                <w:jc w:val="both"/>
                                <w:rPr>
                                  <w:color w:val="000000"/>
                                  <w:sz w:val="22"/>
                                  <w:szCs w:val="22"/>
                                </w:rPr>
                              </w:pPr>
                              <w:r w:rsidRPr="00B265D2">
                                <w:rPr>
                                  <w:color w:val="000000"/>
                                  <w:sz w:val="22"/>
                                  <w:szCs w:val="22"/>
                                </w:rPr>
                                <w:t>збалансованість грошових потоків (забезпечення платоспроможності та ліквідності);</w:t>
                              </w:r>
                            </w:p>
                            <w:p w14:paraId="40623214" w14:textId="77777777" w:rsidR="009515BC" w:rsidRPr="00B265D2" w:rsidRDefault="009515BC" w:rsidP="009515BC">
                              <w:pPr>
                                <w:pStyle w:val="afd"/>
                                <w:spacing w:before="0" w:beforeAutospacing="0" w:after="0" w:afterAutospacing="0"/>
                                <w:ind w:left="-57" w:right="-113"/>
                                <w:jc w:val="both"/>
                                <w:rPr>
                                  <w:color w:val="000000"/>
                                  <w:sz w:val="22"/>
                                  <w:szCs w:val="22"/>
                                </w:rPr>
                              </w:pPr>
                              <w:r w:rsidRPr="00B265D2">
                                <w:rPr>
                                  <w:color w:val="000000"/>
                                  <w:sz w:val="22"/>
                                  <w:szCs w:val="22"/>
                                </w:rPr>
                                <w:t>збалансованість співвідношення між ризиками та очікуваними доходами та капіталом, враховуючи внутрішні та зовнішні фактори</w:t>
                              </w:r>
                            </w:p>
                          </w:txbxContent>
                        </wps:txbx>
                        <wps:bodyPr rot="0" vert="horz" wrap="square" lIns="91440" tIns="45720" rIns="91440" bIns="45720" anchor="ctr" anchorCtr="0" upright="1">
                          <a:noAutofit/>
                        </wps:bodyPr>
                      </wps:wsp>
                      <wps:wsp>
                        <wps:cNvPr id="1515627607" name="Прямая соединительная линия 898"/>
                        <wps:cNvCnPr>
                          <a:cxnSpLocks noChangeShapeType="1"/>
                        </wps:cNvCnPr>
                        <wps:spPr bwMode="auto">
                          <a:xfrm>
                            <a:off x="559786" y="3041771"/>
                            <a:ext cx="507587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19924491" name="Прямоугольник 899"/>
                        <wps:cNvSpPr>
                          <a:spLocks noChangeArrowheads="1"/>
                        </wps:cNvSpPr>
                        <wps:spPr bwMode="auto">
                          <a:xfrm>
                            <a:off x="2000" y="2781747"/>
                            <a:ext cx="6113050" cy="2880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27EE94" w14:textId="77777777" w:rsidR="009515BC" w:rsidRPr="005C04E9" w:rsidRDefault="009515BC" w:rsidP="009515BC">
                              <w:pPr>
                                <w:pStyle w:val="afd"/>
                                <w:spacing w:before="0" w:beforeAutospacing="0" w:after="0" w:afterAutospacing="0"/>
                                <w:jc w:val="center"/>
                              </w:pPr>
                              <w:r>
                                <w:rPr>
                                  <w:b/>
                                  <w:bCs/>
                                  <w:iCs/>
                                </w:rPr>
                                <w:t>Забезпечення фінансової стійкості банку</w:t>
                              </w:r>
                            </w:p>
                          </w:txbxContent>
                        </wps:txbx>
                        <wps:bodyPr rot="0" vert="horz" wrap="square" lIns="91440" tIns="45720" rIns="91440" bIns="45720" anchor="ctr" anchorCtr="0" upright="1">
                          <a:noAutofit/>
                        </wps:bodyPr>
                      </wps:wsp>
                      <wps:wsp>
                        <wps:cNvPr id="126592325" name="Прямоугольник 902"/>
                        <wps:cNvSpPr>
                          <a:spLocks noChangeArrowheads="1"/>
                        </wps:cNvSpPr>
                        <wps:spPr bwMode="auto">
                          <a:xfrm>
                            <a:off x="735782" y="3171382"/>
                            <a:ext cx="5259571" cy="1446329"/>
                          </a:xfrm>
                          <a:prstGeom prst="rect">
                            <a:avLst/>
                          </a:prstGeom>
                          <a:solidFill>
                            <a:srgbClr val="FFFFFF"/>
                          </a:solidFill>
                          <a:ln w="25400">
                            <a:solidFill>
                              <a:srgbClr val="000000"/>
                            </a:solidFill>
                            <a:prstDash val="sysDash"/>
                            <a:miter lim="800000"/>
                            <a:headEnd/>
                            <a:tailEnd/>
                          </a:ln>
                        </wps:spPr>
                        <wps:bodyPr rot="0" vert="horz" wrap="square" lIns="91440" tIns="45720" rIns="91440" bIns="45720" anchor="ctr" anchorCtr="0" upright="1">
                          <a:noAutofit/>
                        </wps:bodyPr>
                      </wps:wsp>
                      <wps:wsp>
                        <wps:cNvPr id="1289781938" name="Прямоугольник 905"/>
                        <wps:cNvSpPr>
                          <a:spLocks noChangeArrowheads="1"/>
                        </wps:cNvSpPr>
                        <wps:spPr bwMode="auto">
                          <a:xfrm flipV="1">
                            <a:off x="712483" y="7298849"/>
                            <a:ext cx="3122223" cy="1020491"/>
                          </a:xfrm>
                          <a:prstGeom prst="rect">
                            <a:avLst/>
                          </a:prstGeom>
                          <a:solidFill>
                            <a:srgbClr val="FFFFFF"/>
                          </a:solidFill>
                          <a:ln w="25400">
                            <a:solidFill>
                              <a:srgbClr val="000000"/>
                            </a:solidFill>
                            <a:prstDash val="sysDash"/>
                            <a:miter lim="800000"/>
                            <a:headEnd/>
                            <a:tailEnd/>
                          </a:ln>
                        </wps:spPr>
                        <wps:txbx>
                          <w:txbxContent>
                            <w:p w14:paraId="20F857EB" w14:textId="77777777" w:rsidR="009515BC" w:rsidRDefault="009515BC" w:rsidP="009515BC">
                              <w:pPr>
                                <w:rPr>
                                  <w:rFonts w:eastAsia="Times New Roman"/>
                                </w:rPr>
                              </w:pPr>
                            </w:p>
                          </w:txbxContent>
                        </wps:txbx>
                        <wps:bodyPr rot="0" vert="horz" wrap="square" lIns="91440" tIns="45720" rIns="91440" bIns="45720" anchor="ctr" anchorCtr="0" upright="1">
                          <a:noAutofit/>
                        </wps:bodyPr>
                      </wps:wsp>
                      <wps:wsp>
                        <wps:cNvPr id="971146992" name="Прямая со стрелкой 908"/>
                        <wps:cNvCnPr>
                          <a:cxnSpLocks noChangeShapeType="1"/>
                        </wps:cNvCnPr>
                        <wps:spPr bwMode="auto">
                          <a:xfrm flipH="1">
                            <a:off x="3795107" y="7829996"/>
                            <a:ext cx="18119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5831429" name="Прямоугольник 909"/>
                        <wps:cNvSpPr>
                          <a:spLocks noChangeArrowheads="1"/>
                        </wps:cNvSpPr>
                        <wps:spPr bwMode="auto">
                          <a:xfrm>
                            <a:off x="848679" y="7778292"/>
                            <a:ext cx="900678" cy="467342"/>
                          </a:xfrm>
                          <a:prstGeom prst="rect">
                            <a:avLst/>
                          </a:prstGeom>
                          <a:solidFill>
                            <a:srgbClr val="FFFFFF"/>
                          </a:solidFill>
                          <a:ln w="9525">
                            <a:solidFill>
                              <a:srgbClr val="000000"/>
                            </a:solidFill>
                            <a:miter lim="800000"/>
                            <a:headEnd/>
                            <a:tailEnd/>
                          </a:ln>
                        </wps:spPr>
                        <wps:txbx>
                          <w:txbxContent>
                            <w:p w14:paraId="72519607" w14:textId="77777777" w:rsidR="009515BC" w:rsidRPr="00687B53" w:rsidRDefault="009515BC" w:rsidP="009515BC">
                              <w:pPr>
                                <w:pStyle w:val="afd"/>
                                <w:spacing w:before="0" w:beforeAutospacing="0" w:after="0" w:afterAutospacing="0"/>
                                <w:ind w:left="-113" w:right="-113"/>
                                <w:jc w:val="center"/>
                              </w:pPr>
                              <w:r>
                                <w:rPr>
                                  <w:bCs/>
                                  <w:iCs/>
                                </w:rPr>
                                <w:t>Фінансові результати</w:t>
                              </w:r>
                            </w:p>
                          </w:txbxContent>
                        </wps:txbx>
                        <wps:bodyPr rot="0" vert="horz" wrap="square" lIns="91440" tIns="45720" rIns="91440" bIns="45720" anchor="ctr" anchorCtr="0" upright="1">
                          <a:noAutofit/>
                        </wps:bodyPr>
                      </wps:wsp>
                      <wps:wsp>
                        <wps:cNvPr id="1704842815" name="Прямоугольник 910"/>
                        <wps:cNvSpPr>
                          <a:spLocks noChangeArrowheads="1"/>
                        </wps:cNvSpPr>
                        <wps:spPr bwMode="auto">
                          <a:xfrm>
                            <a:off x="1956852" y="7777692"/>
                            <a:ext cx="1136072" cy="466742"/>
                          </a:xfrm>
                          <a:prstGeom prst="rect">
                            <a:avLst/>
                          </a:prstGeom>
                          <a:solidFill>
                            <a:srgbClr val="FFFFFF"/>
                          </a:solidFill>
                          <a:ln w="9525">
                            <a:solidFill>
                              <a:srgbClr val="000000"/>
                            </a:solidFill>
                            <a:miter lim="800000"/>
                            <a:headEnd/>
                            <a:tailEnd/>
                          </a:ln>
                        </wps:spPr>
                        <wps:txbx>
                          <w:txbxContent>
                            <w:p w14:paraId="3EF58B92" w14:textId="77777777" w:rsidR="009515BC" w:rsidRPr="00687B53" w:rsidRDefault="009515BC" w:rsidP="009515BC">
                              <w:pPr>
                                <w:pStyle w:val="afd"/>
                                <w:spacing w:before="0" w:beforeAutospacing="0" w:after="0" w:afterAutospacing="0"/>
                                <w:ind w:left="-113" w:right="-113"/>
                                <w:jc w:val="center"/>
                              </w:pPr>
                              <w:r>
                                <w:t>Грошові потоки. Ліквідність</w:t>
                              </w:r>
                            </w:p>
                          </w:txbxContent>
                        </wps:txbx>
                        <wps:bodyPr rot="0" vert="horz" wrap="square" lIns="91440" tIns="45720" rIns="91440" bIns="45720" anchor="ctr" anchorCtr="0" upright="1">
                          <a:noAutofit/>
                        </wps:bodyPr>
                      </wps:wsp>
                      <wps:wsp>
                        <wps:cNvPr id="289761284" name="Прямая со стрелкой 913"/>
                        <wps:cNvCnPr>
                          <a:cxnSpLocks noChangeShapeType="1"/>
                        </wps:cNvCnPr>
                        <wps:spPr bwMode="auto">
                          <a:xfrm>
                            <a:off x="352391" y="4929638"/>
                            <a:ext cx="0" cy="12981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06917432" name="Прямая со стрелкой 914"/>
                        <wps:cNvCnPr>
                          <a:cxnSpLocks noChangeShapeType="1"/>
                        </wps:cNvCnPr>
                        <wps:spPr bwMode="auto">
                          <a:xfrm>
                            <a:off x="352291" y="7166137"/>
                            <a:ext cx="0" cy="1759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820011" name="Прямоугольник 915"/>
                        <wps:cNvSpPr>
                          <a:spLocks noChangeArrowheads="1"/>
                        </wps:cNvSpPr>
                        <wps:spPr bwMode="auto">
                          <a:xfrm>
                            <a:off x="848979" y="7439662"/>
                            <a:ext cx="2953928" cy="278525"/>
                          </a:xfrm>
                          <a:prstGeom prst="rect">
                            <a:avLst/>
                          </a:prstGeom>
                          <a:solidFill>
                            <a:srgbClr val="FFFFFF"/>
                          </a:solidFill>
                          <a:ln w="9525">
                            <a:solidFill>
                              <a:srgbClr val="000000"/>
                            </a:solidFill>
                            <a:prstDash val="sysDash"/>
                            <a:miter lim="800000"/>
                            <a:headEnd/>
                            <a:tailEnd/>
                          </a:ln>
                        </wps:spPr>
                        <wps:txbx>
                          <w:txbxContent>
                            <w:p w14:paraId="6CF831C9" w14:textId="77777777" w:rsidR="009515BC" w:rsidRPr="00F23108" w:rsidRDefault="009515BC" w:rsidP="009515BC">
                              <w:pPr>
                                <w:pStyle w:val="afd"/>
                                <w:spacing w:before="0" w:beforeAutospacing="0" w:after="0" w:afterAutospacing="0"/>
                                <w:ind w:left="-142" w:right="-225"/>
                                <w:jc w:val="center"/>
                              </w:pPr>
                              <w:r w:rsidRPr="00F23108">
                                <w:t>Активи та пасиви</w:t>
                              </w:r>
                              <w:r>
                                <w:t>. Капітал.</w:t>
                              </w:r>
                            </w:p>
                          </w:txbxContent>
                        </wps:txbx>
                        <wps:bodyPr rot="0" vert="horz" wrap="square" lIns="91440" tIns="45720" rIns="91440" bIns="45720" anchor="ctr" anchorCtr="0" upright="1">
                          <a:noAutofit/>
                        </wps:bodyPr>
                      </wps:wsp>
                      <wps:wsp>
                        <wps:cNvPr id="1721724195" name="Прямая соединительная линия 916"/>
                        <wps:cNvCnPr>
                          <a:cxnSpLocks noChangeShapeType="1"/>
                          <a:stCxn id="115831429" idx="3"/>
                          <a:endCxn id="1704842815" idx="1"/>
                        </wps:cNvCnPr>
                        <wps:spPr bwMode="auto">
                          <a:xfrm flipV="1">
                            <a:off x="1749357" y="8011212"/>
                            <a:ext cx="207695" cy="700"/>
                          </a:xfrm>
                          <a:prstGeom prst="line">
                            <a:avLst/>
                          </a:prstGeom>
                          <a:noFill/>
                          <a:ln w="9525">
                            <a:solidFill>
                              <a:srgbClr val="000000"/>
                            </a:solidFill>
                            <a:prstDash val="sysDash"/>
                            <a:round/>
                            <a:headEnd type="diamond" w="med" len="med"/>
                            <a:tailEnd type="diamond" w="med" len="med"/>
                          </a:ln>
                          <a:extLst>
                            <a:ext uri="{909E8E84-426E-40DD-AFC4-6F175D3DCCD1}">
                              <a14:hiddenFill xmlns:a14="http://schemas.microsoft.com/office/drawing/2010/main">
                                <a:noFill/>
                              </a14:hiddenFill>
                            </a:ext>
                          </a:extLst>
                        </wps:spPr>
                        <wps:bodyPr/>
                      </wps:wsp>
                      <wps:wsp>
                        <wps:cNvPr id="896608161" name="Прямая соединительная линия 918"/>
                        <wps:cNvCnPr>
                          <a:cxnSpLocks noChangeShapeType="1"/>
                        </wps:cNvCnPr>
                        <wps:spPr bwMode="auto">
                          <a:xfrm flipV="1">
                            <a:off x="1855754" y="7718686"/>
                            <a:ext cx="0" cy="288926"/>
                          </a:xfrm>
                          <a:prstGeom prst="line">
                            <a:avLst/>
                          </a:prstGeom>
                          <a:noFill/>
                          <a:ln w="9525">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1269459994" name="Прямая со стрелкой 919"/>
                        <wps:cNvCnPr>
                          <a:cxnSpLocks noChangeShapeType="1"/>
                        </wps:cNvCnPr>
                        <wps:spPr bwMode="auto">
                          <a:xfrm flipV="1">
                            <a:off x="961876" y="7032725"/>
                            <a:ext cx="0" cy="407436"/>
                          </a:xfrm>
                          <a:prstGeom prst="straightConnector1">
                            <a:avLst/>
                          </a:prstGeom>
                          <a:noFill/>
                          <a:ln w="9525">
                            <a:solidFill>
                              <a:srgbClr val="000000"/>
                            </a:solidFill>
                            <a:prstDash val="sysDash"/>
                            <a:round/>
                            <a:headEnd/>
                            <a:tailEnd type="triangle" w="med" len="med"/>
                          </a:ln>
                          <a:extLst>
                            <a:ext uri="{909E8E84-426E-40DD-AFC4-6F175D3DCCD1}">
                              <a14:hiddenFill xmlns:a14="http://schemas.microsoft.com/office/drawing/2010/main">
                                <a:noFill/>
                              </a14:hiddenFill>
                            </a:ext>
                          </a:extLst>
                        </wps:spPr>
                        <wps:bodyPr/>
                      </wps:wsp>
                      <wps:wsp>
                        <wps:cNvPr id="462289886" name="Прямоугольник 920"/>
                        <wps:cNvSpPr>
                          <a:spLocks noChangeArrowheads="1"/>
                        </wps:cNvSpPr>
                        <wps:spPr bwMode="auto">
                          <a:xfrm>
                            <a:off x="1132372" y="4692917"/>
                            <a:ext cx="4502990" cy="2230998"/>
                          </a:xfrm>
                          <a:prstGeom prst="rect">
                            <a:avLst/>
                          </a:prstGeom>
                          <a:pattFill prst="pct50">
                            <a:fgClr>
                              <a:srgbClr val="7F7F7F"/>
                            </a:fgClr>
                            <a:bgClr>
                              <a:srgbClr val="FFFFFF"/>
                            </a:bgClr>
                          </a:pattFill>
                          <a:ln w="9525">
                            <a:solidFill>
                              <a:srgbClr val="000000"/>
                            </a:solidFill>
                            <a:miter lim="800000"/>
                            <a:headEnd/>
                            <a:tailEnd/>
                          </a:ln>
                        </wps:spPr>
                        <wps:txbx>
                          <w:txbxContent>
                            <w:p w14:paraId="089ACC62" w14:textId="77777777" w:rsidR="009515BC" w:rsidRDefault="009515BC" w:rsidP="009515BC">
                              <w:pPr>
                                <w:pStyle w:val="afd"/>
                                <w:spacing w:before="0" w:beforeAutospacing="0" w:after="0" w:afterAutospacing="0"/>
                                <w:ind w:firstLine="230"/>
                                <w:jc w:val="center"/>
                              </w:pPr>
                            </w:p>
                          </w:txbxContent>
                        </wps:txbx>
                        <wps:bodyPr rot="0" vert="horz" wrap="square" lIns="91440" tIns="45720" rIns="91440" bIns="45720" anchor="ctr" anchorCtr="0" upright="1">
                          <a:noAutofit/>
                        </wps:bodyPr>
                      </wps:wsp>
                      <wps:wsp>
                        <wps:cNvPr id="1168143402" name="Прямоугольник 921"/>
                        <wps:cNvSpPr>
                          <a:spLocks noChangeArrowheads="1"/>
                        </wps:cNvSpPr>
                        <wps:spPr bwMode="auto">
                          <a:xfrm>
                            <a:off x="1210470" y="4732421"/>
                            <a:ext cx="991476" cy="556850"/>
                          </a:xfrm>
                          <a:prstGeom prst="rect">
                            <a:avLst/>
                          </a:prstGeom>
                          <a:solidFill>
                            <a:srgbClr val="FFFFFF"/>
                          </a:solidFill>
                          <a:ln w="9525">
                            <a:solidFill>
                              <a:srgbClr val="000000"/>
                            </a:solidFill>
                            <a:miter lim="800000"/>
                            <a:headEnd/>
                            <a:tailEnd/>
                          </a:ln>
                        </wps:spPr>
                        <wps:txbx>
                          <w:txbxContent>
                            <w:p w14:paraId="359F6F7E" w14:textId="77777777" w:rsidR="009515BC" w:rsidRPr="003C667E" w:rsidRDefault="009515BC" w:rsidP="009515BC">
                              <w:pPr>
                                <w:pStyle w:val="afd"/>
                                <w:spacing w:before="0" w:beforeAutospacing="0" w:after="0" w:afterAutospacing="0"/>
                                <w:ind w:left="-170" w:right="-170"/>
                                <w:jc w:val="center"/>
                              </w:pPr>
                              <w:r>
                                <w:t xml:space="preserve">Аналіз </w:t>
                              </w:r>
                            </w:p>
                          </w:txbxContent>
                        </wps:txbx>
                        <wps:bodyPr rot="0" vert="horz" wrap="square" lIns="91440" tIns="45720" rIns="91440" bIns="45720" anchor="ctr" anchorCtr="0" upright="1">
                          <a:noAutofit/>
                        </wps:bodyPr>
                      </wps:wsp>
                      <wps:wsp>
                        <wps:cNvPr id="143177743" name="Прямоугольник 922"/>
                        <wps:cNvSpPr>
                          <a:spLocks noChangeArrowheads="1"/>
                        </wps:cNvSpPr>
                        <wps:spPr bwMode="auto">
                          <a:xfrm>
                            <a:off x="1210470" y="6038437"/>
                            <a:ext cx="991476" cy="466742"/>
                          </a:xfrm>
                          <a:prstGeom prst="rect">
                            <a:avLst/>
                          </a:prstGeom>
                          <a:solidFill>
                            <a:srgbClr val="FFFFFF"/>
                          </a:solidFill>
                          <a:ln w="9525">
                            <a:solidFill>
                              <a:srgbClr val="000000"/>
                            </a:solidFill>
                            <a:miter lim="800000"/>
                            <a:headEnd/>
                            <a:tailEnd/>
                          </a:ln>
                        </wps:spPr>
                        <wps:txbx>
                          <w:txbxContent>
                            <w:p w14:paraId="40850ED6" w14:textId="77777777" w:rsidR="009515BC" w:rsidRPr="00E61B4B" w:rsidRDefault="009515BC" w:rsidP="009515BC">
                              <w:pPr>
                                <w:pStyle w:val="afd"/>
                                <w:spacing w:before="0" w:beforeAutospacing="0" w:after="0" w:afterAutospacing="0"/>
                                <w:jc w:val="center"/>
                              </w:pPr>
                              <w:r>
                                <w:t>Контроль</w:t>
                              </w:r>
                            </w:p>
                          </w:txbxContent>
                        </wps:txbx>
                        <wps:bodyPr rot="0" vert="horz" wrap="square" lIns="91440" tIns="45720" rIns="91440" bIns="45720" anchor="ctr" anchorCtr="0" upright="1">
                          <a:noAutofit/>
                        </wps:bodyPr>
                      </wps:wsp>
                      <wps:wsp>
                        <wps:cNvPr id="580174778" name="Прямоугольник 923"/>
                        <wps:cNvSpPr>
                          <a:spLocks noChangeArrowheads="1"/>
                        </wps:cNvSpPr>
                        <wps:spPr bwMode="auto">
                          <a:xfrm>
                            <a:off x="1215670" y="6966120"/>
                            <a:ext cx="4328194" cy="295326"/>
                          </a:xfrm>
                          <a:prstGeom prst="rect">
                            <a:avLst/>
                          </a:prstGeom>
                          <a:solidFill>
                            <a:srgbClr val="FFFFFF"/>
                          </a:solidFill>
                          <a:ln w="9525">
                            <a:solidFill>
                              <a:srgbClr val="000000"/>
                            </a:solidFill>
                            <a:miter lim="800000"/>
                            <a:headEnd/>
                            <a:tailEnd/>
                          </a:ln>
                        </wps:spPr>
                        <wps:txbx>
                          <w:txbxContent>
                            <w:p w14:paraId="4B970E52" w14:textId="77777777" w:rsidR="009515BC" w:rsidRPr="007544E1" w:rsidRDefault="009515BC" w:rsidP="009515BC">
                              <w:pPr>
                                <w:pStyle w:val="afd"/>
                                <w:spacing w:before="0" w:beforeAutospacing="0" w:after="0" w:afterAutospacing="0"/>
                              </w:pPr>
                              <w:r>
                                <w:t>Р</w:t>
                              </w:r>
                              <w:r w:rsidRPr="007544E1">
                                <w:t xml:space="preserve">егулювання </w:t>
                              </w:r>
                              <w:r>
                                <w:t>(коригування реалізації стратегії)</w:t>
                              </w:r>
                            </w:p>
                          </w:txbxContent>
                        </wps:txbx>
                        <wps:bodyPr rot="0" vert="horz" wrap="square" lIns="91440" tIns="45720" rIns="91440" bIns="45720" anchor="ctr" anchorCtr="0" upright="1">
                          <a:noAutofit/>
                        </wps:bodyPr>
                      </wps:wsp>
                      <wps:wsp>
                        <wps:cNvPr id="1393920368" name="Прямоугольник 924"/>
                        <wps:cNvSpPr>
                          <a:spLocks noChangeArrowheads="1"/>
                        </wps:cNvSpPr>
                        <wps:spPr bwMode="auto">
                          <a:xfrm>
                            <a:off x="2299844" y="4733321"/>
                            <a:ext cx="3239921" cy="556750"/>
                          </a:xfrm>
                          <a:prstGeom prst="rect">
                            <a:avLst/>
                          </a:prstGeom>
                          <a:solidFill>
                            <a:srgbClr val="FFFFFF"/>
                          </a:solidFill>
                          <a:ln w="9525">
                            <a:solidFill>
                              <a:srgbClr val="000000"/>
                            </a:solidFill>
                            <a:miter lim="800000"/>
                            <a:headEnd/>
                            <a:tailEnd/>
                          </a:ln>
                        </wps:spPr>
                        <wps:txbx>
                          <w:txbxContent>
                            <w:p w14:paraId="7D0D2CD0" w14:textId="77777777" w:rsidR="009515BC" w:rsidRPr="00571B03" w:rsidRDefault="009515BC" w:rsidP="009515BC">
                              <w:pPr>
                                <w:pStyle w:val="afd"/>
                                <w:spacing w:before="0" w:beforeAutospacing="0" w:after="0" w:afterAutospacing="0" w:line="192" w:lineRule="auto"/>
                                <w:ind w:right="-90"/>
                                <w:jc w:val="both"/>
                                <w:rPr>
                                  <w:i/>
                                  <w:sz w:val="22"/>
                                  <w:szCs w:val="22"/>
                                </w:rPr>
                              </w:pPr>
                              <w:r w:rsidRPr="00571B03">
                                <w:rPr>
                                  <w:i/>
                                  <w:sz w:val="22"/>
                                  <w:szCs w:val="22"/>
                                </w:rPr>
                                <w:t>Ретроспективний</w:t>
                              </w:r>
                              <w:r>
                                <w:rPr>
                                  <w:i/>
                                  <w:sz w:val="22"/>
                                  <w:szCs w:val="22"/>
                                </w:rPr>
                                <w:t>, статичний</w:t>
                              </w:r>
                              <w:r w:rsidRPr="00571B03">
                                <w:rPr>
                                  <w:i/>
                                  <w:sz w:val="22"/>
                                  <w:szCs w:val="22"/>
                                </w:rPr>
                                <w:t xml:space="preserve"> аналіз стану об’єктів ФСБ</w:t>
                              </w:r>
                              <w:r>
                                <w:rPr>
                                  <w:i/>
                                  <w:sz w:val="22"/>
                                  <w:szCs w:val="22"/>
                                </w:rPr>
                                <w:t xml:space="preserve"> </w:t>
                              </w:r>
                              <w:r w:rsidRPr="00571B03">
                                <w:rPr>
                                  <w:i/>
                                  <w:sz w:val="22"/>
                                  <w:szCs w:val="22"/>
                                </w:rPr>
                                <w:t>у розрізі зовнішніх та внутрішніх факторів</w:t>
                              </w:r>
                              <w:r>
                                <w:rPr>
                                  <w:i/>
                                  <w:sz w:val="22"/>
                                  <w:szCs w:val="22"/>
                                </w:rPr>
                                <w:t xml:space="preserve">; </w:t>
                              </w:r>
                              <w:r w:rsidRPr="00571B03">
                                <w:rPr>
                                  <w:i/>
                                  <w:sz w:val="22"/>
                                  <w:szCs w:val="22"/>
                                </w:rPr>
                                <w:t>прогнозування</w:t>
                              </w:r>
                              <w:r>
                                <w:rPr>
                                  <w:i/>
                                  <w:sz w:val="22"/>
                                  <w:szCs w:val="22"/>
                                </w:rPr>
                                <w:t xml:space="preserve"> динамічної компоненти</w:t>
                              </w:r>
                            </w:p>
                          </w:txbxContent>
                        </wps:txbx>
                        <wps:bodyPr rot="0" vert="horz" wrap="square" lIns="91440" tIns="45720" rIns="91440" bIns="45720" anchor="ctr" anchorCtr="0" upright="1">
                          <a:noAutofit/>
                        </wps:bodyPr>
                      </wps:wsp>
                      <wps:wsp>
                        <wps:cNvPr id="1399942564" name="Прямоугольник 925"/>
                        <wps:cNvSpPr>
                          <a:spLocks noChangeArrowheads="1"/>
                        </wps:cNvSpPr>
                        <wps:spPr bwMode="auto">
                          <a:xfrm>
                            <a:off x="2303843" y="5986532"/>
                            <a:ext cx="3235621" cy="913981"/>
                          </a:xfrm>
                          <a:prstGeom prst="rect">
                            <a:avLst/>
                          </a:prstGeom>
                          <a:solidFill>
                            <a:srgbClr val="FFFFFF"/>
                          </a:solidFill>
                          <a:ln w="9525">
                            <a:solidFill>
                              <a:srgbClr val="000000"/>
                            </a:solidFill>
                            <a:miter lim="800000"/>
                            <a:headEnd/>
                            <a:tailEnd/>
                          </a:ln>
                        </wps:spPr>
                        <wps:txbx>
                          <w:txbxContent>
                            <w:p w14:paraId="7D7D1D45" w14:textId="77777777" w:rsidR="009515BC" w:rsidRPr="00571B03" w:rsidRDefault="009515BC" w:rsidP="009515BC">
                              <w:pPr>
                                <w:pStyle w:val="afd"/>
                                <w:spacing w:before="0" w:beforeAutospacing="0" w:after="0" w:afterAutospacing="0" w:line="192" w:lineRule="auto"/>
                                <w:jc w:val="both"/>
                                <w:rPr>
                                  <w:i/>
                                  <w:sz w:val="22"/>
                                  <w:szCs w:val="22"/>
                                </w:rPr>
                              </w:pPr>
                              <w:r w:rsidRPr="00571B03">
                                <w:rPr>
                                  <w:i/>
                                  <w:sz w:val="22"/>
                                  <w:szCs w:val="22"/>
                                </w:rPr>
                                <w:t>• моніторинг зовнішнього середовища та внутрішніх факторів ФСБ</w:t>
                              </w:r>
                              <w:r>
                                <w:rPr>
                                  <w:i/>
                                  <w:sz w:val="22"/>
                                  <w:szCs w:val="22"/>
                                </w:rPr>
                                <w:t>;</w:t>
                              </w:r>
                            </w:p>
                            <w:p w14:paraId="43D8EE0E" w14:textId="77777777" w:rsidR="009515BC" w:rsidRPr="00571B03" w:rsidRDefault="009515BC" w:rsidP="009515BC">
                              <w:pPr>
                                <w:pStyle w:val="afd"/>
                                <w:spacing w:before="0" w:beforeAutospacing="0" w:after="0" w:afterAutospacing="0" w:line="192" w:lineRule="auto"/>
                                <w:jc w:val="both"/>
                                <w:rPr>
                                  <w:i/>
                                  <w:sz w:val="22"/>
                                  <w:szCs w:val="22"/>
                                </w:rPr>
                              </w:pPr>
                              <w:r w:rsidRPr="00571B03">
                                <w:rPr>
                                  <w:i/>
                                  <w:sz w:val="22"/>
                                  <w:szCs w:val="22"/>
                                </w:rPr>
                                <w:t xml:space="preserve">• контроль результатів (параметри ФСБ) та контроль за виконанням завдань і досягненням мети діяльності </w:t>
                              </w:r>
                              <w:r>
                                <w:rPr>
                                  <w:i/>
                                  <w:sz w:val="22"/>
                                  <w:szCs w:val="22"/>
                                </w:rPr>
                                <w:t xml:space="preserve">банку </w:t>
                              </w:r>
                              <w:r w:rsidRPr="00571B03">
                                <w:rPr>
                                  <w:i/>
                                  <w:sz w:val="22"/>
                                  <w:szCs w:val="22"/>
                                </w:rPr>
                                <w:t>(забезпечення оптимального рівня ФСБ)</w:t>
                              </w:r>
                            </w:p>
                          </w:txbxContent>
                        </wps:txbx>
                        <wps:bodyPr rot="0" vert="horz" wrap="square" lIns="91440" tIns="45720" rIns="91440" bIns="45720" anchor="ctr" anchorCtr="0" upright="1">
                          <a:noAutofit/>
                        </wps:bodyPr>
                      </wps:wsp>
                      <wps:wsp>
                        <wps:cNvPr id="1250389918" name="Прямая со стрелкой 926"/>
                        <wps:cNvCnPr>
                          <a:cxnSpLocks noChangeShapeType="1"/>
                          <a:stCxn id="143177743" idx="2"/>
                        </wps:cNvCnPr>
                        <wps:spPr bwMode="auto">
                          <a:xfrm flipH="1">
                            <a:off x="1706158" y="6504778"/>
                            <a:ext cx="100" cy="4608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03191439" name="Прямая со стрелкой 927"/>
                        <wps:cNvCnPr>
                          <a:cxnSpLocks noChangeShapeType="1"/>
                          <a:stCxn id="580174778" idx="1"/>
                        </wps:cNvCnPr>
                        <wps:spPr bwMode="auto">
                          <a:xfrm flipH="1">
                            <a:off x="1117573" y="7113833"/>
                            <a:ext cx="9809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5203689" name="Прямая со стрелкой 928"/>
                        <wps:cNvCnPr>
                          <a:cxnSpLocks noChangeShapeType="1"/>
                          <a:stCxn id="1168143402" idx="3"/>
                          <a:endCxn id="1393920368" idx="1"/>
                        </wps:cNvCnPr>
                        <wps:spPr bwMode="auto">
                          <a:xfrm>
                            <a:off x="2202046" y="5011446"/>
                            <a:ext cx="97798" cy="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317554" name="Прямая со стрелкой 930"/>
                        <wps:cNvCnPr>
                          <a:cxnSpLocks noChangeShapeType="1"/>
                        </wps:cNvCnPr>
                        <wps:spPr bwMode="auto">
                          <a:xfrm flipV="1">
                            <a:off x="5771958" y="7032725"/>
                            <a:ext cx="0" cy="314128"/>
                          </a:xfrm>
                          <a:prstGeom prst="straightConnector1">
                            <a:avLst/>
                          </a:prstGeom>
                          <a:noFill/>
                          <a:ln w="9525">
                            <a:solidFill>
                              <a:srgbClr val="000000"/>
                            </a:solidFill>
                            <a:prstDash val="sysDash"/>
                            <a:round/>
                            <a:headEnd/>
                            <a:tailEnd type="triangle" w="med" len="med"/>
                          </a:ln>
                          <a:extLst>
                            <a:ext uri="{909E8E84-426E-40DD-AFC4-6F175D3DCCD1}">
                              <a14:hiddenFill xmlns:a14="http://schemas.microsoft.com/office/drawing/2010/main">
                                <a:noFill/>
                              </a14:hiddenFill>
                            </a:ext>
                          </a:extLst>
                        </wps:spPr>
                        <wps:bodyPr/>
                      </wps:wsp>
                      <wps:wsp>
                        <wps:cNvPr id="1744304736" name="Прямая соединительная линия 931"/>
                        <wps:cNvCnPr>
                          <a:cxnSpLocks noChangeShapeType="1"/>
                        </wps:cNvCnPr>
                        <wps:spPr bwMode="auto">
                          <a:xfrm flipH="1">
                            <a:off x="5771558" y="7261446"/>
                            <a:ext cx="180496" cy="0"/>
                          </a:xfrm>
                          <a:prstGeom prst="line">
                            <a:avLst/>
                          </a:prstGeom>
                          <a:noFill/>
                          <a:ln w="9525">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42962108" name="Прямая соединительная линия 932"/>
                        <wps:cNvCnPr>
                          <a:cxnSpLocks noChangeShapeType="1"/>
                        </wps:cNvCnPr>
                        <wps:spPr bwMode="auto">
                          <a:xfrm>
                            <a:off x="5954554" y="7261646"/>
                            <a:ext cx="0" cy="1124400"/>
                          </a:xfrm>
                          <a:prstGeom prst="line">
                            <a:avLst/>
                          </a:prstGeom>
                          <a:noFill/>
                          <a:ln w="9525">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1644465427" name="Прямоугольник 933"/>
                        <wps:cNvSpPr>
                          <a:spLocks noChangeArrowheads="1"/>
                        </wps:cNvSpPr>
                        <wps:spPr bwMode="auto">
                          <a:xfrm>
                            <a:off x="3889805" y="7342553"/>
                            <a:ext cx="2014551" cy="978487"/>
                          </a:xfrm>
                          <a:prstGeom prst="rect">
                            <a:avLst/>
                          </a:prstGeom>
                          <a:solidFill>
                            <a:srgbClr val="FFFFFF"/>
                          </a:solidFill>
                          <a:ln w="9525">
                            <a:solidFill>
                              <a:srgbClr val="000000"/>
                            </a:solidFill>
                            <a:miter lim="800000"/>
                            <a:headEnd/>
                            <a:tailEnd/>
                          </a:ln>
                        </wps:spPr>
                        <wps:txbx>
                          <w:txbxContent>
                            <w:p w14:paraId="74317104" w14:textId="77777777" w:rsidR="009515BC" w:rsidRDefault="009515BC" w:rsidP="009515BC">
                              <w:pPr>
                                <w:pStyle w:val="afd"/>
                                <w:ind w:left="-113" w:right="-113"/>
                                <w:jc w:val="center"/>
                              </w:pPr>
                              <w:r>
                                <w:rPr>
                                  <w:bCs/>
                                  <w:iCs/>
                                  <w:sz w:val="21"/>
                                  <w:szCs w:val="21"/>
                                </w:rPr>
                                <w:t>Комерційна, торгова діяльність банку та діяльність з управління активами та пасивами. Управління ризиками та капіталом банку</w:t>
                              </w:r>
                            </w:p>
                          </w:txbxContent>
                        </wps:txbx>
                        <wps:bodyPr rot="0" vert="horz" wrap="square" lIns="91440" tIns="45720" rIns="91440" bIns="45720" anchor="ctr" anchorCtr="0" upright="1">
                          <a:noAutofit/>
                        </wps:bodyPr>
                      </wps:wsp>
                      <wps:wsp>
                        <wps:cNvPr id="912631292" name="Прямая соединительная линия 934"/>
                        <wps:cNvCnPr>
                          <a:cxnSpLocks noChangeShapeType="1"/>
                        </wps:cNvCnPr>
                        <wps:spPr bwMode="auto">
                          <a:xfrm>
                            <a:off x="1117573" y="3817339"/>
                            <a:ext cx="449979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2133929503" name="Прямоугольник 935"/>
                        <wps:cNvSpPr>
                          <a:spLocks noChangeArrowheads="1"/>
                        </wps:cNvSpPr>
                        <wps:spPr bwMode="auto">
                          <a:xfrm>
                            <a:off x="1117473" y="3316395"/>
                            <a:ext cx="1241970" cy="500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C98FCE" w14:textId="77777777" w:rsidR="009515BC" w:rsidRPr="00320EA7" w:rsidRDefault="009515BC" w:rsidP="009515BC">
                              <w:pPr>
                                <w:pStyle w:val="afd"/>
                                <w:spacing w:before="0" w:beforeAutospacing="0" w:after="0" w:afterAutospacing="0"/>
                              </w:pPr>
                              <w:r w:rsidRPr="00320EA7">
                                <w:rPr>
                                  <w:b/>
                                  <w:bCs/>
                                  <w:i/>
                                  <w:iCs/>
                                </w:rPr>
                                <w:t>Стратегічного рівня</w:t>
                              </w:r>
                            </w:p>
                          </w:txbxContent>
                        </wps:txbx>
                        <wps:bodyPr rot="0" vert="horz" wrap="square" lIns="91440" tIns="45720" rIns="91440" bIns="45720" anchor="ctr" anchorCtr="0" upright="1">
                          <a:noAutofit/>
                        </wps:bodyPr>
                      </wps:wsp>
                      <wps:wsp>
                        <wps:cNvPr id="1770630199" name="Прямоугольник 936"/>
                        <wps:cNvSpPr>
                          <a:spLocks noChangeArrowheads="1"/>
                        </wps:cNvSpPr>
                        <wps:spPr bwMode="auto">
                          <a:xfrm>
                            <a:off x="1116973" y="3816339"/>
                            <a:ext cx="1210870" cy="7608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9E944B" w14:textId="77777777" w:rsidR="009515BC" w:rsidRPr="00320EA7" w:rsidRDefault="009515BC" w:rsidP="009515BC">
                              <w:pPr>
                                <w:pStyle w:val="afd"/>
                                <w:spacing w:before="0" w:beforeAutospacing="0" w:after="0" w:afterAutospacing="0"/>
                              </w:pPr>
                              <w:r>
                                <w:rPr>
                                  <w:b/>
                                  <w:bCs/>
                                  <w:i/>
                                  <w:iCs/>
                                </w:rPr>
                                <w:t>Тактичного рівня</w:t>
                              </w:r>
                            </w:p>
                          </w:txbxContent>
                        </wps:txbx>
                        <wps:bodyPr rot="0" vert="horz" wrap="square" lIns="91440" tIns="45720" rIns="91440" bIns="45720" anchor="ctr" anchorCtr="0" upright="1">
                          <a:noAutofit/>
                        </wps:bodyPr>
                      </wps:wsp>
                      <wps:wsp>
                        <wps:cNvPr id="32049040" name="Скругленный прямоугольник 939"/>
                        <wps:cNvSpPr>
                          <a:spLocks noChangeArrowheads="1"/>
                        </wps:cNvSpPr>
                        <wps:spPr bwMode="auto">
                          <a:xfrm>
                            <a:off x="4478490" y="3853243"/>
                            <a:ext cx="1060974" cy="723064"/>
                          </a:xfrm>
                          <a:prstGeom prst="roundRect">
                            <a:avLst>
                              <a:gd name="adj" fmla="val 11500"/>
                            </a:avLst>
                          </a:prstGeom>
                          <a:solidFill>
                            <a:srgbClr val="FFFFFF"/>
                          </a:solidFill>
                          <a:ln w="9525">
                            <a:solidFill>
                              <a:srgbClr val="000000"/>
                            </a:solidFill>
                            <a:prstDash val="lgDash"/>
                            <a:round/>
                            <a:headEnd/>
                            <a:tailEnd/>
                          </a:ln>
                        </wps:spPr>
                        <wps:txbx>
                          <w:txbxContent>
                            <w:p w14:paraId="30AC05DF" w14:textId="77777777" w:rsidR="009515BC" w:rsidRPr="00B265D2" w:rsidRDefault="009515BC" w:rsidP="009515BC">
                              <w:pPr>
                                <w:spacing w:after="0" w:line="240" w:lineRule="auto"/>
                                <w:ind w:left="-113" w:right="-113"/>
                                <w:jc w:val="center"/>
                                <w:rPr>
                                  <w:rFonts w:ascii="Times New Roman" w:hAnsi="Times New Roman" w:cs="Times New Roman"/>
                                  <w:i/>
                                  <w:color w:val="000000"/>
                                  <w:sz w:val="24"/>
                                  <w:szCs w:val="24"/>
                                  <w:lang w:val="uk-UA"/>
                                </w:rPr>
                              </w:pPr>
                              <w:r w:rsidRPr="00B265D2">
                                <w:rPr>
                                  <w:rFonts w:ascii="Times New Roman" w:hAnsi="Times New Roman" w:cs="Times New Roman"/>
                                  <w:i/>
                                  <w:color w:val="000000"/>
                                  <w:sz w:val="24"/>
                                  <w:szCs w:val="24"/>
                                  <w:lang w:val="uk-UA"/>
                                </w:rPr>
                                <w:t>Антикризовий  центр</w:t>
                              </w:r>
                            </w:p>
                          </w:txbxContent>
                        </wps:txbx>
                        <wps:bodyPr rot="0" vert="horz" wrap="square" lIns="91440" tIns="45720" rIns="91440" bIns="45720" anchor="ctr" anchorCtr="0" upright="1">
                          <a:noAutofit/>
                        </wps:bodyPr>
                      </wps:wsp>
                      <wps:wsp>
                        <wps:cNvPr id="1054489395" name="Прямая соединительная линия 940"/>
                        <wps:cNvCnPr>
                          <a:cxnSpLocks noChangeShapeType="1"/>
                        </wps:cNvCnPr>
                        <wps:spPr bwMode="auto">
                          <a:xfrm>
                            <a:off x="2327843" y="3266791"/>
                            <a:ext cx="0" cy="135122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1795322137" name="Прямоугольник 941"/>
                        <wps:cNvSpPr>
                          <a:spLocks noChangeArrowheads="1"/>
                        </wps:cNvSpPr>
                        <wps:spPr bwMode="auto">
                          <a:xfrm>
                            <a:off x="2390641" y="3316195"/>
                            <a:ext cx="3169422" cy="432038"/>
                          </a:xfrm>
                          <a:prstGeom prst="rect">
                            <a:avLst/>
                          </a:prstGeom>
                          <a:solidFill>
                            <a:srgbClr val="FFFFFF"/>
                          </a:solidFill>
                          <a:ln w="9525">
                            <a:solidFill>
                              <a:srgbClr val="000000"/>
                            </a:solidFill>
                            <a:miter lim="800000"/>
                            <a:headEnd/>
                            <a:tailEnd/>
                          </a:ln>
                        </wps:spPr>
                        <wps:txbx>
                          <w:txbxContent>
                            <w:p w14:paraId="526A02F8" w14:textId="77777777" w:rsidR="009515BC" w:rsidRPr="00F451A4" w:rsidRDefault="009515BC" w:rsidP="009515BC">
                              <w:pPr>
                                <w:pStyle w:val="afd"/>
                                <w:spacing w:before="0" w:beforeAutospacing="0" w:after="0" w:afterAutospacing="0" w:line="216" w:lineRule="auto"/>
                                <w:ind w:left="-142" w:right="-138"/>
                                <w:jc w:val="center"/>
                              </w:pPr>
                              <w:r>
                                <w:t>Власники банку. Рада, Правління банку та відповідні комітети</w:t>
                              </w:r>
                            </w:p>
                          </w:txbxContent>
                        </wps:txbx>
                        <wps:bodyPr rot="0" vert="horz" wrap="square" lIns="91440" tIns="45720" rIns="91440" bIns="45720" anchor="ctr" anchorCtr="0" upright="1">
                          <a:noAutofit/>
                        </wps:bodyPr>
                      </wps:wsp>
                      <wps:wsp>
                        <wps:cNvPr id="1471524664" name="Прямоугольник 943"/>
                        <wps:cNvSpPr>
                          <a:spLocks noChangeArrowheads="1"/>
                        </wps:cNvSpPr>
                        <wps:spPr bwMode="auto">
                          <a:xfrm>
                            <a:off x="2390641" y="3853543"/>
                            <a:ext cx="2031950" cy="722864"/>
                          </a:xfrm>
                          <a:prstGeom prst="rect">
                            <a:avLst/>
                          </a:prstGeom>
                          <a:solidFill>
                            <a:srgbClr val="FFFFFF"/>
                          </a:solidFill>
                          <a:ln w="9525">
                            <a:solidFill>
                              <a:srgbClr val="000000"/>
                            </a:solidFill>
                            <a:miter lim="800000"/>
                            <a:headEnd/>
                            <a:tailEnd/>
                          </a:ln>
                        </wps:spPr>
                        <wps:txbx>
                          <w:txbxContent>
                            <w:p w14:paraId="4800BE75" w14:textId="77777777" w:rsidR="009515BC" w:rsidRPr="00F451A4" w:rsidRDefault="009515BC" w:rsidP="009515BC">
                              <w:pPr>
                                <w:pStyle w:val="afd"/>
                                <w:spacing w:line="192" w:lineRule="auto"/>
                                <w:ind w:left="-142" w:right="-113"/>
                                <w:jc w:val="center"/>
                              </w:pPr>
                              <w:r>
                                <w:t>Фінансові менеджери, фінансові служби і відділи, аналітики, фахівці з ризик-менеджменту</w:t>
                              </w:r>
                            </w:p>
                          </w:txbxContent>
                        </wps:txbx>
                        <wps:bodyPr rot="0" vert="horz" wrap="square" lIns="91440" tIns="45720" rIns="91440" bIns="45720" anchor="ctr" anchorCtr="0" upright="1">
                          <a:noAutofit/>
                        </wps:bodyPr>
                      </wps:wsp>
                      <wps:wsp>
                        <wps:cNvPr id="567171075" name="Прямая со стрелкой 944"/>
                        <wps:cNvCnPr>
                          <a:cxnSpLocks noChangeShapeType="1"/>
                        </wps:cNvCnPr>
                        <wps:spPr bwMode="auto">
                          <a:xfrm flipH="1" flipV="1">
                            <a:off x="1108373" y="6272858"/>
                            <a:ext cx="102097" cy="3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0765775" name="Прямоугольник 945"/>
                        <wps:cNvSpPr>
                          <a:spLocks noChangeArrowheads="1"/>
                        </wps:cNvSpPr>
                        <wps:spPr bwMode="auto">
                          <a:xfrm>
                            <a:off x="1210470" y="5365577"/>
                            <a:ext cx="991476" cy="591653"/>
                          </a:xfrm>
                          <a:prstGeom prst="rect">
                            <a:avLst/>
                          </a:prstGeom>
                          <a:solidFill>
                            <a:srgbClr val="FFFFFF"/>
                          </a:solidFill>
                          <a:ln w="9525">
                            <a:solidFill>
                              <a:srgbClr val="000000"/>
                            </a:solidFill>
                            <a:miter lim="800000"/>
                            <a:headEnd/>
                            <a:tailEnd/>
                          </a:ln>
                        </wps:spPr>
                        <wps:txbx>
                          <w:txbxContent>
                            <w:p w14:paraId="5F976A97" w14:textId="77777777" w:rsidR="009515BC" w:rsidRPr="003C667E" w:rsidRDefault="009515BC" w:rsidP="009515BC">
                              <w:pPr>
                                <w:pStyle w:val="afd"/>
                                <w:spacing w:before="0" w:beforeAutospacing="0" w:after="0" w:afterAutospacing="0"/>
                                <w:ind w:left="-142" w:right="-156"/>
                                <w:jc w:val="center"/>
                              </w:pPr>
                              <w:r>
                                <w:t>Планування</w:t>
                              </w:r>
                            </w:p>
                          </w:txbxContent>
                        </wps:txbx>
                        <wps:bodyPr rot="0" vert="horz" wrap="square" lIns="91440" tIns="45720" rIns="91440" bIns="45720" anchor="ctr" anchorCtr="0" upright="1">
                          <a:noAutofit/>
                        </wps:bodyPr>
                      </wps:wsp>
                      <wps:wsp>
                        <wps:cNvPr id="1551776422" name="Прямая со стрелкой 946"/>
                        <wps:cNvCnPr>
                          <a:cxnSpLocks noChangeShapeType="1"/>
                          <a:stCxn id="860765775" idx="1"/>
                        </wps:cNvCnPr>
                        <wps:spPr bwMode="auto">
                          <a:xfrm flipH="1">
                            <a:off x="1114373" y="5661704"/>
                            <a:ext cx="9589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5846929" name="Прямоугольник 947"/>
                        <wps:cNvSpPr>
                          <a:spLocks noChangeArrowheads="1"/>
                        </wps:cNvSpPr>
                        <wps:spPr bwMode="auto">
                          <a:xfrm>
                            <a:off x="2299844" y="5337175"/>
                            <a:ext cx="3234521" cy="618755"/>
                          </a:xfrm>
                          <a:prstGeom prst="rect">
                            <a:avLst/>
                          </a:prstGeom>
                          <a:solidFill>
                            <a:srgbClr val="FFFFFF"/>
                          </a:solidFill>
                          <a:ln w="9525">
                            <a:solidFill>
                              <a:srgbClr val="000000"/>
                            </a:solidFill>
                            <a:miter lim="800000"/>
                            <a:headEnd/>
                            <a:tailEnd/>
                          </a:ln>
                        </wps:spPr>
                        <wps:txbx>
                          <w:txbxContent>
                            <w:p w14:paraId="4EE105C3" w14:textId="77777777" w:rsidR="009515BC" w:rsidRPr="00571B03" w:rsidRDefault="009515BC" w:rsidP="009515BC">
                              <w:pPr>
                                <w:pStyle w:val="afd"/>
                                <w:spacing w:before="0" w:beforeAutospacing="0" w:after="0" w:afterAutospacing="0" w:line="192" w:lineRule="auto"/>
                                <w:ind w:left="-57" w:right="-57"/>
                                <w:jc w:val="both"/>
                                <w:rPr>
                                  <w:i/>
                                  <w:sz w:val="22"/>
                                  <w:szCs w:val="22"/>
                                </w:rPr>
                              </w:pPr>
                              <w:r w:rsidRPr="00571B03">
                                <w:rPr>
                                  <w:i/>
                                  <w:sz w:val="22"/>
                                  <w:szCs w:val="22"/>
                                </w:rPr>
                                <w:t>Визначення цілей забезпечення ФСБ; формування стратегії щодо забезпечення ФСБ; її узгодження з загальною стратегією банка;</w:t>
                              </w:r>
                            </w:p>
                            <w:p w14:paraId="29A6DAB0" w14:textId="77777777" w:rsidR="009515BC" w:rsidRPr="00571B03" w:rsidRDefault="009515BC" w:rsidP="009515BC">
                              <w:pPr>
                                <w:pStyle w:val="afd"/>
                                <w:spacing w:before="0" w:beforeAutospacing="0" w:after="0" w:afterAutospacing="0" w:line="192" w:lineRule="auto"/>
                                <w:ind w:left="-57" w:right="-57"/>
                                <w:jc w:val="both"/>
                                <w:rPr>
                                  <w:sz w:val="22"/>
                                  <w:szCs w:val="22"/>
                                </w:rPr>
                              </w:pPr>
                              <w:r w:rsidRPr="00571B03">
                                <w:rPr>
                                  <w:i/>
                                  <w:sz w:val="22"/>
                                  <w:szCs w:val="22"/>
                                </w:rPr>
                                <w:t xml:space="preserve">конкретизація цілей та заходів щодо їх досягнення </w:t>
                              </w:r>
                            </w:p>
                          </w:txbxContent>
                        </wps:txbx>
                        <wps:bodyPr rot="0" vert="horz" wrap="square" lIns="91440" tIns="45720" rIns="91440" bIns="45720" anchor="ctr" anchorCtr="0" upright="1">
                          <a:noAutofit/>
                        </wps:bodyPr>
                      </wps:wsp>
                      <wps:wsp>
                        <wps:cNvPr id="1800428981" name="Прямая со стрелкой 948"/>
                        <wps:cNvCnPr>
                          <a:cxnSpLocks noChangeShapeType="1"/>
                          <a:stCxn id="1168143402" idx="2"/>
                          <a:endCxn id="860765775" idx="0"/>
                        </wps:cNvCnPr>
                        <wps:spPr bwMode="auto">
                          <a:xfrm>
                            <a:off x="1706158" y="5289270"/>
                            <a:ext cx="100" cy="7630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70599309" name="Прямая со стрелкой 949"/>
                        <wps:cNvCnPr>
                          <a:cxnSpLocks noChangeShapeType="1"/>
                          <a:stCxn id="860765775" idx="2"/>
                          <a:endCxn id="143177743" idx="0"/>
                        </wps:cNvCnPr>
                        <wps:spPr bwMode="auto">
                          <a:xfrm>
                            <a:off x="1706258" y="5957230"/>
                            <a:ext cx="0" cy="8120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2823055" name="Прямая со стрелкой 950"/>
                        <wps:cNvCnPr>
                          <a:cxnSpLocks noChangeShapeType="1"/>
                        </wps:cNvCnPr>
                        <wps:spPr bwMode="auto">
                          <a:xfrm flipH="1">
                            <a:off x="1114273" y="5042448"/>
                            <a:ext cx="9619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1086563" name="Прямая со стрелкой 951"/>
                        <wps:cNvCnPr>
                          <a:cxnSpLocks noChangeShapeType="1"/>
                        </wps:cNvCnPr>
                        <wps:spPr bwMode="auto">
                          <a:xfrm>
                            <a:off x="2186746" y="5626000"/>
                            <a:ext cx="11709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76073363" name="Прямая со стрелкой 952"/>
                        <wps:cNvCnPr>
                          <a:cxnSpLocks noChangeShapeType="1"/>
                        </wps:cNvCnPr>
                        <wps:spPr bwMode="auto">
                          <a:xfrm>
                            <a:off x="2201946" y="6276058"/>
                            <a:ext cx="11699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94076161" name="Выноска со стрелкой вниз 955"/>
                        <wps:cNvSpPr>
                          <a:spLocks noChangeArrowheads="1"/>
                        </wps:cNvSpPr>
                        <wps:spPr bwMode="auto">
                          <a:xfrm>
                            <a:off x="10100" y="29303"/>
                            <a:ext cx="5930155" cy="595853"/>
                          </a:xfrm>
                          <a:prstGeom prst="downArrowCallout">
                            <a:avLst>
                              <a:gd name="adj1" fmla="val 24976"/>
                              <a:gd name="adj2" fmla="val 25805"/>
                              <a:gd name="adj3" fmla="val 25000"/>
                              <a:gd name="adj4" fmla="val 64977"/>
                            </a:avLst>
                          </a:prstGeom>
                          <a:solidFill>
                            <a:srgbClr val="FFFFFF"/>
                          </a:solidFill>
                          <a:ln w="12700">
                            <a:solidFill>
                              <a:srgbClr val="000000"/>
                            </a:solidFill>
                            <a:miter lim="800000"/>
                            <a:headEnd/>
                            <a:tailEnd/>
                          </a:ln>
                        </wps:spPr>
                        <wps:txbx>
                          <w:txbxContent>
                            <w:p w14:paraId="01206B68" w14:textId="77777777" w:rsidR="009515BC" w:rsidRPr="00137E66" w:rsidRDefault="009515BC" w:rsidP="009515BC">
                              <w:pPr>
                                <w:spacing w:after="0" w:line="192" w:lineRule="auto"/>
                                <w:ind w:left="-113" w:right="-113"/>
                                <w:jc w:val="center"/>
                                <w:rPr>
                                  <w:rFonts w:ascii="Times New Roman" w:hAnsi="Times New Roman" w:cs="Times New Roman"/>
                                  <w:sz w:val="24"/>
                                  <w:szCs w:val="24"/>
                                </w:rPr>
                              </w:pPr>
                              <w:r w:rsidRPr="00B265D2">
                                <w:rPr>
                                  <w:rFonts w:ascii="Times New Roman" w:eastAsia="Times New Roman" w:hAnsi="Times New Roman" w:cs="Times New Roman"/>
                                  <w:color w:val="000000"/>
                                  <w:sz w:val="24"/>
                                  <w:szCs w:val="24"/>
                                  <w:lang w:val="uk-UA" w:eastAsia="uk-UA"/>
                                </w:rPr>
                                <w:t>Мета: забезпечення оптимального рівня ФСБ з позиції цілей діяльності банку на ринку та виконання регуляторних вимог</w:t>
                              </w:r>
                            </w:p>
                          </w:txbxContent>
                        </wps:txbx>
                        <wps:bodyPr rot="0" vert="horz" wrap="square" lIns="91440" tIns="45720" rIns="91440" bIns="45720" anchor="ctr" anchorCtr="0" upright="1">
                          <a:noAutofit/>
                        </wps:bodyPr>
                      </wps:wsp>
                      <wps:wsp>
                        <wps:cNvPr id="1653136331" name="Прямоугольник 2078525136"/>
                        <wps:cNvSpPr>
                          <a:spLocks noChangeArrowheads="1"/>
                        </wps:cNvSpPr>
                        <wps:spPr bwMode="auto">
                          <a:xfrm>
                            <a:off x="3221121" y="7777092"/>
                            <a:ext cx="573986" cy="467442"/>
                          </a:xfrm>
                          <a:prstGeom prst="rect">
                            <a:avLst/>
                          </a:prstGeom>
                          <a:solidFill>
                            <a:srgbClr val="FFFFFF"/>
                          </a:solidFill>
                          <a:ln w="9525">
                            <a:solidFill>
                              <a:srgbClr val="000000"/>
                            </a:solidFill>
                            <a:miter lim="800000"/>
                            <a:headEnd/>
                            <a:tailEnd/>
                          </a:ln>
                        </wps:spPr>
                        <wps:txbx>
                          <w:txbxContent>
                            <w:p w14:paraId="53C5239C" w14:textId="77777777" w:rsidR="009515BC" w:rsidRPr="00687B53" w:rsidRDefault="009515BC" w:rsidP="009515BC">
                              <w:pPr>
                                <w:pStyle w:val="afd"/>
                                <w:spacing w:before="0" w:beforeAutospacing="0" w:after="0" w:afterAutospacing="0"/>
                                <w:ind w:left="-113" w:right="-113"/>
                                <w:jc w:val="center"/>
                              </w:pPr>
                              <w:r>
                                <w:rPr>
                                  <w:bCs/>
                                  <w:iCs/>
                                </w:rPr>
                                <w:t>Ризики</w:t>
                              </w:r>
                            </w:p>
                          </w:txbxContent>
                        </wps:txbx>
                        <wps:bodyPr rot="0" vert="horz" wrap="square" lIns="91440" tIns="45720" rIns="91440" bIns="45720" anchor="ctr" anchorCtr="0" upright="1">
                          <a:noAutofit/>
                        </wps:bodyPr>
                      </wps:wsp>
                      <wps:wsp>
                        <wps:cNvPr id="1880130911" name="Прямая соединительная линия 1980876705"/>
                        <wps:cNvCnPr>
                          <a:cxnSpLocks noChangeShapeType="1"/>
                          <a:stCxn id="1704842815" idx="3"/>
                        </wps:cNvCnPr>
                        <wps:spPr bwMode="auto">
                          <a:xfrm>
                            <a:off x="3093024" y="8011212"/>
                            <a:ext cx="128297" cy="3200"/>
                          </a:xfrm>
                          <a:prstGeom prst="line">
                            <a:avLst/>
                          </a:prstGeom>
                          <a:noFill/>
                          <a:ln w="9525">
                            <a:solidFill>
                              <a:srgbClr val="000000"/>
                            </a:solidFill>
                            <a:prstDash val="sysDash"/>
                            <a:round/>
                            <a:headEnd type="diamond" w="med" len="med"/>
                            <a:tailEnd type="diamond" w="med" len="med"/>
                          </a:ln>
                          <a:extLst>
                            <a:ext uri="{909E8E84-426E-40DD-AFC4-6F175D3DCCD1}">
                              <a14:hiddenFill xmlns:a14="http://schemas.microsoft.com/office/drawing/2010/main">
                                <a:noFill/>
                              </a14:hiddenFill>
                            </a:ext>
                          </a:extLst>
                        </wps:spPr>
                        <wps:bodyPr/>
                      </wps:wsp>
                      <wps:wsp>
                        <wps:cNvPr id="332717865" name="Прямая соединительная линия 381621729"/>
                        <wps:cNvCnPr>
                          <a:cxnSpLocks noChangeShapeType="1"/>
                        </wps:cNvCnPr>
                        <wps:spPr bwMode="auto">
                          <a:xfrm flipV="1">
                            <a:off x="3152723" y="7724587"/>
                            <a:ext cx="0" cy="289026"/>
                          </a:xfrm>
                          <a:prstGeom prst="line">
                            <a:avLst/>
                          </a:prstGeom>
                          <a:noFill/>
                          <a:ln w="9525">
                            <a:solidFill>
                              <a:srgbClr val="000000"/>
                            </a:solidFill>
                            <a:prstDash val="sysDash"/>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93933998" name="Picture 159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55799" y="7338153"/>
                            <a:ext cx="590586" cy="98108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90037157" name="Picture 159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55799" y="5059750"/>
                            <a:ext cx="590586" cy="210498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83829746" name="Picture 159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5799" y="3167382"/>
                            <a:ext cx="590586" cy="176215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15840721" name="Picture 159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819080" y="3250589"/>
                            <a:ext cx="295293" cy="391544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81581867" name="Picture 159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5617162" y="3250589"/>
                            <a:ext cx="295293" cy="3763035"/>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1D01666" id="Полотно 1" o:spid="_x0000_s1176" editas="canvas" style="width:481.5pt;height:655.2pt;mso-position-horizontal-relative:char;mso-position-vertical-relative:line" coordsize="61150,832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77" type="#_x0000_t75" style="position:absolute;width:61150;height:83210;visibility:visible;mso-wrap-style:square">
                  <v:fill o:detectmouseclick="t"/>
                  <v:path o:connecttype="none"/>
                </v:shape>
                <v:rect id="Прямоугольник 886" o:spid="_x0000_s1178" style="position:absolute;left:7294;top:50026;width:52596;height:225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" strokeweight="2pt">
                  <v:stroke dashstyle="3 1"/>
                </v:rect>
                <v:rect id="Прямоугольник 888" o:spid="_x0000_s1179" style="position:absolute;left:7294;top:50139;width:52597;height:22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" strokeweight="2pt">
                  <v:stroke dashstyle="3 1"/>
                </v:rect>
                <v:rect id="Прямоугольник 889" o:spid="_x0000_s1180" style="position:absolute;left:7189;top:46658;width:52596;height:25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" strokeweight="2pt">
                  <v:stroke dashstyle="3 1"/>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890" o:spid="_x0000_s1181" type="#_x0000_t67" style="position:absolute;left:24904;top:27673;width:11403;height:11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" adj="10800"/>
                <v:roundrect id="Скругленный прямоугольник 891" o:spid="_x0000_s1182" style="position:absolute;top:4412;width:60538;height:23260;visibility:visible;mso-wrap-style:square;v-text-anchor:middle" arcsize="2582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" fillcolor="#f2f2f2" strokeweight="2pt">
                  <v:stroke dashstyle="1 1"/>
                </v:roundrect>
                <v:rect id="Прямоугольник 894" o:spid="_x0000_s1183" style="position:absolute;left:904;top:24655;width:33020;height:27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">
                  <v:textbox>
                    <w:txbxContent>
                      <w:p w14:paraId="6BACBD0A" w14:textId="77777777" w:rsidR="009515BC" w:rsidRPr="008F5239" w:rsidRDefault="009515BC" w:rsidP="009515BC">
                        <w:pPr>
                          <w:pStyle w:val="afd"/>
                          <w:spacing w:before="0" w:beforeAutospacing="0" w:after="0" w:afterAutospacing="0"/>
                          <w:ind w:left="-142" w:right="-169"/>
                          <w:jc w:val="center"/>
                          <w:rPr>
                            <w:b/>
                            <w:i/>
                          </w:rPr>
                        </w:pPr>
                        <w:r w:rsidRPr="008F5239">
                          <w:rPr>
                            <w:b/>
                            <w:i/>
                          </w:rPr>
                          <w:t>Елементи забезпечення</w:t>
                        </w:r>
                        <w:r>
                          <w:rPr>
                            <w:b/>
                            <w:i/>
                          </w:rPr>
                          <w:t xml:space="preserve"> </w:t>
                        </w:r>
                      </w:p>
                    </w:txbxContent>
                  </v:textbox>
                </v:rect>
                <v:rect id="Прямоугольник 895" o:spid="_x0000_s1184" style="position:absolute;left:34560;top:5187;width:25329;height:22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">
                  <v:textbox>
                    <w:txbxContent>
                      <w:p w14:paraId="5CDD0817" w14:textId="77777777" w:rsidR="009515BC" w:rsidRPr="00BF2E8A" w:rsidRDefault="009515BC" w:rsidP="009515BC">
                        <w:pPr>
                          <w:pStyle w:val="afd"/>
                          <w:spacing w:before="0" w:beforeAutospacing="0" w:after="0" w:afterAutospacing="0"/>
                          <w:ind w:firstLine="232"/>
                          <w:jc w:val="center"/>
                          <w:rPr>
                            <w:b/>
                            <w:sz w:val="22"/>
                            <w:szCs w:val="22"/>
                          </w:rPr>
                        </w:pPr>
                        <w:r w:rsidRPr="00BF2E8A">
                          <w:rPr>
                            <w:b/>
                            <w:sz w:val="22"/>
                            <w:szCs w:val="22"/>
                          </w:rPr>
                          <w:t xml:space="preserve">Принципи </w:t>
                        </w:r>
                      </w:p>
                      <w:p w14:paraId="268C4415" w14:textId="77777777" w:rsidR="009515BC" w:rsidRPr="00BF2E8A" w:rsidRDefault="009515BC" w:rsidP="009515BC">
                        <w:pPr>
                          <w:pStyle w:val="afd"/>
                          <w:spacing w:before="0" w:beforeAutospacing="0" w:after="0" w:afterAutospacing="0"/>
                          <w:jc w:val="both"/>
                          <w:rPr>
                            <w:sz w:val="22"/>
                            <w:szCs w:val="22"/>
                          </w:rPr>
                        </w:pPr>
                        <w:r w:rsidRPr="00BF2E8A">
                          <w:rPr>
                            <w:sz w:val="22"/>
                            <w:szCs w:val="22"/>
                          </w:rPr>
                          <w:t xml:space="preserve">системної логіки → цілісність, внутрішня узгодженість, структурність, розвиток, лабільність, </w:t>
                        </w:r>
                        <w:proofErr w:type="spellStart"/>
                        <w:r w:rsidRPr="00BF2E8A">
                          <w:rPr>
                            <w:sz w:val="22"/>
                            <w:szCs w:val="22"/>
                          </w:rPr>
                          <w:t>ітеративність</w:t>
                        </w:r>
                        <w:proofErr w:type="spellEnd"/>
                        <w:r w:rsidRPr="00BF2E8A">
                          <w:rPr>
                            <w:sz w:val="22"/>
                            <w:szCs w:val="22"/>
                          </w:rPr>
                          <w:t xml:space="preserve">, варіативність; </w:t>
                        </w:r>
                      </w:p>
                      <w:p w14:paraId="6E1C986B" w14:textId="77777777" w:rsidR="009515BC" w:rsidRPr="00BF2E8A" w:rsidRDefault="009515BC" w:rsidP="009515BC">
                        <w:pPr>
                          <w:pStyle w:val="afd"/>
                          <w:spacing w:before="0" w:beforeAutospacing="0" w:after="0" w:afterAutospacing="0"/>
                          <w:jc w:val="both"/>
                          <w:rPr>
                            <w:sz w:val="22"/>
                            <w:szCs w:val="22"/>
                          </w:rPr>
                        </w:pPr>
                        <w:r>
                          <w:rPr>
                            <w:sz w:val="22"/>
                            <w:szCs w:val="22"/>
                          </w:rPr>
                          <w:t>адаптивного</w:t>
                        </w:r>
                        <w:r w:rsidRPr="00BF2E8A">
                          <w:rPr>
                            <w:sz w:val="22"/>
                            <w:szCs w:val="22"/>
                          </w:rPr>
                          <w:t xml:space="preserve"> управління → гнучкість, безперервність, дуальний зв'язок, саморегулювання, відкритість); </w:t>
                        </w:r>
                      </w:p>
                      <w:p w14:paraId="5A1022F3" w14:textId="77777777" w:rsidR="009515BC" w:rsidRPr="00BF2E8A" w:rsidRDefault="009515BC" w:rsidP="009515BC">
                        <w:pPr>
                          <w:pStyle w:val="afd"/>
                          <w:spacing w:before="0" w:beforeAutospacing="0" w:after="0" w:afterAutospacing="0"/>
                          <w:jc w:val="both"/>
                          <w:rPr>
                            <w:sz w:val="22"/>
                            <w:szCs w:val="22"/>
                          </w:rPr>
                        </w:pPr>
                        <w:r w:rsidRPr="00BF2E8A">
                          <w:rPr>
                            <w:sz w:val="22"/>
                            <w:szCs w:val="22"/>
                          </w:rPr>
                          <w:t>специфічні → необхідна різноманітність, узгодженість, збалансованість, ринкова кон’юнктура, ефективність та розвиток)</w:t>
                        </w:r>
                      </w:p>
                    </w:txbxContent>
                  </v:textbox>
                </v:rect>
                <v:rect id="Прямоугольник 896" o:spid="_x0000_s1185" style="position:absolute;left:555;top:5187;width:33372;height:190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">
                  <v:textbox>
                    <w:txbxContent>
                      <w:p w14:paraId="3819BBA4" w14:textId="77777777" w:rsidR="009515BC" w:rsidRPr="00B265D2" w:rsidRDefault="009515BC" w:rsidP="009515BC">
                        <w:pPr>
                          <w:pStyle w:val="afd"/>
                          <w:spacing w:before="0" w:beforeAutospacing="0" w:after="0" w:afterAutospacing="0"/>
                          <w:ind w:left="-57" w:right="-113"/>
                          <w:jc w:val="both"/>
                          <w:rPr>
                            <w:color w:val="000000"/>
                            <w:sz w:val="22"/>
                            <w:szCs w:val="22"/>
                          </w:rPr>
                        </w:pPr>
                        <w:r w:rsidRPr="00B265D2">
                          <w:rPr>
                            <w:b/>
                            <w:bCs/>
                            <w:i/>
                            <w:iCs/>
                            <w:color w:val="000000"/>
                            <w:sz w:val="22"/>
                            <w:szCs w:val="22"/>
                          </w:rPr>
                          <w:t>Завдання – фінансова рівновага</w:t>
                        </w:r>
                        <w:r w:rsidRPr="00B265D2">
                          <w:rPr>
                            <w:color w:val="000000"/>
                            <w:sz w:val="22"/>
                            <w:szCs w:val="22"/>
                          </w:rPr>
                          <w:t xml:space="preserve">: </w:t>
                        </w:r>
                        <w:r w:rsidRPr="00B265D2">
                          <w:rPr>
                            <w:color w:val="000000"/>
                            <w:sz w:val="22"/>
                            <w:szCs w:val="22"/>
                          </w:rPr>
                          <w:br/>
                          <w:t xml:space="preserve">збалансованість активів і пасивів (забезпечення достатності капіталу, оптимізація ризиків, максимізація ефективності); </w:t>
                        </w:r>
                      </w:p>
                      <w:p w14:paraId="4E40439E" w14:textId="77777777" w:rsidR="009515BC" w:rsidRPr="00B265D2" w:rsidRDefault="009515BC" w:rsidP="009515BC">
                        <w:pPr>
                          <w:pStyle w:val="afd"/>
                          <w:spacing w:before="0" w:beforeAutospacing="0" w:after="0" w:afterAutospacing="0"/>
                          <w:ind w:left="-57" w:right="-113"/>
                          <w:jc w:val="both"/>
                          <w:rPr>
                            <w:color w:val="000000"/>
                            <w:sz w:val="22"/>
                            <w:szCs w:val="22"/>
                          </w:rPr>
                        </w:pPr>
                        <w:r w:rsidRPr="00B265D2">
                          <w:rPr>
                            <w:color w:val="000000"/>
                            <w:sz w:val="22"/>
                            <w:szCs w:val="22"/>
                          </w:rPr>
                          <w:t>збалансованість доходів і витрат (забезпечення рентабельності);</w:t>
                        </w:r>
                      </w:p>
                      <w:p w14:paraId="126ED15A" w14:textId="77777777" w:rsidR="009515BC" w:rsidRPr="00B265D2" w:rsidRDefault="009515BC" w:rsidP="009515BC">
                        <w:pPr>
                          <w:pStyle w:val="afd"/>
                          <w:spacing w:before="0" w:beforeAutospacing="0" w:after="0" w:afterAutospacing="0"/>
                          <w:ind w:left="-57" w:right="-113"/>
                          <w:jc w:val="both"/>
                          <w:rPr>
                            <w:color w:val="000000"/>
                            <w:sz w:val="22"/>
                            <w:szCs w:val="22"/>
                          </w:rPr>
                        </w:pPr>
                        <w:r w:rsidRPr="00B265D2">
                          <w:rPr>
                            <w:color w:val="000000"/>
                            <w:sz w:val="22"/>
                            <w:szCs w:val="22"/>
                          </w:rPr>
                          <w:t>збалансованість грошових потоків (забезпечення платоспроможності та ліквідності);</w:t>
                        </w:r>
                      </w:p>
                      <w:p w14:paraId="40623214" w14:textId="77777777" w:rsidR="009515BC" w:rsidRPr="00B265D2" w:rsidRDefault="009515BC" w:rsidP="009515BC">
                        <w:pPr>
                          <w:pStyle w:val="afd"/>
                          <w:spacing w:before="0" w:beforeAutospacing="0" w:after="0" w:afterAutospacing="0"/>
                          <w:ind w:left="-57" w:right="-113"/>
                          <w:jc w:val="both"/>
                          <w:rPr>
                            <w:color w:val="000000"/>
                            <w:sz w:val="22"/>
                            <w:szCs w:val="22"/>
                          </w:rPr>
                        </w:pPr>
                        <w:r w:rsidRPr="00B265D2">
                          <w:rPr>
                            <w:color w:val="000000"/>
                            <w:sz w:val="22"/>
                            <w:szCs w:val="22"/>
                          </w:rPr>
                          <w:t>збалансованість співвідношення між ризиками та очікуваними доходами та капіталом, враховуючи внутрішні та зовнішні фактори</w:t>
                        </w:r>
                      </w:p>
                    </w:txbxContent>
                  </v:textbox>
                </v:rect>
                <v:line id="Прямая соединительная линия 898" o:spid="_x0000_s1186" style="position:absolute;visibility:visible;mso-wrap-style:square" from="5597,30417" to="56356,30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" strokeweight="1.5pt"/>
                <v:rect id="Прямоугольник 899" o:spid="_x0000_s1187" style="position:absolute;left:20;top:27817;width:6113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" filled="f" stroked="f">
                  <v:textbox>
                    <w:txbxContent>
                      <w:p w14:paraId="1227EE94" w14:textId="77777777" w:rsidR="009515BC" w:rsidRPr="005C04E9" w:rsidRDefault="009515BC" w:rsidP="009515BC">
                        <w:pPr>
                          <w:pStyle w:val="afd"/>
                          <w:spacing w:before="0" w:beforeAutospacing="0" w:after="0" w:afterAutospacing="0"/>
                          <w:jc w:val="center"/>
                        </w:pPr>
                        <w:r>
                          <w:rPr>
                            <w:b/>
                            <w:bCs/>
                            <w:iCs/>
                          </w:rPr>
                          <w:t>Забезпечення фінансової стійкості банку</w:t>
                        </w:r>
                      </w:p>
                    </w:txbxContent>
                  </v:textbox>
                </v:rect>
                <v:rect id="Прямоугольник 902" o:spid="_x0000_s1188" style="position:absolute;left:7357;top:31713;width:52596;height:144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" strokeweight="2pt">
                  <v:stroke dashstyle="3 1"/>
                </v:rect>
                <v:rect id="Прямоугольник 905" o:spid="_x0000_s1189" style="position:absolute;left:7124;top:72988;width:31223;height:10205;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" strokeweight="2pt">
                  <v:stroke dashstyle="3 1"/>
                  <v:textbox>
                    <w:txbxContent>
                      <w:p w14:paraId="20F857EB" w14:textId="77777777" w:rsidR="009515BC" w:rsidRDefault="009515BC" w:rsidP="009515BC">
                        <w:pPr>
                          <w:rPr>
                            <w:rFonts w:eastAsia="Times New Roman"/>
                          </w:rPr>
                        </w:pPr>
                      </w:p>
                    </w:txbxContent>
                  </v:textbox>
                </v:rect>
                <v:shapetype id="_x0000_t32" coordsize="21600,21600" o:spt="32" o:oned="t" path="m,l21600,21600e" filled="f">
                  <v:path arrowok="t" fillok="f" o:connecttype="none"/>
                  <o:lock v:ext="edit" shapetype="t"/>
                </v:shapetype>
                <v:shape id="Прямая со стрелкой 908" o:spid="_x0000_s1190" type="#_x0000_t32" style="position:absolute;left:37951;top:78299;width:181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">
                  <v:stroke endarrow="block"/>
                </v:shape>
                <v:rect id="Прямоугольник 909" o:spid="_x0000_s1191" style="position:absolute;left:8486;top:77782;width:9007;height:4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">
                  <v:textbox>
                    <w:txbxContent>
                      <w:p w14:paraId="72519607" w14:textId="77777777" w:rsidR="009515BC" w:rsidRPr="00687B53" w:rsidRDefault="009515BC" w:rsidP="009515BC">
                        <w:pPr>
                          <w:pStyle w:val="afd"/>
                          <w:spacing w:before="0" w:beforeAutospacing="0" w:after="0" w:afterAutospacing="0"/>
                          <w:ind w:left="-113" w:right="-113"/>
                          <w:jc w:val="center"/>
                        </w:pPr>
                        <w:r>
                          <w:rPr>
                            <w:bCs/>
                            <w:iCs/>
                          </w:rPr>
                          <w:t>Фінансові результати</w:t>
                        </w:r>
                      </w:p>
                    </w:txbxContent>
                  </v:textbox>
                </v:rect>
                <v:rect id="Прямоугольник 910" o:spid="_x0000_s1192" style="position:absolute;left:19568;top:77776;width:11361;height:4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">
                  <v:textbox>
                    <w:txbxContent>
                      <w:p w14:paraId="3EF58B92" w14:textId="77777777" w:rsidR="009515BC" w:rsidRPr="00687B53" w:rsidRDefault="009515BC" w:rsidP="009515BC">
                        <w:pPr>
                          <w:pStyle w:val="afd"/>
                          <w:spacing w:before="0" w:beforeAutospacing="0" w:after="0" w:afterAutospacing="0"/>
                          <w:ind w:left="-113" w:right="-113"/>
                          <w:jc w:val="center"/>
                        </w:pPr>
                        <w:r>
                          <w:t>Грошові потоки. Ліквідність</w:t>
                        </w:r>
                      </w:p>
                    </w:txbxContent>
                  </v:textbox>
                </v:rect>
                <v:shape id="Прямая со стрелкой 913" o:spid="_x0000_s1193" type="#_x0000_t32" style="position:absolute;left:3523;top:49296;width:0;height:12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">
                  <v:stroke endarrow="block"/>
                </v:shape>
                <v:shape id="Прямая со стрелкой 914" o:spid="_x0000_s1194" type="#_x0000_t32" style="position:absolute;left:3522;top:71661;width:0;height:17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">
                  <v:stroke endarrow="block"/>
                </v:shape>
                <v:rect id="Прямоугольник 915" o:spid="_x0000_s1195" style="position:absolute;left:8489;top:74396;width:29540;height:27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">
                  <v:stroke dashstyle="3 1"/>
                  <v:textbox>
                    <w:txbxContent>
                      <w:p w14:paraId="6CF831C9" w14:textId="77777777" w:rsidR="009515BC" w:rsidRPr="00F23108" w:rsidRDefault="009515BC" w:rsidP="009515BC">
                        <w:pPr>
                          <w:pStyle w:val="afd"/>
                          <w:spacing w:before="0" w:beforeAutospacing="0" w:after="0" w:afterAutospacing="0"/>
                          <w:ind w:left="-142" w:right="-225"/>
                          <w:jc w:val="center"/>
                        </w:pPr>
                        <w:r w:rsidRPr="00F23108">
                          <w:t>Активи та пасиви</w:t>
                        </w:r>
                        <w:r>
                          <w:t>. Капітал.</w:t>
                        </w:r>
                      </w:p>
                    </w:txbxContent>
                  </v:textbox>
                </v:rect>
                <v:line id="Прямая соединительная линия 916" o:spid="_x0000_s1196" style="position:absolute;flip:y;visibility:visible;mso-wrap-style:square" from="17493,80112" to="19570,80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">
                  <v:stroke dashstyle="3 1" startarrow="diamond" endarrow="diamond"/>
                </v:line>
                <v:line id="Прямая соединительная линия 918" o:spid="_x0000_s1197" style="position:absolute;flip:y;visibility:visible;mso-wrap-style:square" from="18557,77186" to="18557,80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">
                  <v:stroke dashstyle="3 1"/>
                </v:line>
                <v:shape id="Прямая со стрелкой 919" o:spid="_x0000_s1198" type="#_x0000_t32" style="position:absolute;left:9618;top:70327;width:0;height:40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">
                  <v:stroke dashstyle="3 1" endarrow="block"/>
                </v:shape>
                <v:rect id="Прямоугольник 920" o:spid="_x0000_s1199" style="position:absolute;left:11323;top:46929;width:45030;height:223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" fillcolor="#7f7f7f">
                  <v:fill r:id="rId66" o:title="" type="pattern"/>
                  <v:textbox>
                    <w:txbxContent>
                      <w:p w14:paraId="089ACC62" w14:textId="77777777" w:rsidR="009515BC" w:rsidRDefault="009515BC" w:rsidP="009515BC">
                        <w:pPr>
                          <w:pStyle w:val="afd"/>
                          <w:spacing w:before="0" w:beforeAutospacing="0" w:after="0" w:afterAutospacing="0"/>
                          <w:ind w:firstLine="230"/>
                          <w:jc w:val="center"/>
                        </w:pPr>
                      </w:p>
                    </w:txbxContent>
                  </v:textbox>
                </v:rect>
                <v:rect id="Прямоугольник 921" o:spid="_x0000_s1200" style="position:absolute;left:12104;top:47324;width:9915;height:55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">
                  <v:textbox>
                    <w:txbxContent>
                      <w:p w14:paraId="359F6F7E" w14:textId="77777777" w:rsidR="009515BC" w:rsidRPr="003C667E" w:rsidRDefault="009515BC" w:rsidP="009515BC">
                        <w:pPr>
                          <w:pStyle w:val="afd"/>
                          <w:spacing w:before="0" w:beforeAutospacing="0" w:after="0" w:afterAutospacing="0"/>
                          <w:ind w:left="-170" w:right="-170"/>
                          <w:jc w:val="center"/>
                        </w:pPr>
                        <w:r>
                          <w:t xml:space="preserve">Аналіз </w:t>
                        </w:r>
                      </w:p>
                    </w:txbxContent>
                  </v:textbox>
                </v:rect>
                <v:rect id="Прямоугольник 922" o:spid="_x0000_s1201" style="position:absolute;left:12104;top:60384;width:9915;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">
                  <v:textbox>
                    <w:txbxContent>
                      <w:p w14:paraId="40850ED6" w14:textId="77777777" w:rsidR="009515BC" w:rsidRPr="00E61B4B" w:rsidRDefault="009515BC" w:rsidP="009515BC">
                        <w:pPr>
                          <w:pStyle w:val="afd"/>
                          <w:spacing w:before="0" w:beforeAutospacing="0" w:after="0" w:afterAutospacing="0"/>
                          <w:jc w:val="center"/>
                        </w:pPr>
                        <w:r>
                          <w:t>Контроль</w:t>
                        </w:r>
                      </w:p>
                    </w:txbxContent>
                  </v:textbox>
                </v:rect>
                <v:rect id="Прямоугольник 923" o:spid="_x0000_s1202" style="position:absolute;left:12156;top:69661;width:43282;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">
                  <v:textbox>
                    <w:txbxContent>
                      <w:p w14:paraId="4B970E52" w14:textId="77777777" w:rsidR="009515BC" w:rsidRPr="007544E1" w:rsidRDefault="009515BC" w:rsidP="009515BC">
                        <w:pPr>
                          <w:pStyle w:val="afd"/>
                          <w:spacing w:before="0" w:beforeAutospacing="0" w:after="0" w:afterAutospacing="0"/>
                        </w:pPr>
                        <w:r>
                          <w:t>Р</w:t>
                        </w:r>
                        <w:r w:rsidRPr="007544E1">
                          <w:t xml:space="preserve">егулювання </w:t>
                        </w:r>
                        <w:r>
                          <w:t>(коригування реалізації стратегії)</w:t>
                        </w:r>
                      </w:p>
                    </w:txbxContent>
                  </v:textbox>
                </v:rect>
                <v:rect id="Прямоугольник 924" o:spid="_x0000_s1203" style="position:absolute;left:22998;top:47333;width:32399;height:55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">
                  <v:textbox>
                    <w:txbxContent>
                      <w:p w14:paraId="7D0D2CD0" w14:textId="77777777" w:rsidR="009515BC" w:rsidRPr="00571B03" w:rsidRDefault="009515BC" w:rsidP="009515BC">
                        <w:pPr>
                          <w:pStyle w:val="afd"/>
                          <w:spacing w:before="0" w:beforeAutospacing="0" w:after="0" w:afterAutospacing="0" w:line="192" w:lineRule="auto"/>
                          <w:ind w:right="-90"/>
                          <w:jc w:val="both"/>
                          <w:rPr>
                            <w:i/>
                            <w:sz w:val="22"/>
                            <w:szCs w:val="22"/>
                          </w:rPr>
                        </w:pPr>
                        <w:r w:rsidRPr="00571B03">
                          <w:rPr>
                            <w:i/>
                            <w:sz w:val="22"/>
                            <w:szCs w:val="22"/>
                          </w:rPr>
                          <w:t>Ретроспективний</w:t>
                        </w:r>
                        <w:r>
                          <w:rPr>
                            <w:i/>
                            <w:sz w:val="22"/>
                            <w:szCs w:val="22"/>
                          </w:rPr>
                          <w:t>, статичний</w:t>
                        </w:r>
                        <w:r w:rsidRPr="00571B03">
                          <w:rPr>
                            <w:i/>
                            <w:sz w:val="22"/>
                            <w:szCs w:val="22"/>
                          </w:rPr>
                          <w:t xml:space="preserve"> аналіз стану об’єктів ФСБ</w:t>
                        </w:r>
                        <w:r>
                          <w:rPr>
                            <w:i/>
                            <w:sz w:val="22"/>
                            <w:szCs w:val="22"/>
                          </w:rPr>
                          <w:t xml:space="preserve"> </w:t>
                        </w:r>
                        <w:r w:rsidRPr="00571B03">
                          <w:rPr>
                            <w:i/>
                            <w:sz w:val="22"/>
                            <w:szCs w:val="22"/>
                          </w:rPr>
                          <w:t>у розрізі зовнішніх та внутрішніх факторів</w:t>
                        </w:r>
                        <w:r>
                          <w:rPr>
                            <w:i/>
                            <w:sz w:val="22"/>
                            <w:szCs w:val="22"/>
                          </w:rPr>
                          <w:t xml:space="preserve">; </w:t>
                        </w:r>
                        <w:r w:rsidRPr="00571B03">
                          <w:rPr>
                            <w:i/>
                            <w:sz w:val="22"/>
                            <w:szCs w:val="22"/>
                          </w:rPr>
                          <w:t>прогнозування</w:t>
                        </w:r>
                        <w:r>
                          <w:rPr>
                            <w:i/>
                            <w:sz w:val="22"/>
                            <w:szCs w:val="22"/>
                          </w:rPr>
                          <w:t xml:space="preserve"> динамічної компоненти</w:t>
                        </w:r>
                      </w:p>
                    </w:txbxContent>
                  </v:textbox>
                </v:rect>
                <v:rect id="Прямоугольник 925" o:spid="_x0000_s1204" style="position:absolute;left:23038;top:59865;width:32356;height:91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">
                  <v:textbox>
                    <w:txbxContent>
                      <w:p w14:paraId="7D7D1D45" w14:textId="77777777" w:rsidR="009515BC" w:rsidRPr="00571B03" w:rsidRDefault="009515BC" w:rsidP="009515BC">
                        <w:pPr>
                          <w:pStyle w:val="afd"/>
                          <w:spacing w:before="0" w:beforeAutospacing="0" w:after="0" w:afterAutospacing="0" w:line="192" w:lineRule="auto"/>
                          <w:jc w:val="both"/>
                          <w:rPr>
                            <w:i/>
                            <w:sz w:val="22"/>
                            <w:szCs w:val="22"/>
                          </w:rPr>
                        </w:pPr>
                        <w:r w:rsidRPr="00571B03">
                          <w:rPr>
                            <w:i/>
                            <w:sz w:val="22"/>
                            <w:szCs w:val="22"/>
                          </w:rPr>
                          <w:t>• моніторинг зовнішнього середовища та внутрішніх факторів ФСБ</w:t>
                        </w:r>
                        <w:r>
                          <w:rPr>
                            <w:i/>
                            <w:sz w:val="22"/>
                            <w:szCs w:val="22"/>
                          </w:rPr>
                          <w:t>;</w:t>
                        </w:r>
                      </w:p>
                      <w:p w14:paraId="43D8EE0E" w14:textId="77777777" w:rsidR="009515BC" w:rsidRPr="00571B03" w:rsidRDefault="009515BC" w:rsidP="009515BC">
                        <w:pPr>
                          <w:pStyle w:val="afd"/>
                          <w:spacing w:before="0" w:beforeAutospacing="0" w:after="0" w:afterAutospacing="0" w:line="192" w:lineRule="auto"/>
                          <w:jc w:val="both"/>
                          <w:rPr>
                            <w:i/>
                            <w:sz w:val="22"/>
                            <w:szCs w:val="22"/>
                          </w:rPr>
                        </w:pPr>
                        <w:r w:rsidRPr="00571B03">
                          <w:rPr>
                            <w:i/>
                            <w:sz w:val="22"/>
                            <w:szCs w:val="22"/>
                          </w:rPr>
                          <w:t xml:space="preserve">• контроль результатів (параметри ФСБ) та контроль за виконанням завдань і досягненням мети діяльності </w:t>
                        </w:r>
                        <w:r>
                          <w:rPr>
                            <w:i/>
                            <w:sz w:val="22"/>
                            <w:szCs w:val="22"/>
                          </w:rPr>
                          <w:t xml:space="preserve">банку </w:t>
                        </w:r>
                        <w:r w:rsidRPr="00571B03">
                          <w:rPr>
                            <w:i/>
                            <w:sz w:val="22"/>
                            <w:szCs w:val="22"/>
                          </w:rPr>
                          <w:t>(забезпечення оптимального рівня ФСБ)</w:t>
                        </w:r>
                      </w:p>
                    </w:txbxContent>
                  </v:textbox>
                </v:rect>
                <v:shape id="Прямая со стрелкой 926" o:spid="_x0000_s1205" type="#_x0000_t32" style="position:absolute;left:17061;top:65047;width:1;height:46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">
                  <v:stroke endarrow="block"/>
                </v:shape>
                <v:shape id="Прямая со стрелкой 927" o:spid="_x0000_s1206" type="#_x0000_t32" style="position:absolute;left:11175;top:71138;width:98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">
                  <v:stroke endarrow="block"/>
                </v:shape>
                <v:shape id="Прямая со стрелкой 928" o:spid="_x0000_s1207" type="#_x0000_t32" style="position:absolute;left:22020;top:50114;width:978;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">
                  <v:stroke endarrow="block"/>
                </v:shape>
                <v:shape id="Прямая со стрелкой 930" o:spid="_x0000_s1208" type="#_x0000_t32" style="position:absolute;left:57719;top:70327;width:0;height:31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">
                  <v:stroke dashstyle="3 1" endarrow="block"/>
                </v:shape>
                <v:line id="Прямая соединительная линия 931" o:spid="_x0000_s1209" style="position:absolute;flip:x;visibility:visible;mso-wrap-style:square" from="57715,72614" to="59520,726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">
                  <v:stroke dashstyle="3 1"/>
                </v:line>
                <v:line id="Прямая соединительная линия 932" o:spid="_x0000_s1210" style="position:absolute;visibility:visible;mso-wrap-style:square" from="59545,72616" to="59545,83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">
                  <v:stroke dashstyle="3 1"/>
                </v:line>
                <v:rect id="Прямоугольник 933" o:spid="_x0000_s1211" style="position:absolute;left:38898;top:73425;width:20145;height:97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">
                  <v:textbox>
                    <w:txbxContent>
                      <w:p w14:paraId="74317104" w14:textId="77777777" w:rsidR="009515BC" w:rsidRDefault="009515BC" w:rsidP="009515BC">
                        <w:pPr>
                          <w:pStyle w:val="afd"/>
                          <w:ind w:left="-113" w:right="-113"/>
                          <w:jc w:val="center"/>
                        </w:pPr>
                        <w:r>
                          <w:rPr>
                            <w:bCs/>
                            <w:iCs/>
                            <w:sz w:val="21"/>
                            <w:szCs w:val="21"/>
                          </w:rPr>
                          <w:t>Комерційна, торгова діяльність банку та діяльність з управління активами та пасивами. Управління ризиками та капіталом банку</w:t>
                        </w:r>
                      </w:p>
                    </w:txbxContent>
                  </v:textbox>
                </v:rect>
                <v:line id="Прямая соединительная линия 934" o:spid="_x0000_s1212" style="position:absolute;visibility:visible;mso-wrap-style:square" from="11175,38173" to="56173,38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">
                  <v:stroke dashstyle="longDash"/>
                </v:line>
                <v:rect id="Прямоугольник 935" o:spid="_x0000_s1213" style="position:absolute;left:11174;top:33163;width:12420;height:50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" filled="f" stroked="f">
                  <v:textbox>
                    <w:txbxContent>
                      <w:p w14:paraId="27C98FCE" w14:textId="77777777" w:rsidR="009515BC" w:rsidRPr="00320EA7" w:rsidRDefault="009515BC" w:rsidP="009515BC">
                        <w:pPr>
                          <w:pStyle w:val="afd"/>
                          <w:spacing w:before="0" w:beforeAutospacing="0" w:after="0" w:afterAutospacing="0"/>
                        </w:pPr>
                        <w:r w:rsidRPr="00320EA7">
                          <w:rPr>
                            <w:b/>
                            <w:bCs/>
                            <w:i/>
                            <w:iCs/>
                          </w:rPr>
                          <w:t>Стратегічного рівня</w:t>
                        </w:r>
                      </w:p>
                    </w:txbxContent>
                  </v:textbox>
                </v:rect>
                <v:rect id="Прямоугольник 936" o:spid="_x0000_s1214" style="position:absolute;left:11169;top:38163;width:12109;height:7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" filled="f" stroked="f">
                  <v:textbox>
                    <w:txbxContent>
                      <w:p w14:paraId="7A9E944B" w14:textId="77777777" w:rsidR="009515BC" w:rsidRPr="00320EA7" w:rsidRDefault="009515BC" w:rsidP="009515BC">
                        <w:pPr>
                          <w:pStyle w:val="afd"/>
                          <w:spacing w:before="0" w:beforeAutospacing="0" w:after="0" w:afterAutospacing="0"/>
                        </w:pPr>
                        <w:r>
                          <w:rPr>
                            <w:b/>
                            <w:bCs/>
                            <w:i/>
                            <w:iCs/>
                          </w:rPr>
                          <w:t>Тактичного рівня</w:t>
                        </w:r>
                      </w:p>
                    </w:txbxContent>
                  </v:textbox>
                </v:rect>
                <v:roundrect id="Скругленный прямоугольник 939" o:spid="_x0000_s1215" style="position:absolute;left:44784;top:38532;width:10610;height:7231;visibility:visible;mso-wrap-style:square;v-text-anchor:middle" arcsize="7537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">
                  <v:stroke dashstyle="longDash"/>
                  <v:textbox>
                    <w:txbxContent>
                      <w:p w14:paraId="30AC05DF" w14:textId="77777777" w:rsidR="009515BC" w:rsidRPr="00B265D2" w:rsidRDefault="009515BC" w:rsidP="009515BC">
                        <w:pPr>
                          <w:spacing w:after="0" w:line="240" w:lineRule="auto"/>
                          <w:ind w:left="-113" w:right="-113"/>
                          <w:jc w:val="center"/>
                          <w:rPr>
                            <w:rFonts w:ascii="Times New Roman" w:hAnsi="Times New Roman" w:cs="Times New Roman"/>
                            <w:i/>
                            <w:color w:val="000000"/>
                            <w:sz w:val="24"/>
                            <w:szCs w:val="24"/>
                            <w:lang w:val="uk-UA"/>
                          </w:rPr>
                        </w:pPr>
                        <w:r w:rsidRPr="00B265D2">
                          <w:rPr>
                            <w:rFonts w:ascii="Times New Roman" w:hAnsi="Times New Roman" w:cs="Times New Roman"/>
                            <w:i/>
                            <w:color w:val="000000"/>
                            <w:sz w:val="24"/>
                            <w:szCs w:val="24"/>
                            <w:lang w:val="uk-UA"/>
                          </w:rPr>
                          <w:t>Антикризовий  центр</w:t>
                        </w:r>
                      </w:p>
                    </w:txbxContent>
                  </v:textbox>
                </v:roundrect>
                <v:line id="Прямая соединительная линия 940" o:spid="_x0000_s1216" style="position:absolute;visibility:visible;mso-wrap-style:square" from="23278,32667" to="23278,461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">
                  <v:stroke dashstyle="longDash"/>
                </v:line>
                <v:rect id="Прямоугольник 941" o:spid="_x0000_s1217" style="position:absolute;left:23906;top:33161;width:31694;height:4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">
                  <v:textbox>
                    <w:txbxContent>
                      <w:p w14:paraId="526A02F8" w14:textId="77777777" w:rsidR="009515BC" w:rsidRPr="00F451A4" w:rsidRDefault="009515BC" w:rsidP="009515BC">
                        <w:pPr>
                          <w:pStyle w:val="afd"/>
                          <w:spacing w:before="0" w:beforeAutospacing="0" w:after="0" w:afterAutospacing="0" w:line="216" w:lineRule="auto"/>
                          <w:ind w:left="-142" w:right="-138"/>
                          <w:jc w:val="center"/>
                        </w:pPr>
                        <w:r>
                          <w:t>Власники банку. Рада, Правління банку та відповідні комітети</w:t>
                        </w:r>
                      </w:p>
                    </w:txbxContent>
                  </v:textbox>
                </v:rect>
                <v:rect id="Прямоугольник 943" o:spid="_x0000_s1218" style="position:absolute;left:23906;top:38535;width:20319;height:72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">
                  <v:textbox>
                    <w:txbxContent>
                      <w:p w14:paraId="4800BE75" w14:textId="77777777" w:rsidR="009515BC" w:rsidRPr="00F451A4" w:rsidRDefault="009515BC" w:rsidP="009515BC">
                        <w:pPr>
                          <w:pStyle w:val="afd"/>
                          <w:spacing w:line="192" w:lineRule="auto"/>
                          <w:ind w:left="-142" w:right="-113"/>
                          <w:jc w:val="center"/>
                        </w:pPr>
                        <w:r>
                          <w:t>Фінансові менеджери, фінансові служби і відділи, аналітики, фахівці з ризик-менеджменту</w:t>
                        </w:r>
                      </w:p>
                    </w:txbxContent>
                  </v:textbox>
                </v:rect>
                <v:shape id="Прямая со стрелкой 944" o:spid="_x0000_s1219" type="#_x0000_t32" style="position:absolute;left:11083;top:62728;width:1021;height:3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">
                  <v:stroke endarrow="block"/>
                </v:shape>
                <v:rect id="Прямоугольник 945" o:spid="_x0000_s1220" style="position:absolute;left:12104;top:53655;width:9915;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">
                  <v:textbox>
                    <w:txbxContent>
                      <w:p w14:paraId="5F976A97" w14:textId="77777777" w:rsidR="009515BC" w:rsidRPr="003C667E" w:rsidRDefault="009515BC" w:rsidP="009515BC">
                        <w:pPr>
                          <w:pStyle w:val="afd"/>
                          <w:spacing w:before="0" w:beforeAutospacing="0" w:after="0" w:afterAutospacing="0"/>
                          <w:ind w:left="-142" w:right="-156"/>
                          <w:jc w:val="center"/>
                        </w:pPr>
                        <w:r>
                          <w:t>Планування</w:t>
                        </w:r>
                      </w:p>
                    </w:txbxContent>
                  </v:textbox>
                </v:rect>
                <v:shape id="Прямая со стрелкой 946" o:spid="_x0000_s1221" type="#_x0000_t32" style="position:absolute;left:11143;top:56617;width:9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">
                  <v:stroke endarrow="block"/>
                </v:shape>
                <v:rect id="Прямоугольник 947" o:spid="_x0000_s1222" style="position:absolute;left:22998;top:53371;width:32345;height:6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">
                  <v:textbox>
                    <w:txbxContent>
                      <w:p w14:paraId="4EE105C3" w14:textId="77777777" w:rsidR="009515BC" w:rsidRPr="00571B03" w:rsidRDefault="009515BC" w:rsidP="009515BC">
                        <w:pPr>
                          <w:pStyle w:val="afd"/>
                          <w:spacing w:before="0" w:beforeAutospacing="0" w:after="0" w:afterAutospacing="0" w:line="192" w:lineRule="auto"/>
                          <w:ind w:left="-57" w:right="-57"/>
                          <w:jc w:val="both"/>
                          <w:rPr>
                            <w:i/>
                            <w:sz w:val="22"/>
                            <w:szCs w:val="22"/>
                          </w:rPr>
                        </w:pPr>
                        <w:r w:rsidRPr="00571B03">
                          <w:rPr>
                            <w:i/>
                            <w:sz w:val="22"/>
                            <w:szCs w:val="22"/>
                          </w:rPr>
                          <w:t>Визначення цілей забезпечення ФСБ; формування стратегії щодо забезпечення ФСБ; її узгодження з загальною стратегією банка;</w:t>
                        </w:r>
                      </w:p>
                      <w:p w14:paraId="29A6DAB0" w14:textId="77777777" w:rsidR="009515BC" w:rsidRPr="00571B03" w:rsidRDefault="009515BC" w:rsidP="009515BC">
                        <w:pPr>
                          <w:pStyle w:val="afd"/>
                          <w:spacing w:before="0" w:beforeAutospacing="0" w:after="0" w:afterAutospacing="0" w:line="192" w:lineRule="auto"/>
                          <w:ind w:left="-57" w:right="-57"/>
                          <w:jc w:val="both"/>
                          <w:rPr>
                            <w:sz w:val="22"/>
                            <w:szCs w:val="22"/>
                          </w:rPr>
                        </w:pPr>
                        <w:r w:rsidRPr="00571B03">
                          <w:rPr>
                            <w:i/>
                            <w:sz w:val="22"/>
                            <w:szCs w:val="22"/>
                          </w:rPr>
                          <w:t xml:space="preserve">конкретизація цілей та заходів щодо їх досягнення </w:t>
                        </w:r>
                      </w:p>
                    </w:txbxContent>
                  </v:textbox>
                </v:rect>
                <v:shape id="Прямая со стрелкой 948" o:spid="_x0000_s1223" type="#_x0000_t32" style="position:absolute;left:17061;top:52892;width:1;height:7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">
                  <v:stroke endarrow="block"/>
                </v:shape>
                <v:shape id="Прямая со стрелкой 949" o:spid="_x0000_s1224" type="#_x0000_t32" style="position:absolute;left:17062;top:59572;width:0;height:8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">
                  <v:stroke endarrow="block"/>
                </v:shape>
                <v:shape id="Прямая со стрелкой 950" o:spid="_x0000_s1225" type="#_x0000_t32" style="position:absolute;left:11142;top:50424;width:96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">
                  <v:stroke endarrow="block"/>
                </v:shape>
                <v:shape id="Прямая со стрелкой 951" o:spid="_x0000_s1226" type="#_x0000_t32" style="position:absolute;left:21867;top:56260;width:117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">
                  <v:stroke endarrow="block"/>
                </v:shape>
                <v:shape id="Прямая со стрелкой 952" o:spid="_x0000_s1227" type="#_x0000_t32" style="position:absolute;left:22019;top:62760;width:11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">
                  <v:stroke endarrow="block"/>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955" o:spid="_x0000_s1228" type="#_x0000_t80" style="position:absolute;left:101;top:293;width:59301;height:59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" adj="14035,10240,16200,10529" strokeweight="1pt">
                  <v:textbox>
                    <w:txbxContent>
                      <w:p w14:paraId="01206B68" w14:textId="77777777" w:rsidR="009515BC" w:rsidRPr="00137E66" w:rsidRDefault="009515BC" w:rsidP="009515BC">
                        <w:pPr>
                          <w:spacing w:after="0" w:line="192" w:lineRule="auto"/>
                          <w:ind w:left="-113" w:right="-113"/>
                          <w:jc w:val="center"/>
                          <w:rPr>
                            <w:rFonts w:ascii="Times New Roman" w:hAnsi="Times New Roman" w:cs="Times New Roman"/>
                            <w:sz w:val="24"/>
                            <w:szCs w:val="24"/>
                          </w:rPr>
                        </w:pPr>
                        <w:r w:rsidRPr="00B265D2">
                          <w:rPr>
                            <w:rFonts w:ascii="Times New Roman" w:eastAsia="Times New Roman" w:hAnsi="Times New Roman" w:cs="Times New Roman"/>
                            <w:color w:val="000000"/>
                            <w:sz w:val="24"/>
                            <w:szCs w:val="24"/>
                            <w:lang w:val="uk-UA" w:eastAsia="uk-UA"/>
                          </w:rPr>
                          <w:t>Мета: забезпечення оптимального рівня ФСБ з позиції цілей діяльності банку на ринку та виконання регуляторних вимог</w:t>
                        </w:r>
                      </w:p>
                    </w:txbxContent>
                  </v:textbox>
                </v:shape>
                <v:rect id="Прямоугольник 2078525136" o:spid="_x0000_s1229" style="position:absolute;left:32211;top:77770;width:5740;height:4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">
                  <v:textbox>
                    <w:txbxContent>
                      <w:p w14:paraId="53C5239C" w14:textId="77777777" w:rsidR="009515BC" w:rsidRPr="00687B53" w:rsidRDefault="009515BC" w:rsidP="009515BC">
                        <w:pPr>
                          <w:pStyle w:val="afd"/>
                          <w:spacing w:before="0" w:beforeAutospacing="0" w:after="0" w:afterAutospacing="0"/>
                          <w:ind w:left="-113" w:right="-113"/>
                          <w:jc w:val="center"/>
                        </w:pPr>
                        <w:r>
                          <w:rPr>
                            <w:bCs/>
                            <w:iCs/>
                          </w:rPr>
                          <w:t>Ризики</w:t>
                        </w:r>
                      </w:p>
                    </w:txbxContent>
                  </v:textbox>
                </v:rect>
                <v:line id="Прямая соединительная линия 1980876705" o:spid="_x0000_s1230" style="position:absolute;visibility:visible;mso-wrap-style:square" from="30930,80112" to="32213,80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">
                  <v:stroke dashstyle="3 1" startarrow="diamond" endarrow="diamond"/>
                </v:line>
                <v:line id="Прямая соединительная линия 381621729" o:spid="_x0000_s1231" style="position:absolute;flip:y;visibility:visible;mso-wrap-style:square" from="31527,77245" to="31527,80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">
                  <v:stroke dashstyle="3 1"/>
                </v:line>
                <v:shape id="Picture 1592" o:spid="_x0000_s1232" type="#_x0000_t75" style="position:absolute;left:557;top:73381;width:5906;height:9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">
                  <v:imagedata r:id="rId67" o:title=""/>
                </v:shape>
                <v:shape id="Picture 1593" o:spid="_x0000_s1233" type="#_x0000_t75" style="position:absolute;left:557;top:50597;width:5906;height:210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">
                  <v:imagedata r:id="rId68" o:title=""/>
                </v:shape>
                <v:shape id="Picture 1594" o:spid="_x0000_s1234" type="#_x0000_t75" style="position:absolute;left:557;top:31673;width:5906;height:176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">
                  <v:imagedata r:id="rId69" o:title=""/>
                </v:shape>
                <v:shape id="Picture 1595" o:spid="_x0000_s1235" type="#_x0000_t75" style="position:absolute;left:8190;top:32505;width:2953;height:39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">
                  <v:imagedata r:id="rId70" o:title=""/>
                </v:shape>
                <v:shape id="Picture 1596" o:spid="_x0000_s1236" type="#_x0000_t75" style="position:absolute;left:56171;top:32505;width:2953;height:37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">
                  <v:imagedata r:id="rId71" o:title=""/>
                </v:shape>
                <w10:anchorlock/>
              </v:group>
            </w:pict>
          </mc:Fallback>
        </mc:AlternateContent>
      </w:r>
    </w:p>
    <w:p w14:paraId="0DE83F55" w14:textId="77777777" w:rsidR="009515BC" w:rsidRPr="00F00EB0" w:rsidRDefault="009515BC" w:rsidP="009515BC">
      <w:pPr>
        <w:spacing w:after="0" w:line="360" w:lineRule="auto"/>
        <w:jc w:val="center"/>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Рисунок 1.6 – Механізм забезпечення ФСБ [узагальнено на основі 18, 44, 46-48, 65]</w:t>
      </w:r>
    </w:p>
    <w:p w14:paraId="21D26B42"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У межах дослідження ми використовуємо підхід О. Л. Фещенко та О. О. Сініцин, які визначили, що «…основними суб’єктами механізму є: внутрішні) управлінський персонал банку (керівництво, апарат управління, персонал банку), який через різноманітні форми управлінського впливу здійснює цілеспрямоване функціонування об’єкта; відповідальна особа або група осіб, які мають право приймати рішення та несуть відповідальність за ефективність процесу управління; зовнішні) НБУ та інші державні органи» [65].</w:t>
      </w:r>
    </w:p>
    <w:p w14:paraId="2069927A"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Функціональна складова є сукупністю тих функцій, що мають бути виконані суб’єктами ФСБ для її забезпечення. У більшості наукових праць до їх складу включають планування, аналіз, регулювання та контроль. У праці О. Л. Фещенко та О. О. Сініцин цей перелік доповнюється такими функціями, як «… прогнозування показників фінансової стійкості (враховуючи вплив зовнішніх і внутрішніх факторів), управління ризиками, антикризове управління [65]. В. Ю. Біляєва структурує цю складову наступним чином «… інструменти управління … (бюджетування, бенчмаркінг, фінансовий контролінг, збалансована система показників, фінансовий інжиніринг); функції управління … (планування, аналіз, оцінка, регулювання, контроль); методи управління фінансовою стійкістю (економічні, адміністративні)» [7].</w:t>
      </w:r>
    </w:p>
    <w:p w14:paraId="0D252173"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У межах цієї роботи функціональну складову механізму забезпечення ФСБ визначаємо як сукупність методів та інструментів, що забезпечують ефективну реалізацію функцій планування, аналізу, регулювання та контролю.  </w:t>
      </w:r>
    </w:p>
    <w:p w14:paraId="6480E50F"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Ми погоджуємось з твердженням О. В. Дзюблюка та Р. В. Михайлюк, що планування в механізмі ФСБ передбачає «… необхідність постановки цілей, визначення тактики і стратегії досягнення основної мети (забезпечення фінансової стійкості банку). … планування …слід спрямовувати… на перетворення стратегічної мети у конкретні (абсолютні та відносні) значення фінансових показників через використання відповідних інструментів» [18]. Адаптивний підхід при цьому передбачає розробку та впровадження механізмів та процесів планування, що сприяють швидкому реагуванню на зміни. Це зокрема передбачає розробку альтернативних сценаріїв та стратегій забезпечення ФСБ.</w:t>
      </w:r>
    </w:p>
    <w:p w14:paraId="3FE057B3"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Особливу роль в системі планування в механізмі забезпечення ФСБ займає інструментарій забезпечення відновлення та безперервності діяльності.</w:t>
      </w:r>
    </w:p>
    <w:p w14:paraId="1C915368"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Так, Заруцька О. П., Новікова Л. Ф. [21] наголошують на тому, що «… значної уваги заслуговує прийнята НБУ у 2019 році Постанова «Про затвердження Положення про плани відновлення діяльності банків України та банківських груп», завдяки якій банки мали можливість здійснити апробацію заходів з відновлення діяльності задовго до реальних зовнішніх шоків». Вони наголошують на важливості регулярної перевірки та оновлення планів відновлення діяльності, оскільки це допоможе забезпечити ефективність діяльності банків та відповідність сучасним тенденціям розвитку банківської системи країни, які відбуваються в складних умовах реалізації зовнішніх шоків, що пов’язані із військовою агресією Російської Федерації на території України, та як наслідок падінням ВВП, відпливом робочої сили та капіталів за кордон, а також розривом економічних зв’язків [21].</w:t>
      </w:r>
    </w:p>
    <w:p w14:paraId="0E398D68"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НБУ встановив вимоги щодо запровадження планів відновлення діяльності банків України та банківських груп (постанова правління НБУ від 18.07.2019 № 95) [51] та надав Методичні рекомендації щодо планування в банках України заходів на випадок виникнення непередбачених обставин (постанова правління НБУ від 08.09.2008 № 271) [45].</w:t>
      </w:r>
    </w:p>
    <w:p w14:paraId="50F29357"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Цільовий таргетований для банку рівень ФСБ, визначений за результатами планування, досягається шляхом реалізації послідовних етапів, які включають збір, обробку та аналіз інформації про впливи факторів на ФСБ, визначення зміну їх складу або інтенсивності з використанням інструментарію аналізу (додаток Г), що дозволяє оцінювати поточний, перспективний та динамічний рівень ФСБ, та розробляти на сформованій аналітичній базі обґрунтовані управлінські та регуляторні рішення. </w:t>
      </w:r>
    </w:p>
    <w:p w14:paraId="050B522B"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Узагальнивши розробки з цієї тематики, ми запропонували розглядати аналітичну складову механізму забезпечення ФСБ так, як це представлено на рисунку 1.7.</w:t>
      </w:r>
    </w:p>
    <w:p w14:paraId="1E5BDBC5"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sectPr w:rsidR="009515BC" w:rsidRPr="00F00EB0" w:rsidSect="009655F9">
          <w:headerReference w:type="default" r:id="rId72"/>
          <w:footerReference w:type="default" r:id="rId73"/>
          <w:endnotePr>
            <w:numFmt w:val="decimal"/>
          </w:endnotePr>
          <w:pgSz w:w="11906" w:h="16838"/>
          <w:pgMar w:top="1134" w:right="567" w:bottom="1134" w:left="1418" w:header="709" w:footer="709" w:gutter="0"/>
          <w:cols w:space="708"/>
          <w:docGrid w:linePitch="360"/>
        </w:sectPr>
      </w:pPr>
    </w:p>
    <w:bookmarkStart w:id="11" w:name="_MON_1595839941"/>
    <w:bookmarkEnd w:id="11"/>
    <w:p w14:paraId="450AC51F" w14:textId="77777777" w:rsidR="009515BC" w:rsidRPr="00F00EB0" w:rsidRDefault="009515BC" w:rsidP="009515BC">
      <w:pPr>
        <w:spacing w:after="0" w:line="360" w:lineRule="auto"/>
        <w:jc w:val="center"/>
        <w:rPr>
          <w:rFonts w:ascii="Times New Roman" w:eastAsia="Times New Roman" w:hAnsi="Times New Roman" w:cs="Times New Roman"/>
          <w:color w:val="000000" w:themeColor="text1"/>
          <w:sz w:val="28"/>
          <w:szCs w:val="28"/>
          <w:lang w:val="uk-UA" w:eastAsia="ru-RU"/>
        </w:rPr>
      </w:pPr>
      <w:r w:rsidRPr="00F00EB0">
        <w:rPr>
          <w:rFonts w:ascii="Times New Roman" w:hAnsi="Times New Roman" w:cs="Times New Roman"/>
          <w:color w:val="000000" w:themeColor="text1"/>
          <w:sz w:val="28"/>
          <w:szCs w:val="28"/>
          <w:lang w:val="uk-UA"/>
        </w:rPr>
        <w:object w:dxaOrig="14570" w:dyaOrig="7875" w14:anchorId="2F1FA2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6.75pt;height:396.75pt" o:ole="">
            <v:imagedata r:id="rId74" o:title=""/>
          </v:shape>
          <o:OLEObject Type="Embed" ProgID="Word.Document.12" ShapeID="_x0000_i1025" DrawAspect="Content" ObjectID="_1748678297" r:id="rId75">
            <o:FieldCodes>\s</o:FieldCodes>
          </o:OLEObject>
        </w:object>
      </w:r>
      <w:r w:rsidRPr="00F00EB0">
        <w:rPr>
          <w:rFonts w:ascii="Times New Roman" w:hAnsi="Times New Roman" w:cs="Times New Roman"/>
          <w:color w:val="000000" w:themeColor="text1"/>
          <w:sz w:val="28"/>
          <w:szCs w:val="28"/>
          <w:lang w:val="uk-UA"/>
        </w:rPr>
        <w:t xml:space="preserve">Рисунок 1.7 – Роль аналітичної складової в механізмі забезпечення ФСБ: зв'язок з іншими функціями </w:t>
      </w:r>
      <w:r w:rsidRPr="00F00EB0">
        <w:rPr>
          <w:rFonts w:ascii="Times New Roman" w:eastAsia="Times New Roman" w:hAnsi="Times New Roman" w:cs="Times New Roman"/>
          <w:color w:val="000000" w:themeColor="text1"/>
          <w:sz w:val="28"/>
          <w:szCs w:val="28"/>
          <w:lang w:val="uk-UA" w:eastAsia="ru-RU"/>
        </w:rPr>
        <w:t>[розроблено автором на основі 23, 61, 65]</w:t>
      </w:r>
    </w:p>
    <w:p w14:paraId="493904B6"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sectPr w:rsidR="009515BC" w:rsidRPr="00F00EB0" w:rsidSect="004D60A5">
          <w:headerReference w:type="default" r:id="rId76"/>
          <w:footerReference w:type="default" r:id="rId77"/>
          <w:endnotePr>
            <w:numFmt w:val="decimal"/>
          </w:endnotePr>
          <w:pgSz w:w="16838" w:h="11906" w:orient="landscape"/>
          <w:pgMar w:top="1134" w:right="567" w:bottom="567" w:left="1418" w:header="709" w:footer="709" w:gutter="0"/>
          <w:cols w:space="708"/>
          <w:docGrid w:linePitch="360"/>
        </w:sectPr>
      </w:pPr>
    </w:p>
    <w:p w14:paraId="2B769AC7"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Основу аналітичної складової становить коефіцієнтний метод, представлений у додатку Д.</w:t>
      </w:r>
    </w:p>
    <w:p w14:paraId="001C83E9"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Ефективне забезпечення ФСБ на основі постулатів адаптивного підходу базується на постійному моніторингу та аналізі змін, що відбуваються в операційному середовищі, а також у самому банку. Це дозволяє вчасно виявляти нові ризики, тренди та можливості, що можуть вплинути на динамічну ФСБ.</w:t>
      </w:r>
    </w:p>
    <w:p w14:paraId="60FD3D49"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Цільовий / нормативний, фактичний та прогнозований рівень ФСБ, визначені за допомогою аналізу, порівнюються в системі моніторингу та контролю для виявлення можливих ризиків та проблем. Задля забезпечення ФСБ необхідно забезпечити відповідність фактичного та прогнозованого рівня нормативним вимогам та цілям банку.</w:t>
      </w:r>
    </w:p>
    <w:p w14:paraId="6E2509D6"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На основі результатів аналізу, моніторингу та контролю формуються заходи щодо регулювання її рівня, що мають бути узгоджені з рівнями ФСБ.</w:t>
      </w:r>
    </w:p>
    <w:p w14:paraId="1DF749AF"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Превентивні заходи спрямовані на запобігання загрози втрати ФСБ, коли її рівень є нормальним, кризові загрози не ідентифіковані. Банк продовжує діяльність у звичайному режимі, прогнозує рівень ФСБ, відстежує зміни в економічному середовищі, ринкові тренди та регуляторні вимоги та на постійній основі вдосконалює інструментарій забезпечення ФСБ.  </w:t>
      </w:r>
    </w:p>
    <w:p w14:paraId="32D28AA1"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Стабілізувальні (реактивні) заходи запроваджуються в разі, коли виявлено наростання кризового потенціалу та загрозу втрати ФСБ, та мають на меті усунення виявлених недоліків та повернення фінансової рівноваги. Наприклад, можуть бути здійснені заходи щодо капіталізації, зменшення непродуктивних або ризикових активів, перегляду бізнес-моделі та реорганізації операційного бізнесу для покращення ефективності та зменшення витрат.</w:t>
      </w:r>
    </w:p>
    <w:p w14:paraId="521D03FA"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Антикризові заходи ініціюються, коли в банку виявлена реальна криза та рівень ФСБ є кризовим. Реалізовані заходи можуть передбачати:</w:t>
      </w:r>
    </w:p>
    <w:p w14:paraId="3E2E5E38" w14:textId="77777777" w:rsidR="009515BC" w:rsidRPr="00F00EB0" w:rsidRDefault="009515BC" w:rsidP="009515BC">
      <w:pPr>
        <w:widowControl w:val="0"/>
        <w:numPr>
          <w:ilvl w:val="0"/>
          <w:numId w:val="13"/>
        </w:numPr>
        <w:tabs>
          <w:tab w:val="left" w:pos="993"/>
          <w:tab w:val="left" w:pos="1134"/>
        </w:tabs>
        <w:autoSpaceDE w:val="0"/>
        <w:autoSpaceDN w:val="0"/>
        <w:adjustRightInd w:val="0"/>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szCs w:val="28"/>
          <w:lang w:val="uk-UA"/>
        </w:rPr>
        <w:t xml:space="preserve">заходи, пов’язані з трансформацією балансових позицій: капіталізація; реструктуризація заборгованості (перегляд строків погашення, процентних ставок або конвертації заборгованості у капітал); реструктуризація активів, зокрема, шляхом їх продажу; </w:t>
      </w:r>
    </w:p>
    <w:p w14:paraId="13E1605D" w14:textId="77777777" w:rsidR="009515BC" w:rsidRPr="00F00EB0" w:rsidRDefault="009515BC" w:rsidP="009515BC">
      <w:pPr>
        <w:widowControl w:val="0"/>
        <w:numPr>
          <w:ilvl w:val="0"/>
          <w:numId w:val="13"/>
        </w:numPr>
        <w:tabs>
          <w:tab w:val="left" w:pos="993"/>
          <w:tab w:val="left" w:pos="1134"/>
        </w:tabs>
        <w:autoSpaceDE w:val="0"/>
        <w:autoSpaceDN w:val="0"/>
        <w:adjustRightInd w:val="0"/>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szCs w:val="28"/>
          <w:lang w:val="uk-UA"/>
        </w:rPr>
        <w:lastRenderedPageBreak/>
        <w:t>трансформацію бізнес-моделі з метою збільшення ефективності та зниження витрат (зміна стратегії, скорочення штату, перегляд продуктової лінійки або реформування процесів управління ризиками тощо);</w:t>
      </w:r>
    </w:p>
    <w:p w14:paraId="483A9757" w14:textId="77777777" w:rsidR="009515BC" w:rsidRPr="00F00EB0" w:rsidRDefault="009515BC" w:rsidP="009515BC">
      <w:pPr>
        <w:widowControl w:val="0"/>
        <w:numPr>
          <w:ilvl w:val="0"/>
          <w:numId w:val="13"/>
        </w:numPr>
        <w:tabs>
          <w:tab w:val="left" w:pos="993"/>
          <w:tab w:val="left" w:pos="1134"/>
        </w:tabs>
        <w:autoSpaceDE w:val="0"/>
        <w:autoSpaceDN w:val="0"/>
        <w:adjustRightInd w:val="0"/>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szCs w:val="28"/>
          <w:lang w:val="uk-UA"/>
        </w:rPr>
        <w:t>використання антикризових державних інструментів.</w:t>
      </w:r>
    </w:p>
    <w:p w14:paraId="0ACCD05B"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Також слід наголосити на тому, що забезпечення ФСБ потребує нормативно-правової, інформаційної та програмно-технічної підтримки шляхом створення відповідних правил, стандартів, систем та інфраструктури. </w:t>
      </w:r>
    </w:p>
    <w:p w14:paraId="6E61EE2D" w14:textId="77777777" w:rsidR="009515BC" w:rsidRPr="00F00EB0" w:rsidRDefault="009515BC" w:rsidP="009515B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Отже, механізм забезпечення ФСБ – це сукупність об’єктної та суб’єктної складових, взаємодія яких реалізується на основі функціональної складової, включаючи планування, аналіз, регулювання та контроль, що передбачають систематичне проведення інформаційно-пов’язаних етапів для визначення впливу факторів на ФСБ. </w:t>
      </w:r>
      <w:r w:rsidRPr="00F00EB0">
        <w:rPr>
          <w:rFonts w:ascii="Times New Roman" w:hAnsi="Times New Roman" w:cs="Times New Roman"/>
          <w:color w:val="000000" w:themeColor="text1"/>
          <w:lang w:val="uk-UA"/>
        </w:rPr>
        <w:br w:type="page"/>
      </w:r>
    </w:p>
    <w:p w14:paraId="3DFB1A40" w14:textId="77777777" w:rsidR="009515BC" w:rsidRPr="00F00EB0" w:rsidRDefault="009515BC" w:rsidP="009515BC">
      <w:pPr>
        <w:keepNext/>
        <w:suppressAutoHyphens/>
        <w:spacing w:after="0" w:line="360" w:lineRule="auto"/>
        <w:ind w:firstLine="709"/>
        <w:jc w:val="both"/>
        <w:outlineLvl w:val="1"/>
        <w:rPr>
          <w:rFonts w:ascii="Times New Roman" w:eastAsia="Times New Roman" w:hAnsi="Times New Roman" w:cs="Times New Roman"/>
          <w:b/>
          <w:bCs/>
          <w:caps/>
          <w:color w:val="000000" w:themeColor="text1"/>
          <w:sz w:val="28"/>
          <w:szCs w:val="28"/>
          <w:lang w:val="uk-UA" w:eastAsia="ru-RU"/>
        </w:rPr>
      </w:pPr>
      <w:bookmarkStart w:id="12" w:name="_Toc27925560"/>
      <w:bookmarkStart w:id="13" w:name="_Toc137414305"/>
      <w:r w:rsidRPr="00F00EB0">
        <w:rPr>
          <w:rFonts w:ascii="Times New Roman" w:eastAsia="Times New Roman" w:hAnsi="Times New Roman" w:cs="Times New Roman"/>
          <w:b/>
          <w:bCs/>
          <w:caps/>
          <w:color w:val="000000" w:themeColor="text1"/>
          <w:sz w:val="28"/>
          <w:szCs w:val="28"/>
          <w:lang w:val="uk-UA" w:eastAsia="ru-RU"/>
        </w:rPr>
        <w:lastRenderedPageBreak/>
        <w:t>2 ПРАКТИЧНІ АСПЕКТИ ЗАБЕЗПЕЧЕННЯ ФІНАНСОВОЇ СТІЙКОСТІ АТ КБ «ПРИВАТБАНК»</w:t>
      </w:r>
      <w:bookmarkEnd w:id="12"/>
      <w:bookmarkEnd w:id="13"/>
    </w:p>
    <w:p w14:paraId="652AE449" w14:textId="77777777" w:rsidR="009515BC" w:rsidRPr="00F00EB0" w:rsidRDefault="009515BC" w:rsidP="009515BC">
      <w:pPr>
        <w:keepNext/>
        <w:suppressAutoHyphens/>
        <w:spacing w:after="0" w:line="360" w:lineRule="auto"/>
        <w:ind w:firstLine="709"/>
        <w:jc w:val="both"/>
        <w:outlineLvl w:val="1"/>
        <w:rPr>
          <w:rFonts w:ascii="Times New Roman" w:eastAsia="Times New Roman" w:hAnsi="Times New Roman" w:cs="Times New Roman"/>
          <w:bCs/>
          <w:caps/>
          <w:color w:val="000000" w:themeColor="text1"/>
          <w:sz w:val="28"/>
          <w:szCs w:val="28"/>
          <w:lang w:val="uk-UA" w:eastAsia="ru-RU"/>
        </w:rPr>
      </w:pPr>
      <w:bookmarkStart w:id="14" w:name="_Toc27925561"/>
      <w:bookmarkStart w:id="15" w:name="_Toc137414306"/>
      <w:r w:rsidRPr="00F00EB0">
        <w:rPr>
          <w:rFonts w:ascii="Times New Roman" w:eastAsia="Times New Roman" w:hAnsi="Times New Roman" w:cs="Times New Roman"/>
          <w:bCs/>
          <w:caps/>
          <w:color w:val="000000" w:themeColor="text1"/>
          <w:sz w:val="28"/>
          <w:szCs w:val="28"/>
          <w:lang w:val="uk-UA" w:eastAsia="ru-RU"/>
        </w:rPr>
        <w:t>2.1 А</w:t>
      </w:r>
      <w:r w:rsidRPr="00F00EB0">
        <w:rPr>
          <w:rFonts w:ascii="Times New Roman" w:eastAsia="Times New Roman" w:hAnsi="Times New Roman" w:cs="Times New Roman"/>
          <w:bCs/>
          <w:color w:val="000000" w:themeColor="text1"/>
          <w:sz w:val="28"/>
          <w:szCs w:val="28"/>
          <w:lang w:val="uk-UA" w:eastAsia="ru-RU"/>
        </w:rPr>
        <w:t>наліз фінансової стійкості банківської системи України</w:t>
      </w:r>
      <w:bookmarkEnd w:id="14"/>
      <w:bookmarkEnd w:id="15"/>
    </w:p>
    <w:p w14:paraId="3984B8F5" w14:textId="77777777" w:rsidR="009515BC" w:rsidRPr="00F00EB0" w:rsidRDefault="009515BC" w:rsidP="009515BC">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33B8732F" w14:textId="77777777" w:rsidR="009515BC" w:rsidRPr="00F00EB0" w:rsidRDefault="009515BC" w:rsidP="009515BC">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4627A64B"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 xml:space="preserve">С є важливою складовою, яка визначає середовище, в якому банки повинні вживати комплекс заходів для забезпечення належного рівня внутрішньої ФСБ. Оцінка та аналіз поточного та перспективного рівня </w:t>
      </w: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С України є важливим завданням.</w:t>
      </w:r>
    </w:p>
    <w:p w14:paraId="7A236B60"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Визначення поточного рівня ризиків мікрорівня банківської системи України базується на економічних нормативах, встановлених НБУ (табл. 2.1).</w:t>
      </w:r>
    </w:p>
    <w:p w14:paraId="3BDB43CD"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Таблиця 2.1 – Динаміка економічних нормативів банківської системи України за період з 01.01.2016 по 01.01.2023 [складено автором на основі 27</w:t>
      </w:r>
    </w:p>
    <w:tbl>
      <w:tblPr>
        <w:tblW w:w="5000" w:type="pct"/>
        <w:tblLayout w:type="fixed"/>
        <w:tblLook w:val="04A0" w:firstRow="1" w:lastRow="0" w:firstColumn="1" w:lastColumn="0" w:noHBand="0" w:noVBand="1"/>
      </w:tblPr>
      <w:tblGrid>
        <w:gridCol w:w="1317"/>
        <w:gridCol w:w="1081"/>
        <w:gridCol w:w="1078"/>
        <w:gridCol w:w="1080"/>
        <w:gridCol w:w="1078"/>
        <w:gridCol w:w="1078"/>
        <w:gridCol w:w="1078"/>
        <w:gridCol w:w="1080"/>
        <w:gridCol w:w="1041"/>
      </w:tblGrid>
      <w:tr w:rsidR="009515BC" w:rsidRPr="00F00EB0" w14:paraId="5BF92E6F" w14:textId="77777777" w:rsidTr="0021593D">
        <w:trPr>
          <w:trHeight w:val="300"/>
        </w:trPr>
        <w:tc>
          <w:tcPr>
            <w:tcW w:w="664" w:type="pct"/>
            <w:vMerge w:val="restart"/>
            <w:tcBorders>
              <w:top w:val="single" w:sz="4" w:space="0" w:color="auto"/>
              <w:left w:val="single" w:sz="4" w:space="0" w:color="auto"/>
              <w:right w:val="single" w:sz="4" w:space="0" w:color="auto"/>
            </w:tcBorders>
            <w:shd w:val="clear" w:color="auto" w:fill="auto"/>
            <w:noWrap/>
            <w:vAlign w:val="center"/>
            <w:hideMark/>
          </w:tcPr>
          <w:p w14:paraId="65C4E81C" w14:textId="77777777" w:rsidR="009515BC" w:rsidRPr="00F00EB0" w:rsidRDefault="009515BC" w:rsidP="0021593D">
            <w:pPr>
              <w:spacing w:after="0" w:line="240"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Назва нормативу</w:t>
            </w:r>
          </w:p>
        </w:tc>
        <w:tc>
          <w:tcPr>
            <w:tcW w:w="4336" w:type="pct"/>
            <w:gridSpan w:val="8"/>
            <w:tcBorders>
              <w:top w:val="single" w:sz="4" w:space="0" w:color="auto"/>
              <w:left w:val="single" w:sz="4" w:space="0" w:color="auto"/>
              <w:bottom w:val="single" w:sz="4" w:space="0" w:color="auto"/>
              <w:right w:val="single" w:sz="4" w:space="0" w:color="000000"/>
            </w:tcBorders>
            <w:shd w:val="clear" w:color="auto" w:fill="auto"/>
            <w:vAlign w:val="bottom"/>
          </w:tcPr>
          <w:p w14:paraId="4E0975CE" w14:textId="77777777" w:rsidR="009515BC" w:rsidRPr="00F00EB0" w:rsidRDefault="009515BC" w:rsidP="0021593D">
            <w:pPr>
              <w:spacing w:after="0" w:line="240"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Станом на 01.01:</w:t>
            </w:r>
          </w:p>
        </w:tc>
      </w:tr>
      <w:tr w:rsidR="009515BC" w:rsidRPr="00F00EB0" w14:paraId="28A3DA82" w14:textId="77777777" w:rsidTr="0021593D">
        <w:trPr>
          <w:trHeight w:val="300"/>
        </w:trPr>
        <w:tc>
          <w:tcPr>
            <w:tcW w:w="664" w:type="pct"/>
            <w:vMerge/>
            <w:tcBorders>
              <w:left w:val="single" w:sz="4" w:space="0" w:color="auto"/>
              <w:bottom w:val="single" w:sz="4" w:space="0" w:color="auto"/>
              <w:right w:val="single" w:sz="4" w:space="0" w:color="auto"/>
            </w:tcBorders>
            <w:vAlign w:val="center"/>
            <w:hideMark/>
          </w:tcPr>
          <w:p w14:paraId="017746EC" w14:textId="77777777" w:rsidR="009515BC" w:rsidRPr="00F00EB0" w:rsidRDefault="009515BC" w:rsidP="0021593D">
            <w:pPr>
              <w:spacing w:after="0" w:line="240" w:lineRule="auto"/>
              <w:rPr>
                <w:rFonts w:ascii="Times New Roman" w:eastAsia="Times New Roman" w:hAnsi="Times New Roman" w:cs="Times New Roman"/>
                <w:color w:val="000000" w:themeColor="text1"/>
                <w:sz w:val="24"/>
                <w:szCs w:val="24"/>
                <w:lang w:val="uk-UA" w:eastAsia="ru-RU"/>
              </w:rPr>
            </w:pPr>
          </w:p>
        </w:tc>
        <w:tc>
          <w:tcPr>
            <w:tcW w:w="545" w:type="pct"/>
            <w:tcBorders>
              <w:top w:val="nil"/>
              <w:left w:val="nil"/>
              <w:bottom w:val="single" w:sz="4" w:space="0" w:color="auto"/>
              <w:right w:val="single" w:sz="4" w:space="0" w:color="auto"/>
            </w:tcBorders>
            <w:shd w:val="clear" w:color="auto" w:fill="auto"/>
            <w:noWrap/>
            <w:vAlign w:val="center"/>
          </w:tcPr>
          <w:p w14:paraId="57E8831B" w14:textId="77777777" w:rsidR="009515BC" w:rsidRPr="00F00EB0" w:rsidRDefault="009515BC" w:rsidP="0021593D">
            <w:pPr>
              <w:spacing w:after="0" w:line="240"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2016</w:t>
            </w:r>
          </w:p>
        </w:tc>
        <w:tc>
          <w:tcPr>
            <w:tcW w:w="544" w:type="pct"/>
            <w:tcBorders>
              <w:top w:val="nil"/>
              <w:left w:val="nil"/>
              <w:bottom w:val="single" w:sz="4" w:space="0" w:color="auto"/>
              <w:right w:val="single" w:sz="4" w:space="0" w:color="auto"/>
            </w:tcBorders>
            <w:shd w:val="clear" w:color="auto" w:fill="auto"/>
            <w:noWrap/>
            <w:vAlign w:val="center"/>
          </w:tcPr>
          <w:p w14:paraId="0DFA8592" w14:textId="77777777" w:rsidR="009515BC" w:rsidRPr="00F00EB0" w:rsidRDefault="009515BC" w:rsidP="0021593D">
            <w:pPr>
              <w:spacing w:after="0" w:line="240"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2017</w:t>
            </w:r>
          </w:p>
        </w:tc>
        <w:tc>
          <w:tcPr>
            <w:tcW w:w="545" w:type="pct"/>
            <w:tcBorders>
              <w:top w:val="nil"/>
              <w:left w:val="nil"/>
              <w:bottom w:val="single" w:sz="4" w:space="0" w:color="auto"/>
              <w:right w:val="single" w:sz="4" w:space="0" w:color="auto"/>
            </w:tcBorders>
            <w:vAlign w:val="center"/>
          </w:tcPr>
          <w:p w14:paraId="5EE2DA0D" w14:textId="77777777" w:rsidR="009515BC" w:rsidRPr="00F00EB0" w:rsidRDefault="009515BC" w:rsidP="0021593D">
            <w:pPr>
              <w:spacing w:after="0" w:line="240"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2018</w:t>
            </w:r>
          </w:p>
        </w:tc>
        <w:tc>
          <w:tcPr>
            <w:tcW w:w="544" w:type="pct"/>
            <w:tcBorders>
              <w:top w:val="nil"/>
              <w:left w:val="nil"/>
              <w:bottom w:val="single" w:sz="4" w:space="0" w:color="auto"/>
              <w:right w:val="single" w:sz="4" w:space="0" w:color="auto"/>
            </w:tcBorders>
            <w:vAlign w:val="center"/>
          </w:tcPr>
          <w:p w14:paraId="3FD3FE6A" w14:textId="77777777" w:rsidR="009515BC" w:rsidRPr="00F00EB0" w:rsidRDefault="009515BC" w:rsidP="0021593D">
            <w:pPr>
              <w:spacing w:after="0" w:line="240"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2019</w:t>
            </w:r>
          </w:p>
        </w:tc>
        <w:tc>
          <w:tcPr>
            <w:tcW w:w="544" w:type="pct"/>
            <w:tcBorders>
              <w:top w:val="nil"/>
              <w:left w:val="nil"/>
              <w:bottom w:val="single" w:sz="4" w:space="0" w:color="auto"/>
              <w:right w:val="single" w:sz="4" w:space="0" w:color="auto"/>
            </w:tcBorders>
            <w:vAlign w:val="center"/>
          </w:tcPr>
          <w:p w14:paraId="42D3EC3E" w14:textId="77777777" w:rsidR="009515BC" w:rsidRPr="00F00EB0" w:rsidRDefault="009515BC" w:rsidP="0021593D">
            <w:pPr>
              <w:spacing w:after="0" w:line="240"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2020</w:t>
            </w:r>
          </w:p>
        </w:tc>
        <w:tc>
          <w:tcPr>
            <w:tcW w:w="544" w:type="pct"/>
            <w:tcBorders>
              <w:top w:val="nil"/>
              <w:left w:val="nil"/>
              <w:bottom w:val="single" w:sz="4" w:space="0" w:color="auto"/>
              <w:right w:val="single" w:sz="4" w:space="0" w:color="auto"/>
            </w:tcBorders>
            <w:vAlign w:val="center"/>
          </w:tcPr>
          <w:p w14:paraId="571AE827" w14:textId="77777777" w:rsidR="009515BC" w:rsidRPr="00F00EB0" w:rsidRDefault="009515BC" w:rsidP="0021593D">
            <w:pPr>
              <w:spacing w:after="0" w:line="240"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2021</w:t>
            </w:r>
          </w:p>
        </w:tc>
        <w:tc>
          <w:tcPr>
            <w:tcW w:w="545" w:type="pct"/>
            <w:tcBorders>
              <w:top w:val="nil"/>
              <w:left w:val="nil"/>
              <w:bottom w:val="single" w:sz="4" w:space="0" w:color="auto"/>
              <w:right w:val="single" w:sz="4" w:space="0" w:color="auto"/>
            </w:tcBorders>
            <w:vAlign w:val="center"/>
          </w:tcPr>
          <w:p w14:paraId="3E491402" w14:textId="77777777" w:rsidR="009515BC" w:rsidRPr="00F00EB0" w:rsidRDefault="009515BC" w:rsidP="0021593D">
            <w:pPr>
              <w:spacing w:after="0" w:line="240"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2022</w:t>
            </w:r>
          </w:p>
        </w:tc>
        <w:tc>
          <w:tcPr>
            <w:tcW w:w="526" w:type="pct"/>
            <w:tcBorders>
              <w:top w:val="nil"/>
              <w:left w:val="nil"/>
              <w:bottom w:val="single" w:sz="4" w:space="0" w:color="auto"/>
              <w:right w:val="single" w:sz="4" w:space="0" w:color="auto"/>
            </w:tcBorders>
            <w:vAlign w:val="center"/>
          </w:tcPr>
          <w:p w14:paraId="14916386" w14:textId="77777777" w:rsidR="009515BC" w:rsidRPr="00F00EB0" w:rsidRDefault="009515BC" w:rsidP="0021593D">
            <w:pPr>
              <w:spacing w:after="0" w:line="240"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2023</w:t>
            </w:r>
          </w:p>
        </w:tc>
      </w:tr>
      <w:tr w:rsidR="009515BC" w:rsidRPr="00F00EB0" w14:paraId="7235917B" w14:textId="77777777" w:rsidTr="0021593D">
        <w:trPr>
          <w:trHeight w:val="300"/>
        </w:trPr>
        <w:tc>
          <w:tcPr>
            <w:tcW w:w="66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026400" w14:textId="77777777" w:rsidR="009515BC" w:rsidRPr="00F00EB0" w:rsidRDefault="009515BC" w:rsidP="0021593D">
            <w:pPr>
              <w:spacing w:after="0" w:line="240" w:lineRule="auto"/>
              <w:ind w:left="-113" w:right="-170"/>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Н1, млн грн</w:t>
            </w:r>
          </w:p>
        </w:tc>
        <w:tc>
          <w:tcPr>
            <w:tcW w:w="54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3C3255F"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129816,9</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07D9164"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109653,6</w:t>
            </w:r>
          </w:p>
        </w:tc>
        <w:tc>
          <w:tcPr>
            <w:tcW w:w="545" w:type="pct"/>
            <w:tcBorders>
              <w:top w:val="single" w:sz="4" w:space="0" w:color="auto"/>
              <w:left w:val="single" w:sz="4" w:space="0" w:color="auto"/>
              <w:bottom w:val="single" w:sz="4" w:space="0" w:color="auto"/>
              <w:right w:val="single" w:sz="4" w:space="0" w:color="auto"/>
            </w:tcBorders>
            <w:vAlign w:val="center"/>
          </w:tcPr>
          <w:p w14:paraId="5C3F8809"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115817,6</w:t>
            </w:r>
          </w:p>
        </w:tc>
        <w:tc>
          <w:tcPr>
            <w:tcW w:w="544" w:type="pct"/>
            <w:tcBorders>
              <w:top w:val="single" w:sz="4" w:space="0" w:color="auto"/>
              <w:left w:val="single" w:sz="4" w:space="0" w:color="auto"/>
              <w:bottom w:val="single" w:sz="4" w:space="0" w:color="auto"/>
              <w:right w:val="single" w:sz="4" w:space="0" w:color="auto"/>
            </w:tcBorders>
            <w:vAlign w:val="center"/>
          </w:tcPr>
          <w:p w14:paraId="0C52B1E4" w14:textId="77777777" w:rsidR="009515BC" w:rsidRPr="00F00EB0" w:rsidRDefault="009515BC" w:rsidP="0021593D">
            <w:pPr>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126116,7</w:t>
            </w:r>
          </w:p>
        </w:tc>
        <w:tc>
          <w:tcPr>
            <w:tcW w:w="544" w:type="pct"/>
            <w:tcBorders>
              <w:top w:val="single" w:sz="4" w:space="0" w:color="auto"/>
              <w:left w:val="single" w:sz="4" w:space="0" w:color="auto"/>
              <w:bottom w:val="single" w:sz="4" w:space="0" w:color="auto"/>
              <w:right w:val="single" w:sz="4" w:space="0" w:color="auto"/>
            </w:tcBorders>
            <w:vAlign w:val="center"/>
          </w:tcPr>
          <w:p w14:paraId="5B7F2B87" w14:textId="77777777" w:rsidR="009515BC" w:rsidRPr="00F00EB0" w:rsidRDefault="009515BC" w:rsidP="0021593D">
            <w:pPr>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150313,8</w:t>
            </w:r>
          </w:p>
        </w:tc>
        <w:tc>
          <w:tcPr>
            <w:tcW w:w="544" w:type="pct"/>
            <w:tcBorders>
              <w:top w:val="single" w:sz="4" w:space="0" w:color="auto"/>
              <w:left w:val="single" w:sz="4" w:space="0" w:color="auto"/>
              <w:bottom w:val="single" w:sz="4" w:space="0" w:color="auto"/>
              <w:right w:val="single" w:sz="4" w:space="0" w:color="auto"/>
            </w:tcBorders>
            <w:vAlign w:val="center"/>
          </w:tcPr>
          <w:p w14:paraId="38B5C09F" w14:textId="77777777" w:rsidR="009515BC" w:rsidRPr="00F00EB0" w:rsidRDefault="009515BC" w:rsidP="0021593D">
            <w:pPr>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182283,6</w:t>
            </w:r>
          </w:p>
        </w:tc>
        <w:tc>
          <w:tcPr>
            <w:tcW w:w="545" w:type="pct"/>
            <w:tcBorders>
              <w:top w:val="single" w:sz="4" w:space="0" w:color="auto"/>
              <w:left w:val="single" w:sz="4" w:space="0" w:color="auto"/>
              <w:bottom w:val="single" w:sz="4" w:space="0" w:color="auto"/>
              <w:right w:val="single" w:sz="4" w:space="0" w:color="auto"/>
            </w:tcBorders>
            <w:vAlign w:val="center"/>
          </w:tcPr>
          <w:p w14:paraId="2FAB60CA" w14:textId="77777777" w:rsidR="009515BC" w:rsidRPr="00F00EB0" w:rsidRDefault="009515BC" w:rsidP="0021593D">
            <w:pPr>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211742,3</w:t>
            </w:r>
          </w:p>
        </w:tc>
        <w:tc>
          <w:tcPr>
            <w:tcW w:w="526" w:type="pct"/>
            <w:tcBorders>
              <w:top w:val="single" w:sz="4" w:space="0" w:color="auto"/>
              <w:left w:val="single" w:sz="4" w:space="0" w:color="auto"/>
              <w:bottom w:val="single" w:sz="4" w:space="0" w:color="auto"/>
              <w:right w:val="single" w:sz="4" w:space="0" w:color="auto"/>
            </w:tcBorders>
            <w:vAlign w:val="center"/>
          </w:tcPr>
          <w:p w14:paraId="5CACF4BB" w14:textId="77777777" w:rsidR="009515BC" w:rsidRPr="00F00EB0" w:rsidRDefault="009515BC" w:rsidP="0021593D">
            <w:pPr>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211091,1</w:t>
            </w:r>
          </w:p>
        </w:tc>
      </w:tr>
      <w:tr w:rsidR="009515BC" w:rsidRPr="00F00EB0" w14:paraId="12C86BDD" w14:textId="77777777" w:rsidTr="0021593D">
        <w:trPr>
          <w:trHeight w:val="300"/>
        </w:trPr>
        <w:tc>
          <w:tcPr>
            <w:tcW w:w="664" w:type="pct"/>
            <w:tcBorders>
              <w:top w:val="nil"/>
              <w:left w:val="single" w:sz="4" w:space="0" w:color="auto"/>
              <w:bottom w:val="single" w:sz="4" w:space="0" w:color="auto"/>
              <w:right w:val="single" w:sz="4" w:space="0" w:color="auto"/>
            </w:tcBorders>
            <w:shd w:val="clear" w:color="auto" w:fill="auto"/>
            <w:noWrap/>
            <w:vAlign w:val="center"/>
            <w:hideMark/>
          </w:tcPr>
          <w:p w14:paraId="0C1B1CF0" w14:textId="77777777" w:rsidR="009515BC" w:rsidRPr="00F00EB0" w:rsidRDefault="009515BC" w:rsidP="0021593D">
            <w:pPr>
              <w:spacing w:after="0" w:line="240" w:lineRule="auto"/>
              <w:ind w:left="-113" w:right="-170"/>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Н2 (≥10 %)</w:t>
            </w:r>
          </w:p>
        </w:tc>
        <w:tc>
          <w:tcPr>
            <w:tcW w:w="545" w:type="pct"/>
            <w:tcBorders>
              <w:top w:val="nil"/>
              <w:left w:val="nil"/>
              <w:bottom w:val="single" w:sz="4" w:space="0" w:color="auto"/>
              <w:right w:val="single" w:sz="4" w:space="0" w:color="auto"/>
            </w:tcBorders>
            <w:shd w:val="clear" w:color="auto" w:fill="auto"/>
            <w:noWrap/>
            <w:vAlign w:val="center"/>
          </w:tcPr>
          <w:p w14:paraId="0731E368"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12,31</w:t>
            </w:r>
          </w:p>
        </w:tc>
        <w:tc>
          <w:tcPr>
            <w:tcW w:w="544" w:type="pct"/>
            <w:tcBorders>
              <w:top w:val="nil"/>
              <w:left w:val="nil"/>
              <w:bottom w:val="single" w:sz="4" w:space="0" w:color="auto"/>
              <w:right w:val="single" w:sz="4" w:space="0" w:color="auto"/>
            </w:tcBorders>
            <w:shd w:val="clear" w:color="auto" w:fill="auto"/>
            <w:noWrap/>
            <w:vAlign w:val="center"/>
          </w:tcPr>
          <w:p w14:paraId="1FEDB372"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12,69</w:t>
            </w:r>
          </w:p>
        </w:tc>
        <w:tc>
          <w:tcPr>
            <w:tcW w:w="545" w:type="pct"/>
            <w:tcBorders>
              <w:top w:val="nil"/>
              <w:left w:val="nil"/>
              <w:bottom w:val="single" w:sz="4" w:space="0" w:color="auto"/>
              <w:right w:val="single" w:sz="4" w:space="0" w:color="auto"/>
            </w:tcBorders>
            <w:vAlign w:val="center"/>
          </w:tcPr>
          <w:p w14:paraId="7D09EBC2"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16,10</w:t>
            </w:r>
          </w:p>
        </w:tc>
        <w:tc>
          <w:tcPr>
            <w:tcW w:w="544" w:type="pct"/>
            <w:tcBorders>
              <w:top w:val="nil"/>
              <w:left w:val="nil"/>
              <w:bottom w:val="single" w:sz="4" w:space="0" w:color="auto"/>
              <w:right w:val="single" w:sz="4" w:space="0" w:color="auto"/>
            </w:tcBorders>
            <w:vAlign w:val="center"/>
          </w:tcPr>
          <w:p w14:paraId="00A67F65"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16,18</w:t>
            </w:r>
          </w:p>
        </w:tc>
        <w:tc>
          <w:tcPr>
            <w:tcW w:w="544" w:type="pct"/>
            <w:tcBorders>
              <w:top w:val="nil"/>
              <w:left w:val="nil"/>
              <w:bottom w:val="single" w:sz="4" w:space="0" w:color="auto"/>
              <w:right w:val="single" w:sz="4" w:space="0" w:color="auto"/>
            </w:tcBorders>
            <w:vAlign w:val="center"/>
          </w:tcPr>
          <w:p w14:paraId="0E71FA5F"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19,66</w:t>
            </w:r>
          </w:p>
        </w:tc>
        <w:tc>
          <w:tcPr>
            <w:tcW w:w="544" w:type="pct"/>
            <w:tcBorders>
              <w:top w:val="nil"/>
              <w:left w:val="nil"/>
              <w:bottom w:val="single" w:sz="4" w:space="0" w:color="auto"/>
              <w:right w:val="single" w:sz="4" w:space="0" w:color="auto"/>
            </w:tcBorders>
            <w:vAlign w:val="center"/>
          </w:tcPr>
          <w:p w14:paraId="459EB63A"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21,98</w:t>
            </w:r>
          </w:p>
        </w:tc>
        <w:tc>
          <w:tcPr>
            <w:tcW w:w="545" w:type="pct"/>
            <w:tcBorders>
              <w:top w:val="nil"/>
              <w:left w:val="nil"/>
              <w:bottom w:val="single" w:sz="4" w:space="0" w:color="auto"/>
              <w:right w:val="single" w:sz="4" w:space="0" w:color="auto"/>
            </w:tcBorders>
            <w:vAlign w:val="center"/>
          </w:tcPr>
          <w:p w14:paraId="74C19862"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18,01</w:t>
            </w:r>
          </w:p>
        </w:tc>
        <w:tc>
          <w:tcPr>
            <w:tcW w:w="526" w:type="pct"/>
            <w:tcBorders>
              <w:top w:val="nil"/>
              <w:left w:val="nil"/>
              <w:bottom w:val="single" w:sz="4" w:space="0" w:color="auto"/>
              <w:right w:val="single" w:sz="4" w:space="0" w:color="auto"/>
            </w:tcBorders>
            <w:vAlign w:val="center"/>
          </w:tcPr>
          <w:p w14:paraId="41FFF0DF"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19,68</w:t>
            </w:r>
          </w:p>
        </w:tc>
      </w:tr>
      <w:tr w:rsidR="009515BC" w:rsidRPr="00F00EB0" w14:paraId="3C661C41" w14:textId="77777777" w:rsidTr="0021593D">
        <w:trPr>
          <w:trHeight w:val="300"/>
        </w:trPr>
        <w:tc>
          <w:tcPr>
            <w:tcW w:w="664" w:type="pct"/>
            <w:tcBorders>
              <w:top w:val="nil"/>
              <w:left w:val="single" w:sz="4" w:space="0" w:color="auto"/>
              <w:bottom w:val="single" w:sz="4" w:space="0" w:color="auto"/>
              <w:right w:val="single" w:sz="4" w:space="0" w:color="auto"/>
            </w:tcBorders>
            <w:shd w:val="clear" w:color="auto" w:fill="auto"/>
            <w:noWrap/>
            <w:vAlign w:val="center"/>
          </w:tcPr>
          <w:p w14:paraId="2DDEB063" w14:textId="77777777" w:rsidR="009515BC" w:rsidRPr="00F00EB0" w:rsidRDefault="009515BC" w:rsidP="0021593D">
            <w:pPr>
              <w:spacing w:after="0" w:line="240" w:lineRule="auto"/>
              <w:ind w:left="-113" w:right="-170"/>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НЗ  (≥7%)</w:t>
            </w:r>
          </w:p>
        </w:tc>
        <w:tc>
          <w:tcPr>
            <w:tcW w:w="545" w:type="pct"/>
            <w:tcBorders>
              <w:top w:val="nil"/>
              <w:left w:val="nil"/>
              <w:bottom w:val="single" w:sz="4" w:space="0" w:color="auto"/>
              <w:right w:val="single" w:sz="4" w:space="0" w:color="auto"/>
            </w:tcBorders>
            <w:shd w:val="clear" w:color="auto" w:fill="auto"/>
            <w:noWrap/>
            <w:vAlign w:val="center"/>
          </w:tcPr>
          <w:p w14:paraId="53219B28"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w:t>
            </w:r>
          </w:p>
        </w:tc>
        <w:tc>
          <w:tcPr>
            <w:tcW w:w="544" w:type="pct"/>
            <w:tcBorders>
              <w:top w:val="nil"/>
              <w:left w:val="nil"/>
              <w:bottom w:val="single" w:sz="4" w:space="0" w:color="auto"/>
              <w:right w:val="single" w:sz="4" w:space="0" w:color="auto"/>
            </w:tcBorders>
            <w:shd w:val="clear" w:color="auto" w:fill="auto"/>
            <w:noWrap/>
            <w:vAlign w:val="center"/>
          </w:tcPr>
          <w:p w14:paraId="4B4A3B87"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w:t>
            </w:r>
          </w:p>
        </w:tc>
        <w:tc>
          <w:tcPr>
            <w:tcW w:w="545" w:type="pct"/>
            <w:tcBorders>
              <w:top w:val="nil"/>
              <w:left w:val="nil"/>
              <w:bottom w:val="single" w:sz="4" w:space="0" w:color="auto"/>
              <w:right w:val="single" w:sz="4" w:space="0" w:color="auto"/>
            </w:tcBorders>
            <w:vAlign w:val="center"/>
          </w:tcPr>
          <w:p w14:paraId="79DA7664"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w:t>
            </w:r>
          </w:p>
        </w:tc>
        <w:tc>
          <w:tcPr>
            <w:tcW w:w="544" w:type="pct"/>
            <w:tcBorders>
              <w:top w:val="nil"/>
              <w:left w:val="nil"/>
              <w:bottom w:val="single" w:sz="4" w:space="0" w:color="auto"/>
              <w:right w:val="single" w:sz="4" w:space="0" w:color="auto"/>
            </w:tcBorders>
            <w:vAlign w:val="center"/>
          </w:tcPr>
          <w:p w14:paraId="4CFCDE0D"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w:t>
            </w:r>
          </w:p>
        </w:tc>
        <w:tc>
          <w:tcPr>
            <w:tcW w:w="544" w:type="pct"/>
            <w:tcBorders>
              <w:top w:val="nil"/>
              <w:left w:val="nil"/>
              <w:bottom w:val="single" w:sz="4" w:space="0" w:color="auto"/>
              <w:right w:val="single" w:sz="4" w:space="0" w:color="auto"/>
            </w:tcBorders>
            <w:vAlign w:val="center"/>
          </w:tcPr>
          <w:p w14:paraId="1BDF7F27"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13,50</w:t>
            </w:r>
          </w:p>
        </w:tc>
        <w:tc>
          <w:tcPr>
            <w:tcW w:w="544" w:type="pct"/>
            <w:tcBorders>
              <w:top w:val="nil"/>
              <w:left w:val="nil"/>
              <w:bottom w:val="single" w:sz="4" w:space="0" w:color="auto"/>
              <w:right w:val="single" w:sz="4" w:space="0" w:color="auto"/>
            </w:tcBorders>
            <w:vAlign w:val="center"/>
          </w:tcPr>
          <w:p w14:paraId="681DBA41"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15,67</w:t>
            </w:r>
          </w:p>
        </w:tc>
        <w:tc>
          <w:tcPr>
            <w:tcW w:w="545" w:type="pct"/>
            <w:tcBorders>
              <w:top w:val="nil"/>
              <w:left w:val="nil"/>
              <w:bottom w:val="single" w:sz="4" w:space="0" w:color="auto"/>
              <w:right w:val="single" w:sz="4" w:space="0" w:color="auto"/>
            </w:tcBorders>
            <w:vAlign w:val="center"/>
          </w:tcPr>
          <w:p w14:paraId="577F4D91"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11,99</w:t>
            </w:r>
          </w:p>
        </w:tc>
        <w:tc>
          <w:tcPr>
            <w:tcW w:w="526" w:type="pct"/>
            <w:tcBorders>
              <w:top w:val="nil"/>
              <w:left w:val="nil"/>
              <w:bottom w:val="single" w:sz="4" w:space="0" w:color="auto"/>
              <w:right w:val="single" w:sz="4" w:space="0" w:color="auto"/>
            </w:tcBorders>
            <w:vAlign w:val="center"/>
          </w:tcPr>
          <w:p w14:paraId="49CF9A7A"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13,12</w:t>
            </w:r>
          </w:p>
        </w:tc>
      </w:tr>
      <w:tr w:rsidR="009515BC" w:rsidRPr="00F00EB0" w14:paraId="58A60751" w14:textId="77777777" w:rsidTr="0021593D">
        <w:trPr>
          <w:trHeight w:val="300"/>
        </w:trPr>
        <w:tc>
          <w:tcPr>
            <w:tcW w:w="664" w:type="pct"/>
            <w:tcBorders>
              <w:top w:val="nil"/>
              <w:left w:val="single" w:sz="4" w:space="0" w:color="auto"/>
              <w:bottom w:val="single" w:sz="4" w:space="0" w:color="auto"/>
              <w:right w:val="single" w:sz="4" w:space="0" w:color="auto"/>
            </w:tcBorders>
            <w:shd w:val="clear" w:color="auto" w:fill="auto"/>
            <w:noWrap/>
            <w:vAlign w:val="center"/>
            <w:hideMark/>
          </w:tcPr>
          <w:p w14:paraId="3456AC9A" w14:textId="77777777" w:rsidR="009515BC" w:rsidRPr="00F00EB0" w:rsidRDefault="009515BC" w:rsidP="0021593D">
            <w:pPr>
              <w:spacing w:after="0" w:line="240" w:lineRule="auto"/>
              <w:ind w:left="-113" w:right="-170"/>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Н4  (≥20 %)</w:t>
            </w:r>
            <w:r w:rsidRPr="00F00EB0">
              <w:rPr>
                <w:rFonts w:ascii="Times New Roman" w:eastAsia="Times New Roman" w:hAnsi="Times New Roman" w:cs="Times New Roman"/>
                <w:color w:val="000000" w:themeColor="text1"/>
                <w:sz w:val="24"/>
                <w:szCs w:val="24"/>
                <w:vertAlign w:val="superscript"/>
                <w:lang w:val="uk-UA" w:eastAsia="ru-RU"/>
              </w:rPr>
              <w:t>1</w:t>
            </w:r>
          </w:p>
        </w:tc>
        <w:tc>
          <w:tcPr>
            <w:tcW w:w="545" w:type="pct"/>
            <w:tcBorders>
              <w:top w:val="nil"/>
              <w:left w:val="nil"/>
              <w:bottom w:val="single" w:sz="4" w:space="0" w:color="auto"/>
              <w:right w:val="single" w:sz="4" w:space="0" w:color="auto"/>
            </w:tcBorders>
            <w:shd w:val="clear" w:color="auto" w:fill="auto"/>
            <w:noWrap/>
            <w:vAlign w:val="center"/>
          </w:tcPr>
          <w:p w14:paraId="7C285241"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78,73</w:t>
            </w:r>
          </w:p>
        </w:tc>
        <w:tc>
          <w:tcPr>
            <w:tcW w:w="544" w:type="pct"/>
            <w:tcBorders>
              <w:top w:val="nil"/>
              <w:left w:val="nil"/>
              <w:bottom w:val="single" w:sz="4" w:space="0" w:color="auto"/>
              <w:right w:val="single" w:sz="4" w:space="0" w:color="auto"/>
            </w:tcBorders>
            <w:shd w:val="clear" w:color="auto" w:fill="auto"/>
            <w:noWrap/>
            <w:vAlign w:val="center"/>
          </w:tcPr>
          <w:p w14:paraId="31E87E4D"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60,79</w:t>
            </w:r>
          </w:p>
        </w:tc>
        <w:tc>
          <w:tcPr>
            <w:tcW w:w="545" w:type="pct"/>
            <w:tcBorders>
              <w:top w:val="nil"/>
              <w:left w:val="nil"/>
              <w:bottom w:val="single" w:sz="4" w:space="0" w:color="auto"/>
              <w:right w:val="single" w:sz="4" w:space="0" w:color="auto"/>
            </w:tcBorders>
            <w:vAlign w:val="center"/>
          </w:tcPr>
          <w:p w14:paraId="3F421F06"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55,55</w:t>
            </w:r>
          </w:p>
        </w:tc>
        <w:tc>
          <w:tcPr>
            <w:tcW w:w="544" w:type="pct"/>
            <w:tcBorders>
              <w:top w:val="nil"/>
              <w:left w:val="nil"/>
              <w:bottom w:val="single" w:sz="4" w:space="0" w:color="auto"/>
              <w:right w:val="single" w:sz="4" w:space="0" w:color="auto"/>
            </w:tcBorders>
            <w:vAlign w:val="center"/>
          </w:tcPr>
          <w:p w14:paraId="66ACF4DB"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68,66</w:t>
            </w:r>
          </w:p>
        </w:tc>
        <w:tc>
          <w:tcPr>
            <w:tcW w:w="544" w:type="pct"/>
            <w:tcBorders>
              <w:top w:val="nil"/>
              <w:left w:val="nil"/>
              <w:bottom w:val="single" w:sz="4" w:space="0" w:color="auto"/>
              <w:right w:val="single" w:sz="4" w:space="0" w:color="auto"/>
            </w:tcBorders>
            <w:vAlign w:val="center"/>
          </w:tcPr>
          <w:p w14:paraId="143A60EF"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w:t>
            </w:r>
          </w:p>
        </w:tc>
        <w:tc>
          <w:tcPr>
            <w:tcW w:w="544" w:type="pct"/>
            <w:tcBorders>
              <w:top w:val="nil"/>
              <w:left w:val="nil"/>
              <w:bottom w:val="single" w:sz="4" w:space="0" w:color="auto"/>
              <w:right w:val="single" w:sz="4" w:space="0" w:color="auto"/>
            </w:tcBorders>
            <w:vAlign w:val="center"/>
          </w:tcPr>
          <w:p w14:paraId="1EA56F77"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w:t>
            </w:r>
          </w:p>
        </w:tc>
        <w:tc>
          <w:tcPr>
            <w:tcW w:w="545" w:type="pct"/>
            <w:tcBorders>
              <w:top w:val="nil"/>
              <w:left w:val="nil"/>
              <w:bottom w:val="single" w:sz="4" w:space="0" w:color="auto"/>
              <w:right w:val="single" w:sz="4" w:space="0" w:color="auto"/>
            </w:tcBorders>
            <w:vAlign w:val="center"/>
          </w:tcPr>
          <w:p w14:paraId="4BB1FC60"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w:t>
            </w:r>
          </w:p>
        </w:tc>
        <w:tc>
          <w:tcPr>
            <w:tcW w:w="526" w:type="pct"/>
            <w:tcBorders>
              <w:top w:val="nil"/>
              <w:left w:val="nil"/>
              <w:bottom w:val="single" w:sz="4" w:space="0" w:color="auto"/>
              <w:right w:val="single" w:sz="4" w:space="0" w:color="auto"/>
            </w:tcBorders>
            <w:vAlign w:val="center"/>
          </w:tcPr>
          <w:p w14:paraId="062BC80B"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w:t>
            </w:r>
          </w:p>
        </w:tc>
      </w:tr>
      <w:tr w:rsidR="009515BC" w:rsidRPr="00F00EB0" w14:paraId="67AC8BDE" w14:textId="77777777" w:rsidTr="0021593D">
        <w:trPr>
          <w:trHeight w:val="300"/>
        </w:trPr>
        <w:tc>
          <w:tcPr>
            <w:tcW w:w="664" w:type="pct"/>
            <w:tcBorders>
              <w:top w:val="nil"/>
              <w:left w:val="single" w:sz="4" w:space="0" w:color="auto"/>
              <w:bottom w:val="single" w:sz="4" w:space="0" w:color="auto"/>
              <w:right w:val="single" w:sz="4" w:space="0" w:color="auto"/>
            </w:tcBorders>
            <w:shd w:val="clear" w:color="auto" w:fill="auto"/>
            <w:noWrap/>
            <w:vAlign w:val="center"/>
            <w:hideMark/>
          </w:tcPr>
          <w:p w14:paraId="7473868A" w14:textId="77777777" w:rsidR="009515BC" w:rsidRPr="00F00EB0" w:rsidRDefault="009515BC" w:rsidP="0021593D">
            <w:pPr>
              <w:spacing w:after="0" w:line="240" w:lineRule="auto"/>
              <w:ind w:left="-113" w:right="-170"/>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Н5  (≥40 %)</w:t>
            </w:r>
            <w:r w:rsidRPr="00F00EB0">
              <w:rPr>
                <w:rFonts w:ascii="Times New Roman" w:eastAsia="Times New Roman" w:hAnsi="Times New Roman" w:cs="Times New Roman"/>
                <w:color w:val="000000" w:themeColor="text1"/>
                <w:sz w:val="24"/>
                <w:szCs w:val="24"/>
                <w:vertAlign w:val="superscript"/>
                <w:lang w:val="uk-UA" w:eastAsia="ru-RU"/>
              </w:rPr>
              <w:t>1</w:t>
            </w:r>
          </w:p>
        </w:tc>
        <w:tc>
          <w:tcPr>
            <w:tcW w:w="545" w:type="pct"/>
            <w:tcBorders>
              <w:top w:val="nil"/>
              <w:left w:val="nil"/>
              <w:bottom w:val="single" w:sz="4" w:space="0" w:color="auto"/>
              <w:right w:val="single" w:sz="4" w:space="0" w:color="auto"/>
            </w:tcBorders>
            <w:shd w:val="clear" w:color="auto" w:fill="auto"/>
            <w:noWrap/>
            <w:vAlign w:val="center"/>
          </w:tcPr>
          <w:p w14:paraId="0EFD4D5A"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79,98</w:t>
            </w:r>
          </w:p>
        </w:tc>
        <w:tc>
          <w:tcPr>
            <w:tcW w:w="544" w:type="pct"/>
            <w:tcBorders>
              <w:top w:val="nil"/>
              <w:left w:val="nil"/>
              <w:bottom w:val="single" w:sz="4" w:space="0" w:color="auto"/>
              <w:right w:val="single" w:sz="4" w:space="0" w:color="auto"/>
            </w:tcBorders>
            <w:shd w:val="clear" w:color="auto" w:fill="auto"/>
            <w:noWrap/>
            <w:vAlign w:val="center"/>
          </w:tcPr>
          <w:p w14:paraId="268D3ADB"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102,14</w:t>
            </w:r>
          </w:p>
        </w:tc>
        <w:tc>
          <w:tcPr>
            <w:tcW w:w="545" w:type="pct"/>
            <w:tcBorders>
              <w:top w:val="nil"/>
              <w:left w:val="nil"/>
              <w:bottom w:val="single" w:sz="4" w:space="0" w:color="auto"/>
              <w:right w:val="single" w:sz="4" w:space="0" w:color="auto"/>
            </w:tcBorders>
            <w:vAlign w:val="center"/>
          </w:tcPr>
          <w:p w14:paraId="1317B023"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108,08</w:t>
            </w:r>
          </w:p>
        </w:tc>
        <w:tc>
          <w:tcPr>
            <w:tcW w:w="544" w:type="pct"/>
            <w:tcBorders>
              <w:top w:val="nil"/>
              <w:left w:val="nil"/>
              <w:bottom w:val="single" w:sz="4" w:space="0" w:color="auto"/>
              <w:right w:val="single" w:sz="4" w:space="0" w:color="auto"/>
            </w:tcBorders>
            <w:vAlign w:val="center"/>
          </w:tcPr>
          <w:p w14:paraId="0ECCFA9F"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99,12</w:t>
            </w:r>
          </w:p>
        </w:tc>
        <w:tc>
          <w:tcPr>
            <w:tcW w:w="544" w:type="pct"/>
            <w:tcBorders>
              <w:top w:val="nil"/>
              <w:left w:val="nil"/>
              <w:bottom w:val="single" w:sz="4" w:space="0" w:color="auto"/>
              <w:right w:val="single" w:sz="4" w:space="0" w:color="auto"/>
            </w:tcBorders>
            <w:vAlign w:val="center"/>
          </w:tcPr>
          <w:p w14:paraId="68B7594F"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94,35</w:t>
            </w:r>
          </w:p>
        </w:tc>
        <w:tc>
          <w:tcPr>
            <w:tcW w:w="544" w:type="pct"/>
            <w:tcBorders>
              <w:top w:val="nil"/>
              <w:left w:val="nil"/>
              <w:bottom w:val="single" w:sz="4" w:space="0" w:color="auto"/>
              <w:right w:val="single" w:sz="4" w:space="0" w:color="auto"/>
            </w:tcBorders>
            <w:vAlign w:val="center"/>
          </w:tcPr>
          <w:p w14:paraId="5CEA2AB4"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86,82</w:t>
            </w:r>
          </w:p>
        </w:tc>
        <w:tc>
          <w:tcPr>
            <w:tcW w:w="545" w:type="pct"/>
            <w:tcBorders>
              <w:top w:val="nil"/>
              <w:left w:val="nil"/>
              <w:bottom w:val="single" w:sz="4" w:space="0" w:color="auto"/>
              <w:right w:val="single" w:sz="4" w:space="0" w:color="auto"/>
            </w:tcBorders>
            <w:vAlign w:val="center"/>
          </w:tcPr>
          <w:p w14:paraId="1E7510A9"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w:t>
            </w:r>
          </w:p>
        </w:tc>
        <w:tc>
          <w:tcPr>
            <w:tcW w:w="526" w:type="pct"/>
            <w:tcBorders>
              <w:top w:val="nil"/>
              <w:left w:val="nil"/>
              <w:bottom w:val="single" w:sz="4" w:space="0" w:color="auto"/>
              <w:right w:val="single" w:sz="4" w:space="0" w:color="auto"/>
            </w:tcBorders>
            <w:vAlign w:val="center"/>
          </w:tcPr>
          <w:p w14:paraId="0C0CF1FF"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w:t>
            </w:r>
          </w:p>
        </w:tc>
      </w:tr>
      <w:tr w:rsidR="009515BC" w:rsidRPr="00F00EB0" w14:paraId="7CDBB2AB" w14:textId="77777777" w:rsidTr="0021593D">
        <w:trPr>
          <w:trHeight w:val="300"/>
        </w:trPr>
        <w:tc>
          <w:tcPr>
            <w:tcW w:w="664" w:type="pct"/>
            <w:tcBorders>
              <w:top w:val="nil"/>
              <w:left w:val="single" w:sz="4" w:space="0" w:color="auto"/>
              <w:bottom w:val="single" w:sz="4" w:space="0" w:color="auto"/>
              <w:right w:val="single" w:sz="4" w:space="0" w:color="auto"/>
            </w:tcBorders>
            <w:shd w:val="clear" w:color="auto" w:fill="auto"/>
            <w:noWrap/>
            <w:vAlign w:val="center"/>
            <w:hideMark/>
          </w:tcPr>
          <w:p w14:paraId="617EA162" w14:textId="77777777" w:rsidR="009515BC" w:rsidRPr="00F00EB0" w:rsidRDefault="009515BC" w:rsidP="0021593D">
            <w:pPr>
              <w:spacing w:after="0" w:line="240" w:lineRule="auto"/>
              <w:ind w:left="-113" w:right="-170"/>
              <w:jc w:val="center"/>
              <w:rPr>
                <w:rFonts w:ascii="Times New Roman" w:eastAsia="Times New Roman" w:hAnsi="Times New Roman" w:cs="Times New Roman"/>
                <w:color w:val="000000" w:themeColor="text1"/>
                <w:sz w:val="24"/>
                <w:szCs w:val="24"/>
                <w:vertAlign w:val="superscript"/>
                <w:lang w:val="uk-UA" w:eastAsia="ru-RU"/>
              </w:rPr>
            </w:pPr>
            <w:r w:rsidRPr="00F00EB0">
              <w:rPr>
                <w:rFonts w:ascii="Times New Roman" w:eastAsia="Times New Roman" w:hAnsi="Times New Roman" w:cs="Times New Roman"/>
                <w:color w:val="000000" w:themeColor="text1"/>
                <w:sz w:val="24"/>
                <w:szCs w:val="24"/>
                <w:lang w:val="uk-UA" w:eastAsia="ru-RU"/>
              </w:rPr>
              <w:t>Н6  (≥60 %)</w:t>
            </w:r>
            <w:r w:rsidRPr="00F00EB0">
              <w:rPr>
                <w:rFonts w:ascii="Times New Roman" w:eastAsia="Times New Roman" w:hAnsi="Times New Roman" w:cs="Times New Roman"/>
                <w:color w:val="000000" w:themeColor="text1"/>
                <w:sz w:val="24"/>
                <w:szCs w:val="24"/>
                <w:vertAlign w:val="superscript"/>
                <w:lang w:val="uk-UA" w:eastAsia="ru-RU"/>
              </w:rPr>
              <w:t>2</w:t>
            </w:r>
          </w:p>
        </w:tc>
        <w:tc>
          <w:tcPr>
            <w:tcW w:w="545" w:type="pct"/>
            <w:tcBorders>
              <w:top w:val="nil"/>
              <w:left w:val="nil"/>
              <w:bottom w:val="single" w:sz="4" w:space="0" w:color="auto"/>
              <w:right w:val="single" w:sz="4" w:space="0" w:color="auto"/>
            </w:tcBorders>
            <w:shd w:val="clear" w:color="auto" w:fill="auto"/>
            <w:noWrap/>
            <w:vAlign w:val="center"/>
          </w:tcPr>
          <w:p w14:paraId="52020F5B"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92,87</w:t>
            </w:r>
          </w:p>
        </w:tc>
        <w:tc>
          <w:tcPr>
            <w:tcW w:w="544" w:type="pct"/>
            <w:tcBorders>
              <w:top w:val="nil"/>
              <w:left w:val="nil"/>
              <w:bottom w:val="single" w:sz="4" w:space="0" w:color="auto"/>
              <w:right w:val="single" w:sz="4" w:space="0" w:color="auto"/>
            </w:tcBorders>
            <w:shd w:val="clear" w:color="auto" w:fill="auto"/>
            <w:noWrap/>
            <w:vAlign w:val="center"/>
          </w:tcPr>
          <w:p w14:paraId="3413FF55"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92,09</w:t>
            </w:r>
          </w:p>
        </w:tc>
        <w:tc>
          <w:tcPr>
            <w:tcW w:w="545" w:type="pct"/>
            <w:tcBorders>
              <w:top w:val="nil"/>
              <w:left w:val="nil"/>
              <w:bottom w:val="single" w:sz="4" w:space="0" w:color="auto"/>
              <w:right w:val="single" w:sz="4" w:space="0" w:color="auto"/>
            </w:tcBorders>
            <w:vAlign w:val="center"/>
          </w:tcPr>
          <w:p w14:paraId="7E374195"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98,37</w:t>
            </w:r>
          </w:p>
        </w:tc>
        <w:tc>
          <w:tcPr>
            <w:tcW w:w="544" w:type="pct"/>
            <w:tcBorders>
              <w:top w:val="nil"/>
              <w:left w:val="nil"/>
              <w:bottom w:val="single" w:sz="4" w:space="0" w:color="auto"/>
              <w:right w:val="single" w:sz="4" w:space="0" w:color="auto"/>
            </w:tcBorders>
            <w:vAlign w:val="center"/>
          </w:tcPr>
          <w:p w14:paraId="28DBEBF0"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93,52</w:t>
            </w:r>
          </w:p>
        </w:tc>
        <w:tc>
          <w:tcPr>
            <w:tcW w:w="544" w:type="pct"/>
            <w:tcBorders>
              <w:top w:val="nil"/>
              <w:left w:val="nil"/>
              <w:bottom w:val="single" w:sz="4" w:space="0" w:color="auto"/>
              <w:right w:val="single" w:sz="4" w:space="0" w:color="auto"/>
            </w:tcBorders>
            <w:vAlign w:val="center"/>
          </w:tcPr>
          <w:p w14:paraId="17F724F1"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17,61</w:t>
            </w:r>
          </w:p>
        </w:tc>
        <w:tc>
          <w:tcPr>
            <w:tcW w:w="544" w:type="pct"/>
            <w:tcBorders>
              <w:top w:val="nil"/>
              <w:left w:val="nil"/>
              <w:bottom w:val="single" w:sz="4" w:space="0" w:color="auto"/>
              <w:right w:val="single" w:sz="4" w:space="0" w:color="auto"/>
            </w:tcBorders>
            <w:vAlign w:val="center"/>
          </w:tcPr>
          <w:p w14:paraId="7F50E15A"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19,14</w:t>
            </w:r>
          </w:p>
        </w:tc>
        <w:tc>
          <w:tcPr>
            <w:tcW w:w="545" w:type="pct"/>
            <w:tcBorders>
              <w:top w:val="nil"/>
              <w:left w:val="nil"/>
              <w:bottom w:val="single" w:sz="4" w:space="0" w:color="auto"/>
              <w:right w:val="single" w:sz="4" w:space="0" w:color="auto"/>
            </w:tcBorders>
            <w:vAlign w:val="center"/>
          </w:tcPr>
          <w:p w14:paraId="5CE2358D"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89,13</w:t>
            </w:r>
          </w:p>
        </w:tc>
        <w:tc>
          <w:tcPr>
            <w:tcW w:w="526" w:type="pct"/>
            <w:tcBorders>
              <w:top w:val="nil"/>
              <w:left w:val="nil"/>
              <w:bottom w:val="single" w:sz="4" w:space="0" w:color="auto"/>
              <w:right w:val="single" w:sz="4" w:space="0" w:color="auto"/>
            </w:tcBorders>
            <w:vAlign w:val="center"/>
          </w:tcPr>
          <w:p w14:paraId="6D2D45CD"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w:t>
            </w:r>
          </w:p>
        </w:tc>
      </w:tr>
      <w:tr w:rsidR="009515BC" w:rsidRPr="00F00EB0" w14:paraId="34712EEC" w14:textId="77777777" w:rsidTr="0021593D">
        <w:trPr>
          <w:trHeight w:val="300"/>
        </w:trPr>
        <w:tc>
          <w:tcPr>
            <w:tcW w:w="664" w:type="pct"/>
            <w:tcBorders>
              <w:top w:val="nil"/>
              <w:left w:val="single" w:sz="4" w:space="0" w:color="auto"/>
              <w:bottom w:val="single" w:sz="4" w:space="0" w:color="auto"/>
              <w:right w:val="single" w:sz="4" w:space="0" w:color="auto"/>
            </w:tcBorders>
            <w:shd w:val="clear" w:color="auto" w:fill="auto"/>
            <w:noWrap/>
            <w:vAlign w:val="center"/>
            <w:hideMark/>
          </w:tcPr>
          <w:p w14:paraId="13624B3A" w14:textId="77777777" w:rsidR="009515BC" w:rsidRPr="00F00EB0" w:rsidRDefault="009515BC" w:rsidP="0021593D">
            <w:pPr>
              <w:spacing w:after="0" w:line="240" w:lineRule="auto"/>
              <w:ind w:left="-113" w:right="-170"/>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Н7 (≤25 %)</w:t>
            </w:r>
          </w:p>
        </w:tc>
        <w:tc>
          <w:tcPr>
            <w:tcW w:w="545" w:type="pct"/>
            <w:tcBorders>
              <w:top w:val="nil"/>
              <w:left w:val="nil"/>
              <w:bottom w:val="single" w:sz="4" w:space="0" w:color="auto"/>
              <w:right w:val="single" w:sz="4" w:space="0" w:color="auto"/>
            </w:tcBorders>
            <w:shd w:val="clear" w:color="auto" w:fill="auto"/>
            <w:noWrap/>
            <w:vAlign w:val="center"/>
          </w:tcPr>
          <w:p w14:paraId="3CECA259"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22,78</w:t>
            </w:r>
          </w:p>
        </w:tc>
        <w:tc>
          <w:tcPr>
            <w:tcW w:w="544" w:type="pct"/>
            <w:tcBorders>
              <w:top w:val="nil"/>
              <w:left w:val="nil"/>
              <w:bottom w:val="single" w:sz="4" w:space="0" w:color="auto"/>
              <w:right w:val="single" w:sz="4" w:space="0" w:color="auto"/>
            </w:tcBorders>
            <w:shd w:val="clear" w:color="auto" w:fill="auto"/>
            <w:noWrap/>
            <w:vAlign w:val="center"/>
          </w:tcPr>
          <w:p w14:paraId="5D1D0599"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21,48</w:t>
            </w:r>
          </w:p>
        </w:tc>
        <w:tc>
          <w:tcPr>
            <w:tcW w:w="545" w:type="pct"/>
            <w:tcBorders>
              <w:top w:val="nil"/>
              <w:left w:val="nil"/>
              <w:bottom w:val="single" w:sz="4" w:space="0" w:color="auto"/>
              <w:right w:val="single" w:sz="4" w:space="0" w:color="auto"/>
            </w:tcBorders>
            <w:vAlign w:val="center"/>
          </w:tcPr>
          <w:p w14:paraId="3D6CB38C"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20,29</w:t>
            </w:r>
          </w:p>
        </w:tc>
        <w:tc>
          <w:tcPr>
            <w:tcW w:w="544" w:type="pct"/>
            <w:tcBorders>
              <w:top w:val="nil"/>
              <w:left w:val="nil"/>
              <w:bottom w:val="single" w:sz="4" w:space="0" w:color="auto"/>
              <w:right w:val="single" w:sz="4" w:space="0" w:color="auto"/>
            </w:tcBorders>
            <w:vAlign w:val="center"/>
          </w:tcPr>
          <w:p w14:paraId="0E30CA18"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19,83</w:t>
            </w:r>
          </w:p>
        </w:tc>
        <w:tc>
          <w:tcPr>
            <w:tcW w:w="544" w:type="pct"/>
            <w:tcBorders>
              <w:top w:val="nil"/>
              <w:left w:val="nil"/>
              <w:bottom w:val="single" w:sz="4" w:space="0" w:color="auto"/>
              <w:right w:val="single" w:sz="4" w:space="0" w:color="auto"/>
            </w:tcBorders>
            <w:vAlign w:val="center"/>
          </w:tcPr>
          <w:p w14:paraId="00C5B218"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105,00</w:t>
            </w:r>
          </w:p>
        </w:tc>
        <w:tc>
          <w:tcPr>
            <w:tcW w:w="544" w:type="pct"/>
            <w:tcBorders>
              <w:top w:val="nil"/>
              <w:left w:val="nil"/>
              <w:bottom w:val="single" w:sz="4" w:space="0" w:color="auto"/>
              <w:right w:val="single" w:sz="4" w:space="0" w:color="auto"/>
            </w:tcBorders>
            <w:vAlign w:val="center"/>
          </w:tcPr>
          <w:p w14:paraId="3B4DFF1D"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87,39</w:t>
            </w:r>
          </w:p>
        </w:tc>
        <w:tc>
          <w:tcPr>
            <w:tcW w:w="545" w:type="pct"/>
            <w:tcBorders>
              <w:top w:val="nil"/>
              <w:left w:val="nil"/>
              <w:bottom w:val="single" w:sz="4" w:space="0" w:color="auto"/>
              <w:right w:val="single" w:sz="4" w:space="0" w:color="auto"/>
            </w:tcBorders>
            <w:vAlign w:val="center"/>
          </w:tcPr>
          <w:p w14:paraId="3A40BE73"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18,60</w:t>
            </w:r>
          </w:p>
        </w:tc>
        <w:tc>
          <w:tcPr>
            <w:tcW w:w="526" w:type="pct"/>
            <w:tcBorders>
              <w:top w:val="nil"/>
              <w:left w:val="nil"/>
              <w:bottom w:val="single" w:sz="4" w:space="0" w:color="auto"/>
              <w:right w:val="single" w:sz="4" w:space="0" w:color="auto"/>
            </w:tcBorders>
            <w:vAlign w:val="center"/>
          </w:tcPr>
          <w:p w14:paraId="60D70895"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17,80</w:t>
            </w:r>
          </w:p>
        </w:tc>
      </w:tr>
      <w:tr w:rsidR="009515BC" w:rsidRPr="00F00EB0" w14:paraId="1E0F9631" w14:textId="77777777" w:rsidTr="0021593D">
        <w:trPr>
          <w:trHeight w:val="300"/>
        </w:trPr>
        <w:tc>
          <w:tcPr>
            <w:tcW w:w="664" w:type="pct"/>
            <w:tcBorders>
              <w:top w:val="nil"/>
              <w:left w:val="single" w:sz="4" w:space="0" w:color="auto"/>
              <w:bottom w:val="single" w:sz="4" w:space="0" w:color="auto"/>
              <w:right w:val="single" w:sz="4" w:space="0" w:color="auto"/>
            </w:tcBorders>
            <w:shd w:val="clear" w:color="auto" w:fill="auto"/>
            <w:noWrap/>
            <w:vAlign w:val="center"/>
            <w:hideMark/>
          </w:tcPr>
          <w:p w14:paraId="7521D1B2" w14:textId="77777777" w:rsidR="009515BC" w:rsidRPr="00F00EB0" w:rsidRDefault="009515BC" w:rsidP="0021593D">
            <w:pPr>
              <w:spacing w:after="0" w:line="240" w:lineRule="auto"/>
              <w:ind w:left="-113" w:right="-170"/>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Н8  (≤8-кратного розміру РК)</w:t>
            </w:r>
          </w:p>
        </w:tc>
        <w:tc>
          <w:tcPr>
            <w:tcW w:w="545" w:type="pct"/>
            <w:tcBorders>
              <w:top w:val="nil"/>
              <w:left w:val="nil"/>
              <w:bottom w:val="single" w:sz="4" w:space="0" w:color="auto"/>
              <w:right w:val="single" w:sz="4" w:space="0" w:color="auto"/>
            </w:tcBorders>
            <w:shd w:val="clear" w:color="auto" w:fill="auto"/>
            <w:noWrap/>
            <w:vAlign w:val="center"/>
          </w:tcPr>
          <w:p w14:paraId="2D76A22F"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364,14</w:t>
            </w:r>
          </w:p>
        </w:tc>
        <w:tc>
          <w:tcPr>
            <w:tcW w:w="544" w:type="pct"/>
            <w:tcBorders>
              <w:top w:val="nil"/>
              <w:left w:val="nil"/>
              <w:bottom w:val="single" w:sz="4" w:space="0" w:color="auto"/>
              <w:right w:val="single" w:sz="4" w:space="0" w:color="auto"/>
            </w:tcBorders>
            <w:shd w:val="clear" w:color="auto" w:fill="auto"/>
            <w:noWrap/>
            <w:vAlign w:val="center"/>
          </w:tcPr>
          <w:p w14:paraId="3B38BD1E"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308,27</w:t>
            </w:r>
          </w:p>
        </w:tc>
        <w:tc>
          <w:tcPr>
            <w:tcW w:w="545" w:type="pct"/>
            <w:tcBorders>
              <w:top w:val="nil"/>
              <w:left w:val="nil"/>
              <w:bottom w:val="single" w:sz="4" w:space="0" w:color="auto"/>
              <w:right w:val="single" w:sz="4" w:space="0" w:color="auto"/>
            </w:tcBorders>
            <w:vAlign w:val="center"/>
          </w:tcPr>
          <w:p w14:paraId="0ABBEBC9"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208,31</w:t>
            </w:r>
          </w:p>
        </w:tc>
        <w:tc>
          <w:tcPr>
            <w:tcW w:w="544" w:type="pct"/>
            <w:tcBorders>
              <w:top w:val="nil"/>
              <w:left w:val="nil"/>
              <w:bottom w:val="single" w:sz="4" w:space="0" w:color="auto"/>
              <w:right w:val="single" w:sz="4" w:space="0" w:color="auto"/>
            </w:tcBorders>
            <w:vAlign w:val="center"/>
          </w:tcPr>
          <w:p w14:paraId="66514739"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176,23</w:t>
            </w:r>
          </w:p>
        </w:tc>
        <w:tc>
          <w:tcPr>
            <w:tcW w:w="544" w:type="pct"/>
            <w:tcBorders>
              <w:top w:val="nil"/>
              <w:left w:val="nil"/>
              <w:bottom w:val="single" w:sz="4" w:space="0" w:color="auto"/>
              <w:right w:val="single" w:sz="4" w:space="0" w:color="auto"/>
            </w:tcBorders>
            <w:vAlign w:val="center"/>
          </w:tcPr>
          <w:p w14:paraId="5726414E"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7,02</w:t>
            </w:r>
          </w:p>
        </w:tc>
        <w:tc>
          <w:tcPr>
            <w:tcW w:w="544" w:type="pct"/>
            <w:tcBorders>
              <w:top w:val="nil"/>
              <w:left w:val="nil"/>
              <w:bottom w:val="single" w:sz="4" w:space="0" w:color="auto"/>
              <w:right w:val="single" w:sz="4" w:space="0" w:color="auto"/>
            </w:tcBorders>
            <w:vAlign w:val="center"/>
          </w:tcPr>
          <w:p w14:paraId="71A420E1"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4,10</w:t>
            </w:r>
          </w:p>
        </w:tc>
        <w:tc>
          <w:tcPr>
            <w:tcW w:w="545" w:type="pct"/>
            <w:tcBorders>
              <w:top w:val="nil"/>
              <w:left w:val="nil"/>
              <w:bottom w:val="single" w:sz="4" w:space="0" w:color="auto"/>
              <w:right w:val="single" w:sz="4" w:space="0" w:color="auto"/>
            </w:tcBorders>
            <w:vAlign w:val="center"/>
          </w:tcPr>
          <w:p w14:paraId="408E45E2"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72,35</w:t>
            </w:r>
          </w:p>
        </w:tc>
        <w:tc>
          <w:tcPr>
            <w:tcW w:w="526" w:type="pct"/>
            <w:tcBorders>
              <w:top w:val="nil"/>
              <w:left w:val="nil"/>
              <w:bottom w:val="single" w:sz="4" w:space="0" w:color="auto"/>
              <w:right w:val="single" w:sz="4" w:space="0" w:color="auto"/>
            </w:tcBorders>
            <w:vAlign w:val="center"/>
          </w:tcPr>
          <w:p w14:paraId="2D1BC98B"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86,33</w:t>
            </w:r>
          </w:p>
        </w:tc>
      </w:tr>
      <w:tr w:rsidR="009515BC" w:rsidRPr="00F00EB0" w14:paraId="68FFB5F7" w14:textId="77777777" w:rsidTr="0021593D">
        <w:trPr>
          <w:trHeight w:val="300"/>
        </w:trPr>
        <w:tc>
          <w:tcPr>
            <w:tcW w:w="664" w:type="pct"/>
            <w:tcBorders>
              <w:top w:val="nil"/>
              <w:left w:val="single" w:sz="4" w:space="0" w:color="auto"/>
              <w:bottom w:val="single" w:sz="4" w:space="0" w:color="auto"/>
              <w:right w:val="single" w:sz="4" w:space="0" w:color="auto"/>
            </w:tcBorders>
            <w:shd w:val="clear" w:color="auto" w:fill="auto"/>
            <w:noWrap/>
            <w:vAlign w:val="center"/>
            <w:hideMark/>
          </w:tcPr>
          <w:p w14:paraId="57018E39" w14:textId="77777777" w:rsidR="009515BC" w:rsidRPr="00F00EB0" w:rsidRDefault="009515BC" w:rsidP="0021593D">
            <w:pPr>
              <w:spacing w:after="0" w:line="240" w:lineRule="auto"/>
              <w:ind w:left="-113" w:right="-170"/>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Н9  (≤25 %)</w:t>
            </w:r>
          </w:p>
        </w:tc>
        <w:tc>
          <w:tcPr>
            <w:tcW w:w="545" w:type="pct"/>
            <w:tcBorders>
              <w:top w:val="nil"/>
              <w:left w:val="nil"/>
              <w:bottom w:val="single" w:sz="4" w:space="0" w:color="auto"/>
              <w:right w:val="single" w:sz="4" w:space="0" w:color="auto"/>
            </w:tcBorders>
            <w:shd w:val="clear" w:color="auto" w:fill="auto"/>
            <w:noWrap/>
            <w:vAlign w:val="center"/>
          </w:tcPr>
          <w:p w14:paraId="71B9F1ED"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31,19</w:t>
            </w:r>
          </w:p>
        </w:tc>
        <w:tc>
          <w:tcPr>
            <w:tcW w:w="544" w:type="pct"/>
            <w:tcBorders>
              <w:top w:val="nil"/>
              <w:left w:val="nil"/>
              <w:bottom w:val="single" w:sz="4" w:space="0" w:color="auto"/>
              <w:right w:val="single" w:sz="4" w:space="0" w:color="auto"/>
            </w:tcBorders>
            <w:shd w:val="clear" w:color="auto" w:fill="auto"/>
            <w:noWrap/>
            <w:vAlign w:val="center"/>
          </w:tcPr>
          <w:p w14:paraId="05830D68"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36,72</w:t>
            </w:r>
          </w:p>
        </w:tc>
        <w:tc>
          <w:tcPr>
            <w:tcW w:w="545" w:type="pct"/>
            <w:tcBorders>
              <w:top w:val="nil"/>
              <w:left w:val="nil"/>
              <w:bottom w:val="single" w:sz="4" w:space="0" w:color="auto"/>
              <w:right w:val="single" w:sz="4" w:space="0" w:color="auto"/>
            </w:tcBorders>
            <w:vAlign w:val="center"/>
          </w:tcPr>
          <w:p w14:paraId="0FA60F73"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17,89</w:t>
            </w:r>
          </w:p>
        </w:tc>
        <w:tc>
          <w:tcPr>
            <w:tcW w:w="544" w:type="pct"/>
            <w:tcBorders>
              <w:top w:val="nil"/>
              <w:left w:val="nil"/>
              <w:bottom w:val="single" w:sz="4" w:space="0" w:color="auto"/>
              <w:right w:val="single" w:sz="4" w:space="0" w:color="auto"/>
            </w:tcBorders>
            <w:vAlign w:val="center"/>
          </w:tcPr>
          <w:p w14:paraId="70AB58E2"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10,41</w:t>
            </w:r>
          </w:p>
        </w:tc>
        <w:tc>
          <w:tcPr>
            <w:tcW w:w="544" w:type="pct"/>
            <w:tcBorders>
              <w:top w:val="nil"/>
              <w:left w:val="nil"/>
              <w:bottom w:val="single" w:sz="4" w:space="0" w:color="auto"/>
              <w:right w:val="single" w:sz="4" w:space="0" w:color="auto"/>
            </w:tcBorders>
            <w:vAlign w:val="center"/>
          </w:tcPr>
          <w:p w14:paraId="787DD973"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0,0002</w:t>
            </w:r>
          </w:p>
        </w:tc>
        <w:tc>
          <w:tcPr>
            <w:tcW w:w="544" w:type="pct"/>
            <w:tcBorders>
              <w:top w:val="nil"/>
              <w:left w:val="nil"/>
              <w:bottom w:val="single" w:sz="4" w:space="0" w:color="auto"/>
              <w:right w:val="single" w:sz="4" w:space="0" w:color="auto"/>
            </w:tcBorders>
            <w:vAlign w:val="center"/>
          </w:tcPr>
          <w:p w14:paraId="0F0BFAA8"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0,0002</w:t>
            </w:r>
          </w:p>
        </w:tc>
        <w:tc>
          <w:tcPr>
            <w:tcW w:w="545" w:type="pct"/>
            <w:tcBorders>
              <w:top w:val="nil"/>
              <w:left w:val="nil"/>
              <w:bottom w:val="single" w:sz="4" w:space="0" w:color="auto"/>
              <w:right w:val="single" w:sz="4" w:space="0" w:color="auto"/>
            </w:tcBorders>
            <w:vAlign w:val="center"/>
          </w:tcPr>
          <w:p w14:paraId="599BA578"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3,71</w:t>
            </w:r>
          </w:p>
        </w:tc>
        <w:tc>
          <w:tcPr>
            <w:tcW w:w="526" w:type="pct"/>
            <w:tcBorders>
              <w:top w:val="nil"/>
              <w:left w:val="nil"/>
              <w:bottom w:val="single" w:sz="4" w:space="0" w:color="auto"/>
              <w:right w:val="single" w:sz="4" w:space="0" w:color="auto"/>
            </w:tcBorders>
            <w:vAlign w:val="center"/>
          </w:tcPr>
          <w:p w14:paraId="4327CD67"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2,81</w:t>
            </w:r>
          </w:p>
        </w:tc>
      </w:tr>
      <w:tr w:rsidR="009515BC" w:rsidRPr="00F00EB0" w14:paraId="1B39A467" w14:textId="77777777" w:rsidTr="0021593D">
        <w:trPr>
          <w:trHeight w:val="300"/>
        </w:trPr>
        <w:tc>
          <w:tcPr>
            <w:tcW w:w="664" w:type="pct"/>
            <w:tcBorders>
              <w:top w:val="nil"/>
              <w:left w:val="single" w:sz="4" w:space="0" w:color="auto"/>
              <w:bottom w:val="single" w:sz="4" w:space="0" w:color="auto"/>
              <w:right w:val="single" w:sz="4" w:space="0" w:color="auto"/>
            </w:tcBorders>
            <w:shd w:val="clear" w:color="auto" w:fill="auto"/>
            <w:noWrap/>
            <w:vAlign w:val="center"/>
            <w:hideMark/>
          </w:tcPr>
          <w:p w14:paraId="34F4C4DC" w14:textId="77777777" w:rsidR="009515BC" w:rsidRPr="00F00EB0" w:rsidRDefault="009515BC" w:rsidP="0021593D">
            <w:pPr>
              <w:spacing w:after="0" w:line="240" w:lineRule="auto"/>
              <w:ind w:left="-113" w:right="-170"/>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Н10  (≤15 %)</w:t>
            </w:r>
          </w:p>
        </w:tc>
        <w:tc>
          <w:tcPr>
            <w:tcW w:w="545" w:type="pct"/>
            <w:tcBorders>
              <w:top w:val="nil"/>
              <w:left w:val="nil"/>
              <w:bottom w:val="single" w:sz="4" w:space="0" w:color="auto"/>
              <w:right w:val="single" w:sz="4" w:space="0" w:color="auto"/>
            </w:tcBorders>
            <w:shd w:val="clear" w:color="auto" w:fill="auto"/>
            <w:noWrap/>
            <w:vAlign w:val="center"/>
          </w:tcPr>
          <w:p w14:paraId="2D30F6A0"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0,002</w:t>
            </w:r>
          </w:p>
        </w:tc>
        <w:tc>
          <w:tcPr>
            <w:tcW w:w="544" w:type="pct"/>
            <w:tcBorders>
              <w:top w:val="nil"/>
              <w:left w:val="nil"/>
              <w:bottom w:val="single" w:sz="4" w:space="0" w:color="auto"/>
              <w:right w:val="single" w:sz="4" w:space="0" w:color="auto"/>
            </w:tcBorders>
            <w:shd w:val="clear" w:color="auto" w:fill="auto"/>
            <w:noWrap/>
            <w:vAlign w:val="center"/>
          </w:tcPr>
          <w:p w14:paraId="4A7235A3"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0,001</w:t>
            </w:r>
          </w:p>
        </w:tc>
        <w:tc>
          <w:tcPr>
            <w:tcW w:w="545" w:type="pct"/>
            <w:tcBorders>
              <w:top w:val="nil"/>
              <w:left w:val="nil"/>
              <w:bottom w:val="single" w:sz="4" w:space="0" w:color="auto"/>
              <w:right w:val="single" w:sz="4" w:space="0" w:color="auto"/>
            </w:tcBorders>
            <w:vAlign w:val="center"/>
          </w:tcPr>
          <w:p w14:paraId="1A807C11"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0,0001</w:t>
            </w:r>
          </w:p>
        </w:tc>
        <w:tc>
          <w:tcPr>
            <w:tcW w:w="544" w:type="pct"/>
            <w:tcBorders>
              <w:top w:val="nil"/>
              <w:left w:val="nil"/>
              <w:bottom w:val="single" w:sz="4" w:space="0" w:color="auto"/>
              <w:right w:val="single" w:sz="4" w:space="0" w:color="auto"/>
            </w:tcBorders>
            <w:vAlign w:val="center"/>
          </w:tcPr>
          <w:p w14:paraId="4E246773"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0,0009</w:t>
            </w:r>
          </w:p>
        </w:tc>
        <w:tc>
          <w:tcPr>
            <w:tcW w:w="544" w:type="pct"/>
            <w:tcBorders>
              <w:top w:val="nil"/>
              <w:left w:val="nil"/>
              <w:bottom w:val="single" w:sz="4" w:space="0" w:color="auto"/>
              <w:right w:val="single" w:sz="4" w:space="0" w:color="auto"/>
            </w:tcBorders>
            <w:vAlign w:val="center"/>
          </w:tcPr>
          <w:p w14:paraId="65A1875C"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0,13</w:t>
            </w:r>
          </w:p>
        </w:tc>
        <w:tc>
          <w:tcPr>
            <w:tcW w:w="544" w:type="pct"/>
            <w:tcBorders>
              <w:top w:val="nil"/>
              <w:left w:val="nil"/>
              <w:bottom w:val="single" w:sz="4" w:space="0" w:color="auto"/>
              <w:right w:val="single" w:sz="4" w:space="0" w:color="auto"/>
            </w:tcBorders>
            <w:vAlign w:val="center"/>
          </w:tcPr>
          <w:p w14:paraId="00D2B36F"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0,10</w:t>
            </w:r>
          </w:p>
        </w:tc>
        <w:tc>
          <w:tcPr>
            <w:tcW w:w="545" w:type="pct"/>
            <w:tcBorders>
              <w:top w:val="nil"/>
              <w:left w:val="nil"/>
              <w:bottom w:val="single" w:sz="4" w:space="0" w:color="auto"/>
              <w:right w:val="single" w:sz="4" w:space="0" w:color="auto"/>
            </w:tcBorders>
            <w:vAlign w:val="center"/>
          </w:tcPr>
          <w:p w14:paraId="2E3A6917"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0,0005</w:t>
            </w:r>
          </w:p>
        </w:tc>
        <w:tc>
          <w:tcPr>
            <w:tcW w:w="526" w:type="pct"/>
            <w:tcBorders>
              <w:top w:val="nil"/>
              <w:left w:val="nil"/>
              <w:bottom w:val="single" w:sz="4" w:space="0" w:color="auto"/>
              <w:right w:val="single" w:sz="4" w:space="0" w:color="auto"/>
            </w:tcBorders>
            <w:vAlign w:val="center"/>
          </w:tcPr>
          <w:p w14:paraId="11DE60F0"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0,0000</w:t>
            </w:r>
          </w:p>
        </w:tc>
      </w:tr>
      <w:tr w:rsidR="009515BC" w:rsidRPr="00F00EB0" w14:paraId="50F8FD2E" w14:textId="77777777" w:rsidTr="0021593D">
        <w:trPr>
          <w:trHeight w:val="300"/>
        </w:trPr>
        <w:tc>
          <w:tcPr>
            <w:tcW w:w="664" w:type="pct"/>
            <w:tcBorders>
              <w:top w:val="nil"/>
              <w:left w:val="single" w:sz="4" w:space="0" w:color="auto"/>
              <w:bottom w:val="single" w:sz="4" w:space="0" w:color="auto"/>
              <w:right w:val="single" w:sz="4" w:space="0" w:color="auto"/>
            </w:tcBorders>
            <w:shd w:val="clear" w:color="auto" w:fill="auto"/>
            <w:noWrap/>
            <w:vAlign w:val="center"/>
            <w:hideMark/>
          </w:tcPr>
          <w:p w14:paraId="0D64D102" w14:textId="77777777" w:rsidR="009515BC" w:rsidRPr="00F00EB0" w:rsidRDefault="009515BC" w:rsidP="0021593D">
            <w:pPr>
              <w:spacing w:after="0" w:line="240" w:lineRule="auto"/>
              <w:ind w:left="-113" w:right="-170"/>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Н11  (≤60%)</w:t>
            </w:r>
          </w:p>
        </w:tc>
        <w:tc>
          <w:tcPr>
            <w:tcW w:w="545" w:type="pct"/>
            <w:tcBorders>
              <w:top w:val="nil"/>
              <w:left w:val="nil"/>
              <w:bottom w:val="single" w:sz="4" w:space="0" w:color="auto"/>
              <w:right w:val="single" w:sz="4" w:space="0" w:color="auto"/>
            </w:tcBorders>
            <w:shd w:val="clear" w:color="auto" w:fill="auto"/>
            <w:noWrap/>
            <w:vAlign w:val="center"/>
          </w:tcPr>
          <w:p w14:paraId="6FB303CA"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1,10</w:t>
            </w:r>
          </w:p>
        </w:tc>
        <w:tc>
          <w:tcPr>
            <w:tcW w:w="544" w:type="pct"/>
            <w:tcBorders>
              <w:top w:val="nil"/>
              <w:left w:val="nil"/>
              <w:bottom w:val="single" w:sz="4" w:space="0" w:color="auto"/>
              <w:right w:val="single" w:sz="4" w:space="0" w:color="auto"/>
            </w:tcBorders>
            <w:shd w:val="clear" w:color="auto" w:fill="auto"/>
            <w:noWrap/>
            <w:vAlign w:val="center"/>
          </w:tcPr>
          <w:p w14:paraId="41A55E92"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0,60</w:t>
            </w:r>
          </w:p>
        </w:tc>
        <w:tc>
          <w:tcPr>
            <w:tcW w:w="545" w:type="pct"/>
            <w:tcBorders>
              <w:top w:val="nil"/>
              <w:left w:val="nil"/>
              <w:bottom w:val="single" w:sz="4" w:space="0" w:color="auto"/>
              <w:right w:val="single" w:sz="4" w:space="0" w:color="auto"/>
            </w:tcBorders>
            <w:vAlign w:val="center"/>
          </w:tcPr>
          <w:p w14:paraId="0029E4C7"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0,22</w:t>
            </w:r>
          </w:p>
        </w:tc>
        <w:tc>
          <w:tcPr>
            <w:tcW w:w="544" w:type="pct"/>
            <w:tcBorders>
              <w:top w:val="nil"/>
              <w:left w:val="nil"/>
              <w:bottom w:val="single" w:sz="4" w:space="0" w:color="auto"/>
              <w:right w:val="single" w:sz="4" w:space="0" w:color="auto"/>
            </w:tcBorders>
            <w:vAlign w:val="center"/>
          </w:tcPr>
          <w:p w14:paraId="623A62AF"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0,15</w:t>
            </w:r>
          </w:p>
        </w:tc>
        <w:tc>
          <w:tcPr>
            <w:tcW w:w="544" w:type="pct"/>
            <w:tcBorders>
              <w:top w:val="nil"/>
              <w:left w:val="nil"/>
              <w:bottom w:val="single" w:sz="4" w:space="0" w:color="auto"/>
              <w:right w:val="single" w:sz="4" w:space="0" w:color="auto"/>
            </w:tcBorders>
            <w:vAlign w:val="center"/>
          </w:tcPr>
          <w:p w14:paraId="74E8BCD9"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94,35</w:t>
            </w:r>
          </w:p>
        </w:tc>
        <w:tc>
          <w:tcPr>
            <w:tcW w:w="544" w:type="pct"/>
            <w:tcBorders>
              <w:top w:val="nil"/>
              <w:left w:val="nil"/>
              <w:bottom w:val="single" w:sz="4" w:space="0" w:color="auto"/>
              <w:right w:val="single" w:sz="4" w:space="0" w:color="auto"/>
            </w:tcBorders>
            <w:vAlign w:val="center"/>
          </w:tcPr>
          <w:p w14:paraId="1FA1C0ED"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86,82</w:t>
            </w:r>
          </w:p>
        </w:tc>
        <w:tc>
          <w:tcPr>
            <w:tcW w:w="545" w:type="pct"/>
            <w:tcBorders>
              <w:top w:val="nil"/>
              <w:left w:val="nil"/>
              <w:bottom w:val="single" w:sz="4" w:space="0" w:color="auto"/>
              <w:right w:val="single" w:sz="4" w:space="0" w:color="auto"/>
            </w:tcBorders>
            <w:vAlign w:val="center"/>
          </w:tcPr>
          <w:p w14:paraId="1B7313C0"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0,17</w:t>
            </w:r>
          </w:p>
        </w:tc>
        <w:tc>
          <w:tcPr>
            <w:tcW w:w="526" w:type="pct"/>
            <w:tcBorders>
              <w:top w:val="nil"/>
              <w:left w:val="nil"/>
              <w:bottom w:val="single" w:sz="4" w:space="0" w:color="auto"/>
              <w:right w:val="single" w:sz="4" w:space="0" w:color="auto"/>
            </w:tcBorders>
            <w:vAlign w:val="center"/>
          </w:tcPr>
          <w:p w14:paraId="28C96373" w14:textId="77777777" w:rsidR="009515BC" w:rsidRPr="00F00EB0" w:rsidRDefault="009515BC" w:rsidP="0021593D">
            <w:pPr>
              <w:spacing w:after="0" w:line="240" w:lineRule="auto"/>
              <w:ind w:left="-113"/>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0,02</w:t>
            </w:r>
          </w:p>
        </w:tc>
      </w:tr>
    </w:tbl>
    <w:p w14:paraId="7B15B5B5" w14:textId="77777777" w:rsidR="009515BC" w:rsidRPr="00F00EB0" w:rsidRDefault="009515BC" w:rsidP="009515BC">
      <w:pPr>
        <w:spacing w:after="0" w:line="240" w:lineRule="auto"/>
        <w:jc w:val="both"/>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b/>
          <w:bCs/>
          <w:color w:val="000000" w:themeColor="text1"/>
          <w:sz w:val="24"/>
          <w:szCs w:val="24"/>
          <w:lang w:val="uk-UA" w:eastAsia="ru-RU"/>
        </w:rPr>
        <w:t xml:space="preserve">Примітка 1: </w:t>
      </w:r>
      <w:r w:rsidRPr="00F00EB0">
        <w:rPr>
          <w:rFonts w:ascii="Times New Roman" w:eastAsia="Calibri" w:hAnsi="Times New Roman" w:cs="Times New Roman"/>
          <w:color w:val="000000" w:themeColor="text1"/>
          <w:sz w:val="24"/>
          <w:szCs w:val="24"/>
          <w:lang w:val="uk-UA" w:eastAsia="ru-RU"/>
        </w:rPr>
        <w:t>розрахунок припинено на підставі Постанови НБУ № 102 від 01.08.2019</w:t>
      </w:r>
    </w:p>
    <w:p w14:paraId="0AE8E575" w14:textId="77777777" w:rsidR="009515BC" w:rsidRPr="00F00EB0" w:rsidRDefault="009515BC" w:rsidP="009515BC">
      <w:pPr>
        <w:spacing w:after="0" w:line="240" w:lineRule="auto"/>
        <w:jc w:val="both"/>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b/>
          <w:bCs/>
          <w:color w:val="000000" w:themeColor="text1"/>
          <w:sz w:val="24"/>
          <w:szCs w:val="24"/>
          <w:lang w:val="uk-UA" w:eastAsia="ru-RU"/>
        </w:rPr>
        <w:t>Примітка 2:</w:t>
      </w:r>
      <w:r w:rsidRPr="00F00EB0">
        <w:rPr>
          <w:rFonts w:ascii="Times New Roman" w:eastAsia="Calibri" w:hAnsi="Times New Roman" w:cs="Times New Roman"/>
          <w:color w:val="000000" w:themeColor="text1"/>
          <w:sz w:val="24"/>
          <w:szCs w:val="24"/>
          <w:lang w:val="uk-UA" w:eastAsia="ru-RU"/>
        </w:rPr>
        <w:t xml:space="preserve"> розрахунок припинено на підставі Постанови НБУ </w:t>
      </w:r>
      <w:hyperlink r:id="rId78" w:anchor="n6" w:tgtFrame="_blank" w:history="1">
        <w:r w:rsidRPr="00F00EB0">
          <w:rPr>
            <w:rFonts w:ascii="Times New Roman" w:eastAsia="Calibri" w:hAnsi="Times New Roman" w:cs="Times New Roman"/>
            <w:color w:val="000000" w:themeColor="text1"/>
            <w:sz w:val="24"/>
            <w:szCs w:val="24"/>
            <w:lang w:val="uk-UA" w:eastAsia="ru-RU"/>
          </w:rPr>
          <w:t>№ 59 від 23.03.2022</w:t>
        </w:r>
      </w:hyperlink>
    </w:p>
    <w:p w14:paraId="23B760FE" w14:textId="77777777" w:rsidR="009515BC" w:rsidRPr="00F00EB0" w:rsidRDefault="009515BC" w:rsidP="009515BC">
      <w:pPr>
        <w:spacing w:after="0" w:line="360" w:lineRule="auto"/>
        <w:jc w:val="both"/>
        <w:rPr>
          <w:rFonts w:ascii="Times New Roman" w:eastAsia="Calibri" w:hAnsi="Times New Roman" w:cs="Times New Roman"/>
          <w:color w:val="000000" w:themeColor="text1"/>
          <w:sz w:val="28"/>
          <w:szCs w:val="28"/>
          <w:lang w:val="uk-UA" w:eastAsia="ru-RU"/>
        </w:rPr>
      </w:pPr>
    </w:p>
    <w:p w14:paraId="4D10BF8C"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За період аналізу значення нормативів капіталу Н1, Н2 та Н3 зберігаються в межах встановленого рівня. Однак, у 2021 році відбулось незначне зменшення їх значень як результат поглинання перших шоків, викликаних війною. Відповідно, можна зробити висновок, що в поточний момент банки України мають достатні капітальні резерви для покриття можливих втрат від реалізації кредитного ризику, </w:t>
      </w:r>
      <w:r w:rsidRPr="00F00EB0">
        <w:rPr>
          <w:rFonts w:ascii="Times New Roman" w:eastAsia="Calibri" w:hAnsi="Times New Roman" w:cs="Times New Roman"/>
          <w:color w:val="000000" w:themeColor="text1"/>
          <w:sz w:val="28"/>
          <w:szCs w:val="28"/>
          <w:lang w:val="uk-UA" w:eastAsia="ru-RU"/>
        </w:rPr>
        <w:lastRenderedPageBreak/>
        <w:t xml:space="preserve">але в умовах подальшої невизначеності питання забезпеченості капіталом мають знаходитись під постійним контролем. </w:t>
      </w:r>
    </w:p>
    <w:p w14:paraId="16913E72"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Значення нормативів кредитного ризику протягом періоду аналізу коливаються в межах встановлених вимог. Значення нормативів Н8 та Н9 знаходяться значно нижче граничного рівня. Однак у 2022 році спостерігається збільшення нормативу Н7, що може сигналізувати про зростання кредитного ризику, що виникає внаслідок невиконання боржниками банку своїх зобов’язань.</w:t>
      </w:r>
    </w:p>
    <w:p w14:paraId="5D15540F"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Нормативи інвестування знаходяться на мінімально низькому рівні протягом періоду аналізу, відповідно, не створюють тиску на </w:t>
      </w: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С України.</w:t>
      </w:r>
    </w:p>
    <w:p w14:paraId="1646A994"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Це свідчить про те, що банки зберігають відповідність до вимог регулятора щодо обмежень в розмірі ризикованих показників. Під особливим контролем мають знаходитись показники достатності капіталу та кредитних ризиків як основних об’єктів забезпечення </w:t>
      </w: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С в умовах війни.</w:t>
      </w:r>
    </w:p>
    <w:p w14:paraId="2FE45C59"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В основі </w:t>
      </w: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С лежить достатність капіталу, динаміка показників яких представлена на рисунку 2.1.</w:t>
      </w:r>
    </w:p>
    <w:p w14:paraId="66B7840B"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p>
    <w:p w14:paraId="29517F4D" w14:textId="77777777" w:rsidR="009515BC" w:rsidRPr="00F00EB0" w:rsidRDefault="009515BC" w:rsidP="009515BC">
      <w:pPr>
        <w:spacing w:after="0" w:line="360" w:lineRule="auto"/>
        <w:jc w:val="both"/>
        <w:rPr>
          <w:rFonts w:ascii="Times New Roman" w:eastAsia="Calibri" w:hAnsi="Times New Roman" w:cs="Times New Roman"/>
          <w:color w:val="000000" w:themeColor="text1"/>
          <w:sz w:val="28"/>
          <w:szCs w:val="28"/>
          <w:lang w:val="uk-UA" w:eastAsia="ru-RU"/>
        </w:rPr>
      </w:pPr>
      <w:r w:rsidRPr="00F00EB0">
        <w:rPr>
          <w:rFonts w:ascii="Times New Roman" w:hAnsi="Times New Roman" w:cs="Times New Roman"/>
          <w:noProof/>
          <w:color w:val="000000" w:themeColor="text1"/>
          <w:lang w:eastAsia="ru-RU"/>
        </w:rPr>
        <w:drawing>
          <wp:inline distT="0" distB="0" distL="0" distR="0" wp14:anchorId="44B74988" wp14:editId="468CC45E">
            <wp:extent cx="6366076" cy="2974694"/>
            <wp:effectExtent l="0" t="0" r="0" b="0"/>
            <wp:docPr id="502" name="Диаграмма 502"/>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368D76A1" w14:textId="77777777" w:rsidR="009515BC" w:rsidRPr="00F00EB0" w:rsidRDefault="009515BC" w:rsidP="009515BC">
      <w:pPr>
        <w:spacing w:after="0" w:line="360" w:lineRule="auto"/>
        <w:jc w:val="center"/>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Рисунок 2.1 – Динаміка індикаторів достатності капіталу (методика МВФ) за 2014-2022 роки [складено автором на основі 62]</w:t>
      </w:r>
    </w:p>
    <w:p w14:paraId="6C0CC72B"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p>
    <w:p w14:paraId="41419DCE"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lastRenderedPageBreak/>
        <w:t xml:space="preserve">Як свідчать наведені дані, за період до початку 2021 року спостерігалося постійне зростання рівня достатності капіталу, що вказувало на позитивну динаміку в захисті банків від ризиків власними коштами. Саме накопичені капітальні резерви дозволили банкам України протистояти шокам, спричиненим повномасштабними військовими діями. Проте негативний вплив реалізації ризиків, насамперед кредитного та операційного, та зовнішнього середовища призвів до зниження рівня достатності капіталу та буде створювати тиск на її рівень у майбутньому. </w:t>
      </w:r>
    </w:p>
    <w:p w14:paraId="0D4FB1F2"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На підставі проведеного аналізу ми зробили наступний висновок: найбільш значущим фактором, що негативно впливає на достатність капіталу в банках України, є низька якість кредитного портфеля (рис. 2.2).</w:t>
      </w:r>
    </w:p>
    <w:p w14:paraId="456A36AE"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p>
    <w:p w14:paraId="16C079AB" w14:textId="77777777" w:rsidR="009515BC" w:rsidRPr="00F00EB0" w:rsidRDefault="009515BC" w:rsidP="009515BC">
      <w:pPr>
        <w:spacing w:line="360" w:lineRule="auto"/>
        <w:jc w:val="both"/>
        <w:rPr>
          <w:rFonts w:ascii="Times New Roman" w:hAnsi="Times New Roman" w:cs="Times New Roman"/>
          <w:noProof/>
          <w:color w:val="000000" w:themeColor="text1"/>
          <w:lang w:val="uk-UA"/>
        </w:rPr>
      </w:pPr>
      <w:r w:rsidRPr="00F00EB0">
        <w:rPr>
          <w:rFonts w:ascii="Times New Roman" w:hAnsi="Times New Roman" w:cs="Times New Roman"/>
          <w:noProof/>
          <w:color w:val="000000" w:themeColor="text1"/>
          <w:lang w:eastAsia="ru-RU"/>
        </w:rPr>
        <w:drawing>
          <wp:inline distT="0" distB="0" distL="0" distR="0" wp14:anchorId="21561B73" wp14:editId="7F67C152">
            <wp:extent cx="6410325" cy="3345084"/>
            <wp:effectExtent l="0" t="0" r="0" b="0"/>
            <wp:docPr id="554583935" name="Диаграмма 1">
              <a:extLst xmlns:a="http://schemas.openxmlformats.org/drawingml/2006/main">
                <a:ext uri="{FF2B5EF4-FFF2-40B4-BE49-F238E27FC236}">
                  <a16:creationId xmlns:a16="http://schemas.microsoft.com/office/drawing/2014/main" id="{B5C946C5-F9F3-BFE3-0B6F-D6389B5F65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71086165" w14:textId="77777777" w:rsidR="009515BC" w:rsidRPr="00F00EB0" w:rsidRDefault="009515BC" w:rsidP="009515BC">
      <w:pPr>
        <w:spacing w:after="0" w:line="360" w:lineRule="auto"/>
        <w:jc w:val="center"/>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Рисунок 2.2 – Динаміка частки недіючих кредитів банків Україні в розрізі суб’єктів кредитування, %, за 2018-2022 роки [складено автором на основі 63]</w:t>
      </w:r>
    </w:p>
    <w:p w14:paraId="698D5C72"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p>
    <w:p w14:paraId="6F206BE2"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Наведені дані свідчать, що найбільша частка недіючих кредитів в сегменті корпоративного кредитування (45,03 % у травні 2023 року) Відповідно, банкам необхідно активно вживати заходи для захисту від реалізації кредитного ризику насамперед реально оцінювати якість наданих кредитів та формувати резерви під </w:t>
      </w:r>
      <w:r w:rsidRPr="00F00EB0">
        <w:rPr>
          <w:rFonts w:ascii="Times New Roman" w:eastAsia="Calibri" w:hAnsi="Times New Roman" w:cs="Times New Roman"/>
          <w:color w:val="000000" w:themeColor="text1"/>
          <w:sz w:val="28"/>
          <w:szCs w:val="28"/>
          <w:lang w:val="uk-UA" w:eastAsia="ru-RU"/>
        </w:rPr>
        <w:lastRenderedPageBreak/>
        <w:t>втрати за ними. Водночас НБУ зазначає, що «…Банки повільно формують резерви за кредитами, особливо коли йдеться про корпоративний сегмент. Це пояснюється сподіваннями на відновлення бізнесу боржників». У сегменті кредитів фізичним особам спостерігається тенденція до зниження частки недіючих кредитів з 53,51 % у січні 2018 року до 31,61 % у травні 2023 року. Банки мають вживати заходи для зменшення цієї частки та запобігання зростанню недіючих кредитів.</w:t>
      </w:r>
    </w:p>
    <w:p w14:paraId="49D7C193"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Тенденції змін у якості кредитного портфеля банків підтверджуються динамікою індикаторів кредитного ризику за методикою МВФ (рис. 2.3). </w:t>
      </w:r>
    </w:p>
    <w:p w14:paraId="752A03A2"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p>
    <w:p w14:paraId="67DA58E2" w14:textId="77777777" w:rsidR="009515BC" w:rsidRPr="00F00EB0" w:rsidRDefault="009515BC" w:rsidP="009515BC">
      <w:pPr>
        <w:spacing w:line="360" w:lineRule="auto"/>
        <w:jc w:val="both"/>
        <w:rPr>
          <w:rFonts w:ascii="Times New Roman" w:hAnsi="Times New Roman" w:cs="Times New Roman"/>
          <w:noProof/>
          <w:color w:val="000000" w:themeColor="text1"/>
          <w:lang w:val="uk-UA" w:eastAsia="uk-UA"/>
        </w:rPr>
      </w:pPr>
      <w:r w:rsidRPr="00F00EB0">
        <w:rPr>
          <w:rFonts w:ascii="Times New Roman" w:hAnsi="Times New Roman" w:cs="Times New Roman"/>
          <w:noProof/>
          <w:color w:val="000000" w:themeColor="text1"/>
          <w:lang w:eastAsia="ru-RU"/>
        </w:rPr>
        <w:drawing>
          <wp:inline distT="0" distB="0" distL="0" distR="0" wp14:anchorId="4A706FFC" wp14:editId="5684E080">
            <wp:extent cx="6331352" cy="2777924"/>
            <wp:effectExtent l="0" t="0" r="0" b="0"/>
            <wp:docPr id="503" name="Диаграмма 503"/>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3E90B9D5" w14:textId="77777777" w:rsidR="009515BC" w:rsidRPr="00F00EB0" w:rsidRDefault="009515BC" w:rsidP="009515BC">
      <w:pPr>
        <w:spacing w:after="0" w:line="360" w:lineRule="auto"/>
        <w:jc w:val="center"/>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Рисунок 2.3 – Динаміка індикаторів кредитного ризику (за методикою МВФ) за 2014-2022 роки [складено автором на основі 62]</w:t>
      </w:r>
    </w:p>
    <w:p w14:paraId="5135F127"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p>
    <w:p w14:paraId="1D7137AB"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Наведені дані на рисунку 2.3 підтверджують наш попередній висновок, що вплив значної частки недіючих кредитів на достатність капіталу банків України є визначальним. До початку повномасштабної військової агресії росії проти України спостерігалась позитивна тенденція до покращення якості кредитного портфеля, як у кількісному, так і у якісному відношенні, але загострення військового конфлікту призвело до радикальних змін в операційному середовищі, що спричинило значні загрози зростання рівня кредитного ризику. Реалізація цих загроз може формує нові загрози </w:t>
      </w: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 xml:space="preserve">С. Отже, проведений аналіз свідчить про важливість управління </w:t>
      </w:r>
      <w:r w:rsidRPr="00F00EB0">
        <w:rPr>
          <w:rFonts w:ascii="Times New Roman" w:eastAsia="Calibri" w:hAnsi="Times New Roman" w:cs="Times New Roman"/>
          <w:color w:val="000000" w:themeColor="text1"/>
          <w:sz w:val="28"/>
          <w:szCs w:val="28"/>
          <w:lang w:val="uk-UA" w:eastAsia="ru-RU"/>
        </w:rPr>
        <w:lastRenderedPageBreak/>
        <w:t xml:space="preserve">якістю кредитного портфеля як ключового фактору для </w:t>
      </w: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 xml:space="preserve">С. З урахуванням цього, НБУ проведено «реверсивний стрес-тест та сценарний аналіз для оцінки здатності банків поглинати збитки та залишатися платоспроможними у вкрай невизначених умовах» [64], за результатами якого встановлено, що «основний капітал найбільших банків покриває в середньому втрату 24,5 % кредитного портфеля» [64]. НБУ визначив, що «… 20 найбільших банків, частка яких становить більш ніж 50 % активів цієї групи, є фінансово стійкими до втрати 30 % кредитного портфеля» [64].  </w:t>
      </w:r>
    </w:p>
    <w:p w14:paraId="1B714E13"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Попри негативний вплив операційного середовища, наразі банки підтримують необхідний рівень фінансової стійкості та поповнюють капітал шляхом капіталізації прибутку (рис.  2.4). </w:t>
      </w:r>
    </w:p>
    <w:p w14:paraId="64CCF628"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p>
    <w:p w14:paraId="260C52C5" w14:textId="77777777" w:rsidR="009515BC" w:rsidRPr="00F00EB0" w:rsidRDefault="009515BC" w:rsidP="009515BC">
      <w:pPr>
        <w:widowControl w:val="0"/>
        <w:spacing w:after="0" w:line="360" w:lineRule="auto"/>
        <w:jc w:val="center"/>
        <w:rPr>
          <w:rFonts w:ascii="Times New Roman" w:eastAsia="Calibri" w:hAnsi="Times New Roman" w:cs="Times New Roman"/>
          <w:color w:val="000000" w:themeColor="text1"/>
          <w:sz w:val="28"/>
          <w:szCs w:val="28"/>
          <w:lang w:val="uk-UA" w:eastAsia="ru-RU"/>
        </w:rPr>
      </w:pPr>
      <w:r w:rsidRPr="00F00EB0">
        <w:rPr>
          <w:rFonts w:ascii="Times New Roman" w:hAnsi="Times New Roman" w:cs="Times New Roman"/>
          <w:noProof/>
          <w:color w:val="000000" w:themeColor="text1"/>
          <w:lang w:eastAsia="ru-RU"/>
        </w:rPr>
        <w:drawing>
          <wp:inline distT="0" distB="0" distL="0" distR="0" wp14:anchorId="42A5730E" wp14:editId="603BB0C8">
            <wp:extent cx="6238875" cy="2743200"/>
            <wp:effectExtent l="0" t="0" r="0" b="0"/>
            <wp:docPr id="509" name="Диаграмма 509"/>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41D01B2B" w14:textId="77777777" w:rsidR="009515BC" w:rsidRPr="00F00EB0" w:rsidRDefault="009515BC" w:rsidP="009515BC">
      <w:pPr>
        <w:widowControl w:val="0"/>
        <w:spacing w:after="0" w:line="360" w:lineRule="auto"/>
        <w:jc w:val="center"/>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Рисунок 2.4 – Динаміка показників прибутковості банків України за 2014-2022 роки, % [складено на основі 62]</w:t>
      </w:r>
    </w:p>
    <w:p w14:paraId="67AF2506"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p>
    <w:p w14:paraId="452C404E"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Представлені на рисунку 2.4 дані підтверджують ефективну діяльність банків, на відміну від попередніх криз, коли банківська система була нерентабельною, що свідчить про їх життєздатність в умовах несприятливого середовища.</w:t>
      </w:r>
    </w:p>
    <w:p w14:paraId="4DABC41B"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Динаміка основних елементів, що визначають розмір прибутку банків України, наведена на рисунку 2.5.</w:t>
      </w:r>
    </w:p>
    <w:p w14:paraId="518F1C7F" w14:textId="77777777" w:rsidR="009515BC" w:rsidRPr="00F00EB0" w:rsidRDefault="009515BC" w:rsidP="009515BC">
      <w:pPr>
        <w:spacing w:after="0" w:line="360" w:lineRule="auto"/>
        <w:jc w:val="both"/>
        <w:rPr>
          <w:rFonts w:ascii="Times New Roman" w:eastAsia="Calibri" w:hAnsi="Times New Roman" w:cs="Times New Roman"/>
          <w:color w:val="000000" w:themeColor="text1"/>
          <w:sz w:val="28"/>
          <w:szCs w:val="28"/>
          <w:lang w:val="uk-UA" w:eastAsia="ru-RU"/>
        </w:rPr>
      </w:pPr>
      <w:r w:rsidRPr="00F00EB0">
        <w:rPr>
          <w:rFonts w:ascii="Times New Roman" w:hAnsi="Times New Roman" w:cs="Times New Roman"/>
          <w:noProof/>
          <w:color w:val="000000" w:themeColor="text1"/>
          <w:lang w:eastAsia="ru-RU"/>
        </w:rPr>
        <w:lastRenderedPageBreak/>
        <w:drawing>
          <wp:inline distT="0" distB="0" distL="0" distR="0" wp14:anchorId="6CF9DA8B" wp14:editId="48420A4B">
            <wp:extent cx="6319778" cy="3148314"/>
            <wp:effectExtent l="0" t="0" r="0" b="0"/>
            <wp:docPr id="1649505225" name="Диаграмма 1">
              <a:extLst xmlns:a="http://schemas.openxmlformats.org/drawingml/2006/main">
                <a:ext uri="{FF2B5EF4-FFF2-40B4-BE49-F238E27FC236}">
                  <a16:creationId xmlns:a16="http://schemas.microsoft.com/office/drawing/2014/main" id="{AAD57A28-3ABA-33CF-DB79-D855B47948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7A45020F" w14:textId="77777777" w:rsidR="009515BC" w:rsidRPr="00F00EB0" w:rsidRDefault="009515BC" w:rsidP="009515BC">
      <w:pPr>
        <w:widowControl w:val="0"/>
        <w:spacing w:after="0" w:line="360" w:lineRule="auto"/>
        <w:jc w:val="center"/>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Рисунок 2.5 – Динаміка складових прибутку банків України за 2018-2022 роки, % [складено на основі 62]</w:t>
      </w:r>
    </w:p>
    <w:p w14:paraId="446CF60E"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p>
    <w:p w14:paraId="232853A0"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Як свідчать дані, наведені на рисунку 2.5, чисті процентні та комісійні доходи зростають. Це позитивне явище, оскільки свідчить про збільшення результативності діяльності банків, попри негативний вплив на неї операційного середовища, зокрема зменшення попиту на кредити та банківські послуги. </w:t>
      </w:r>
    </w:p>
    <w:p w14:paraId="5D1CE11D"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На наш погляд, негативним є той факт, що фінансовий результат банків України до резервування значною мірою визначають інші складові, такі як результати торгівлі іноземною валютою та переоцінка цінних паперів. Це свідчить про значний вплив некерованих зовнішніх факторів (валютних коливань та ринкових умов) на прибуток банків, що може негативно вплинути на </w:t>
      </w: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С.</w:t>
      </w:r>
    </w:p>
    <w:p w14:paraId="37F4F405"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Потенційно негативний вплив на результати діяльності банків України можуть мати витрати на формування резервів за активами. НБУ оцінив «потенційні втрати кредитів від поточної кризи на рівні не менше 20 % чистого портфеля, а з урахуванням перебоїв у постачанні електроенергії оцінка підвищилася до 30 %» [25]. Зниження економічної активності та ускладнення обслуговування кредитів можуть призвести до додаткових реструктуризацій та визнання втрати частини них. Попри це, більшість банків зможуть зберегти позитивний фінансовий </w:t>
      </w:r>
      <w:r w:rsidRPr="00F00EB0">
        <w:rPr>
          <w:rFonts w:ascii="Times New Roman" w:eastAsia="Calibri" w:hAnsi="Times New Roman" w:cs="Times New Roman"/>
          <w:color w:val="000000" w:themeColor="text1"/>
          <w:sz w:val="28"/>
          <w:szCs w:val="28"/>
          <w:lang w:val="uk-UA" w:eastAsia="ru-RU"/>
        </w:rPr>
        <w:lastRenderedPageBreak/>
        <w:t>результат або повернутися до нього завдяки високій операційній ефективності, яка створює буфер для поглинання кредитних втрат перед тим, як вони почнуть негативно впливати на капітал.</w:t>
      </w:r>
    </w:p>
    <w:p w14:paraId="4B423F87" w14:textId="77777777" w:rsidR="009515BC" w:rsidRPr="00F00EB0" w:rsidRDefault="009515BC" w:rsidP="009515BC">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Важливим елементом </w:t>
      </w:r>
      <w:r w:rsidRPr="00F00EB0">
        <w:rPr>
          <w:rFonts w:ascii="Times New Roman" w:hAnsi="Times New Roman" w:cs="Times New Roman"/>
          <w:color w:val="000000" w:themeColor="text1"/>
          <w:sz w:val="28"/>
          <w:lang w:val="uk-UA"/>
        </w:rPr>
        <w:t>ФСБС</w:t>
      </w:r>
      <w:r w:rsidRPr="00F00EB0">
        <w:rPr>
          <w:rFonts w:ascii="Times New Roman" w:eastAsia="Calibri" w:hAnsi="Times New Roman" w:cs="Times New Roman"/>
          <w:color w:val="000000" w:themeColor="text1"/>
          <w:sz w:val="28"/>
          <w:szCs w:val="28"/>
          <w:lang w:val="uk-UA" w:eastAsia="ru-RU"/>
        </w:rPr>
        <w:t xml:space="preserve"> є ліквідність, яка визначається як якістю активів та достатністю буферів ліквідності, так і стабільністю пасивів.</w:t>
      </w:r>
    </w:p>
    <w:p w14:paraId="478C0478"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У поточний момент банки України мають достатню ліквідність, що підтверджується дотриманням ними нормативів ліквідності LCRвв, LCRів та NSFR (всі банки) [27]. Також достатність буферів ліквідності підтверджує динаміка відповідних індикаторів за методикою МВФ, наведена на рисунку 2.6.</w:t>
      </w:r>
    </w:p>
    <w:p w14:paraId="6194550C" w14:textId="77777777" w:rsidR="009515BC" w:rsidRPr="00F00EB0" w:rsidRDefault="009515BC" w:rsidP="009515BC">
      <w:pPr>
        <w:spacing w:after="0" w:line="360" w:lineRule="auto"/>
        <w:jc w:val="both"/>
        <w:rPr>
          <w:rFonts w:ascii="Times New Roman" w:eastAsia="Calibri" w:hAnsi="Times New Roman" w:cs="Times New Roman"/>
          <w:color w:val="000000" w:themeColor="text1"/>
          <w:sz w:val="28"/>
          <w:szCs w:val="28"/>
          <w:lang w:val="uk-UA" w:eastAsia="ru-RU"/>
        </w:rPr>
      </w:pPr>
    </w:p>
    <w:p w14:paraId="128F84F4" w14:textId="77777777" w:rsidR="009515BC" w:rsidRPr="00F00EB0" w:rsidRDefault="009515BC" w:rsidP="009515BC">
      <w:pPr>
        <w:spacing w:after="0" w:line="360" w:lineRule="auto"/>
        <w:jc w:val="center"/>
        <w:rPr>
          <w:rFonts w:ascii="Times New Roman" w:eastAsia="Calibri" w:hAnsi="Times New Roman" w:cs="Times New Roman"/>
          <w:color w:val="000000" w:themeColor="text1"/>
          <w:sz w:val="28"/>
          <w:szCs w:val="28"/>
          <w:lang w:val="uk-UA" w:eastAsia="ru-RU"/>
        </w:rPr>
      </w:pPr>
      <w:r w:rsidRPr="00F00EB0">
        <w:rPr>
          <w:rFonts w:ascii="Times New Roman" w:hAnsi="Times New Roman" w:cs="Times New Roman"/>
          <w:noProof/>
          <w:color w:val="000000" w:themeColor="text1"/>
          <w:lang w:eastAsia="ru-RU"/>
        </w:rPr>
        <w:drawing>
          <wp:inline distT="0" distB="0" distL="0" distR="0" wp14:anchorId="2891CC91" wp14:editId="7C61B109">
            <wp:extent cx="6099858" cy="3136739"/>
            <wp:effectExtent l="0" t="0" r="0" b="0"/>
            <wp:docPr id="506" name="Диаграмма 506"/>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26EC4515" w14:textId="77777777" w:rsidR="009515BC" w:rsidRPr="00F00EB0" w:rsidRDefault="009515BC" w:rsidP="009515BC">
      <w:pPr>
        <w:tabs>
          <w:tab w:val="left" w:pos="4605"/>
        </w:tabs>
        <w:autoSpaceDE w:val="0"/>
        <w:autoSpaceDN w:val="0"/>
        <w:adjustRightInd w:val="0"/>
        <w:spacing w:after="200" w:line="360" w:lineRule="auto"/>
        <w:contextualSpacing/>
        <w:jc w:val="center"/>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Рисунок 2.6 – Динаміка індикаторів ліквідності банків України (методика МВФ) за 2014-2022 роки, % [складено автором на основі 62]</w:t>
      </w:r>
    </w:p>
    <w:p w14:paraId="5122F232"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p>
    <w:p w14:paraId="44B25183"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Достатній рівень ліквідності банків України та відсутність кризи ліквідності стала результатом комбінації багатьох факторів.</w:t>
      </w:r>
    </w:p>
    <w:p w14:paraId="07EDF745"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По-перше, через ефективну регуляторну політику НБУ банки України мали достатні буфери ліквідності (рис. 2.7). </w:t>
      </w:r>
    </w:p>
    <w:p w14:paraId="4F33BC07" w14:textId="77777777" w:rsidR="009515BC" w:rsidRPr="00F00EB0" w:rsidRDefault="009515BC" w:rsidP="009515BC">
      <w:pPr>
        <w:widowControl w:val="0"/>
        <w:spacing w:after="0" w:line="360" w:lineRule="auto"/>
        <w:jc w:val="both"/>
        <w:rPr>
          <w:rFonts w:ascii="Times New Roman" w:eastAsia="Calibri" w:hAnsi="Times New Roman" w:cs="Times New Roman"/>
          <w:color w:val="000000" w:themeColor="text1"/>
          <w:sz w:val="28"/>
          <w:szCs w:val="28"/>
          <w:lang w:val="uk-UA" w:eastAsia="ru-RU"/>
        </w:rPr>
      </w:pPr>
    </w:p>
    <w:p w14:paraId="0EC12798" w14:textId="77777777" w:rsidR="009515BC" w:rsidRPr="00F00EB0" w:rsidRDefault="009515BC" w:rsidP="009515BC">
      <w:pPr>
        <w:widowControl w:val="0"/>
        <w:spacing w:after="0" w:line="360" w:lineRule="auto"/>
        <w:jc w:val="both"/>
        <w:rPr>
          <w:rFonts w:ascii="Times New Roman" w:eastAsia="Calibri" w:hAnsi="Times New Roman" w:cs="Times New Roman"/>
          <w:color w:val="000000" w:themeColor="text1"/>
          <w:sz w:val="28"/>
          <w:szCs w:val="28"/>
          <w:lang w:val="uk-UA" w:eastAsia="ru-RU"/>
        </w:rPr>
      </w:pPr>
      <w:r w:rsidRPr="00F00EB0">
        <w:rPr>
          <w:rFonts w:ascii="Times New Roman" w:hAnsi="Times New Roman" w:cs="Times New Roman"/>
          <w:noProof/>
          <w:color w:val="000000" w:themeColor="text1"/>
          <w:lang w:eastAsia="ru-RU"/>
        </w:rPr>
        <w:lastRenderedPageBreak/>
        <w:drawing>
          <wp:inline distT="0" distB="0" distL="0" distR="0" wp14:anchorId="4AD1A8B8" wp14:editId="68427DD2">
            <wp:extent cx="6111240" cy="3078866"/>
            <wp:effectExtent l="0" t="0" r="0" b="0"/>
            <wp:docPr id="1932735046" name="Диаграмма 1">
              <a:extLst xmlns:a="http://schemas.openxmlformats.org/drawingml/2006/main">
                <a:ext uri="{FF2B5EF4-FFF2-40B4-BE49-F238E27FC236}">
                  <a16:creationId xmlns:a16="http://schemas.microsoft.com/office/drawing/2014/main" id="{00000000-0008-0000-2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2318BDE6" w14:textId="77777777" w:rsidR="009515BC" w:rsidRPr="00F00EB0" w:rsidRDefault="009515BC" w:rsidP="009515BC">
      <w:pPr>
        <w:widowControl w:val="0"/>
        <w:spacing w:after="0" w:line="360" w:lineRule="auto"/>
        <w:jc w:val="center"/>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Рисунок 2.7 – Динаміка частки високоліквідних активів та депозитних сертифікатів НБУ в чистих активах банків України, %, за період з 01.11.2019 по 01.11.2022 [25]</w:t>
      </w:r>
    </w:p>
    <w:p w14:paraId="0739E591" w14:textId="77777777" w:rsidR="009515BC" w:rsidRPr="00F00EB0" w:rsidRDefault="009515BC" w:rsidP="009515BC">
      <w:pPr>
        <w:widowControl w:val="0"/>
        <w:spacing w:after="0" w:line="360" w:lineRule="auto"/>
        <w:jc w:val="both"/>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b/>
          <w:bCs/>
          <w:color w:val="000000" w:themeColor="text1"/>
          <w:sz w:val="24"/>
          <w:szCs w:val="24"/>
          <w:lang w:val="uk-UA" w:eastAsia="ru-RU"/>
        </w:rPr>
        <w:t>Примітка:</w:t>
      </w:r>
      <w:r w:rsidRPr="00F00EB0">
        <w:rPr>
          <w:rFonts w:ascii="Times New Roman" w:eastAsia="Calibri" w:hAnsi="Times New Roman" w:cs="Times New Roman"/>
          <w:color w:val="000000" w:themeColor="text1"/>
          <w:sz w:val="24"/>
          <w:szCs w:val="24"/>
          <w:lang w:val="uk-UA" w:eastAsia="ru-RU"/>
        </w:rPr>
        <w:t xml:space="preserve"> У банках, що платоспроможні станом на 01.12.2022. Дані з 23.02.2022 до 3.05.2022                                            року не подавалися</w:t>
      </w:r>
    </w:p>
    <w:p w14:paraId="5328AA51"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p>
    <w:p w14:paraId="5A1AB992"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Другим важливим фактором є збереження довіри до банків та швидке подолання банківської паніки, що забезпечило сталість надходжень на рахунки фізичних та юридичних осіб, попри загрози операційного середовища.</w:t>
      </w:r>
    </w:p>
    <w:p w14:paraId="4E4DEF34"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Водночас структура фондування банків України містить значні вразливості, пов’язані зі зростанням залишків коштів на поточних рахунках клієнтів, що є мінливими пасивами, та можуть становити загрозу втрати ліквідності в разі зростання зовнішніх загроз та дестабілізації на ринку. </w:t>
      </w:r>
    </w:p>
    <w:p w14:paraId="1EDE7D94"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Якщо на початок 2018 року структура коштів фізичних осіб була відносно збалансованою, причому частка коштів на вимогу становила 33 %, то зі зниженням ринкових процентних ставок та відсутністю стимулів трансформації в строкові депозити, вона постійно зростала та станом на початок квітня 2023 року склала 65,5 % (рис. 2.8). </w:t>
      </w:r>
    </w:p>
    <w:p w14:paraId="58844884"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p>
    <w:p w14:paraId="65DEE12B" w14:textId="77777777" w:rsidR="009515BC" w:rsidRPr="00F00EB0" w:rsidRDefault="009515BC" w:rsidP="009515BC">
      <w:pPr>
        <w:widowControl w:val="0"/>
        <w:spacing w:after="0" w:line="360" w:lineRule="auto"/>
        <w:jc w:val="both"/>
        <w:rPr>
          <w:rFonts w:ascii="Times New Roman" w:eastAsia="Calibri" w:hAnsi="Times New Roman" w:cs="Times New Roman"/>
          <w:color w:val="000000" w:themeColor="text1"/>
          <w:sz w:val="28"/>
          <w:szCs w:val="28"/>
          <w:lang w:val="uk-UA" w:eastAsia="ru-RU"/>
        </w:rPr>
      </w:pPr>
      <w:r w:rsidRPr="00F00EB0">
        <w:rPr>
          <w:rFonts w:ascii="Times New Roman" w:hAnsi="Times New Roman" w:cs="Times New Roman"/>
          <w:noProof/>
          <w:color w:val="000000" w:themeColor="text1"/>
          <w:lang w:eastAsia="ru-RU"/>
        </w:rPr>
        <w:lastRenderedPageBreak/>
        <w:drawing>
          <wp:inline distT="0" distB="0" distL="0" distR="0" wp14:anchorId="59E1DF78" wp14:editId="4946D3F0">
            <wp:extent cx="6480175" cy="3249295"/>
            <wp:effectExtent l="0" t="0" r="0" b="0"/>
            <wp:docPr id="1756280181" name="Диаграмма 1">
              <a:extLst xmlns:a="http://schemas.openxmlformats.org/drawingml/2006/main">
                <a:ext uri="{FF2B5EF4-FFF2-40B4-BE49-F238E27FC236}">
                  <a16:creationId xmlns:a16="http://schemas.microsoft.com/office/drawing/2014/main" id="{46B002A0-CB06-A900-C944-241ACB87B3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32711A12" w14:textId="77777777" w:rsidR="009515BC" w:rsidRPr="00F00EB0" w:rsidRDefault="009515BC" w:rsidP="009515BC">
      <w:pPr>
        <w:widowControl w:val="0"/>
        <w:spacing w:after="0" w:line="360" w:lineRule="auto"/>
        <w:jc w:val="center"/>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Рисунок 2.8 – Динаміка коштів населення в розрізі строків погашення,  за період з 01.01.2018 по 01.04.2023 [складено автором на основі 63]</w:t>
      </w:r>
    </w:p>
    <w:p w14:paraId="3801EA26" w14:textId="77777777" w:rsidR="009515BC" w:rsidRPr="00F00EB0" w:rsidRDefault="009515BC" w:rsidP="009515BC">
      <w:pPr>
        <w:widowControl w:val="0"/>
        <w:spacing w:after="0" w:line="360" w:lineRule="auto"/>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 </w:t>
      </w:r>
    </w:p>
    <w:p w14:paraId="3C8083D4"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Частка коштів на вимогу підприємств протягом періоду аналізу була традиційно високою (рис. 2.9) з піковими значеннями навесні 2022 року.</w:t>
      </w:r>
    </w:p>
    <w:p w14:paraId="294E358F"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p>
    <w:p w14:paraId="386964C0" w14:textId="77777777" w:rsidR="009515BC" w:rsidRPr="00F00EB0" w:rsidRDefault="009515BC" w:rsidP="009515BC">
      <w:pPr>
        <w:widowControl w:val="0"/>
        <w:spacing w:after="0" w:line="360" w:lineRule="auto"/>
        <w:jc w:val="both"/>
        <w:rPr>
          <w:rFonts w:ascii="Times New Roman" w:eastAsia="Calibri" w:hAnsi="Times New Roman" w:cs="Times New Roman"/>
          <w:color w:val="000000" w:themeColor="text1"/>
          <w:sz w:val="28"/>
          <w:szCs w:val="28"/>
          <w:lang w:val="uk-UA" w:eastAsia="ru-RU"/>
        </w:rPr>
      </w:pPr>
      <w:r w:rsidRPr="00F00EB0">
        <w:rPr>
          <w:rFonts w:ascii="Times New Roman" w:hAnsi="Times New Roman" w:cs="Times New Roman"/>
          <w:noProof/>
          <w:color w:val="000000" w:themeColor="text1"/>
          <w:lang w:eastAsia="ru-RU"/>
        </w:rPr>
        <w:drawing>
          <wp:inline distT="0" distB="0" distL="0" distR="0" wp14:anchorId="3D3D73C2" wp14:editId="798E9D95">
            <wp:extent cx="6458674" cy="3298785"/>
            <wp:effectExtent l="0" t="0" r="0" b="0"/>
            <wp:docPr id="2008725969" name="Диаграмма 1">
              <a:extLst xmlns:a="http://schemas.openxmlformats.org/drawingml/2006/main">
                <a:ext uri="{FF2B5EF4-FFF2-40B4-BE49-F238E27FC236}">
                  <a16:creationId xmlns:a16="http://schemas.microsoft.com/office/drawing/2014/main" id="{7541015B-AA63-1070-3757-D515E01BD2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3E4ADD43" w14:textId="77777777" w:rsidR="009515BC" w:rsidRPr="00F00EB0" w:rsidRDefault="009515BC" w:rsidP="009515BC">
      <w:pPr>
        <w:widowControl w:val="0"/>
        <w:spacing w:after="0" w:line="360" w:lineRule="auto"/>
        <w:jc w:val="center"/>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Рисунок 2.9 – Динаміка коштів підприємств у розрізі строків погашення, за період з 01.01.2018 по 01.04.2023 [складено автором на основі 63]</w:t>
      </w:r>
    </w:p>
    <w:p w14:paraId="59172011"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lastRenderedPageBreak/>
        <w:t xml:space="preserve">Отже, як висновок можна зазначити, що фондування діяльності банків України здійснюється переважно з мінливих поточних пасивів, що в майбутньому може створити додатковий тиск на ліквідність. Відповідно, цей об’єкт забезпечення </w:t>
      </w: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С має знаходитись під постійний контролем менеджменту.</w:t>
      </w:r>
    </w:p>
    <w:p w14:paraId="67360603"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Банки України наражаються на валютний ризик, рівень якого може зрости, зважаючи на невизначеність макропоказників та динаміки валютних курсів, та достатньо високий рівень доларизації банківських балансів (рис. 2.10).  </w:t>
      </w:r>
    </w:p>
    <w:p w14:paraId="1E919921"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p>
    <w:p w14:paraId="52AC3A03" w14:textId="77777777" w:rsidR="009515BC" w:rsidRPr="00F00EB0" w:rsidRDefault="009515BC" w:rsidP="009515BC">
      <w:pPr>
        <w:widowControl w:val="0"/>
        <w:spacing w:after="0" w:line="360" w:lineRule="auto"/>
        <w:jc w:val="both"/>
        <w:rPr>
          <w:rFonts w:ascii="Times New Roman" w:eastAsia="Calibri" w:hAnsi="Times New Roman" w:cs="Times New Roman"/>
          <w:color w:val="000000" w:themeColor="text1"/>
          <w:sz w:val="28"/>
          <w:szCs w:val="28"/>
          <w:lang w:val="uk-UA" w:eastAsia="ru-RU"/>
        </w:rPr>
      </w:pPr>
      <w:r w:rsidRPr="00F00EB0">
        <w:rPr>
          <w:rFonts w:ascii="Times New Roman" w:hAnsi="Times New Roman" w:cs="Times New Roman"/>
          <w:noProof/>
          <w:color w:val="000000" w:themeColor="text1"/>
          <w:lang w:eastAsia="ru-RU"/>
        </w:rPr>
        <w:drawing>
          <wp:inline distT="0" distB="0" distL="0" distR="0" wp14:anchorId="6F406199" wp14:editId="13ED302F">
            <wp:extent cx="6074229" cy="4528457"/>
            <wp:effectExtent l="0" t="0" r="3175" b="5715"/>
            <wp:docPr id="507" name="Диаграмма 507"/>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343A79AE" w14:textId="77777777" w:rsidR="009515BC" w:rsidRPr="00F00EB0" w:rsidRDefault="009515BC" w:rsidP="009515BC">
      <w:pPr>
        <w:widowControl w:val="0"/>
        <w:spacing w:after="0" w:line="360" w:lineRule="auto"/>
        <w:jc w:val="center"/>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Рисунок 2.10 – Динаміка валютного ризику банків України (методика МВФ) за 2014-2022 роки, % [складено автором на основі 62]</w:t>
      </w:r>
    </w:p>
    <w:p w14:paraId="425AD3F7"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p>
    <w:p w14:paraId="318276B5"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Дані рисунку 2.10, свідчать, що до початку війни з росією всі показники-індикатори валютного ризику поступово знижувались, що позитивно впливало на рівень </w:t>
      </w: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 xml:space="preserve">С. </w:t>
      </w:r>
    </w:p>
    <w:p w14:paraId="7510DEA2"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Завдяки регуляторному впливу НБУ, спрямованому на дестимулювання </w:t>
      </w:r>
      <w:r w:rsidRPr="00F00EB0">
        <w:rPr>
          <w:rFonts w:ascii="Times New Roman" w:eastAsia="Calibri" w:hAnsi="Times New Roman" w:cs="Times New Roman"/>
          <w:color w:val="000000" w:themeColor="text1"/>
          <w:sz w:val="28"/>
          <w:szCs w:val="28"/>
          <w:lang w:val="uk-UA" w:eastAsia="ru-RU"/>
        </w:rPr>
        <w:lastRenderedPageBreak/>
        <w:t xml:space="preserve">нарощення обсягів операцій в іноземних валютах, валютні позиції банків були суттєво скорочені та збалансовані. Це підтверджується тим, що всі банки України (крім АТ «Ощадбанк» та АТ КБ «ПриватБанк») дотримуються нормативних вимог нормативу ризику Л13-1 та Л13-2. </w:t>
      </w:r>
    </w:p>
    <w:p w14:paraId="2339E7BC"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Відповідно, можна зробити висновок, що рівень прямого валютного ризику, пов’язаного з переоцінкою валютних позицій, хоч і зростає, наразі знаходиться в контрольованих межах. Водночас у тих банків, в яких наявний значний обсяг кредитного портфеля в іноземних валютах, може зрости непрямий валютний ризик, у разі, якщо позичальник втратить надходження в іноземних валютах.</w:t>
      </w:r>
    </w:p>
    <w:p w14:paraId="7F7BECF0"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hAnsi="Times New Roman" w:cs="Times New Roman"/>
          <w:color w:val="000000" w:themeColor="text1"/>
          <w:sz w:val="28"/>
          <w:szCs w:val="28"/>
          <w:lang w:val="uk-UA"/>
        </w:rPr>
        <w:t xml:space="preserve">На підставі розрахунків можна зробити висновок, що </w:t>
      </w: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 xml:space="preserve">С </w:t>
      </w:r>
      <w:r w:rsidRPr="00F00EB0">
        <w:rPr>
          <w:rFonts w:ascii="Times New Roman" w:hAnsi="Times New Roman" w:cs="Times New Roman"/>
          <w:color w:val="000000" w:themeColor="text1"/>
          <w:sz w:val="28"/>
          <w:szCs w:val="28"/>
          <w:lang w:val="uk-UA"/>
        </w:rPr>
        <w:t xml:space="preserve">після зниження внаслідок пандемічної кризи почала підвищуватись. Отже, наразі </w:t>
      </w: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 xml:space="preserve">С </w:t>
      </w:r>
      <w:r w:rsidRPr="00F00EB0">
        <w:rPr>
          <w:rFonts w:ascii="Times New Roman" w:hAnsi="Times New Roman" w:cs="Times New Roman"/>
          <w:color w:val="000000" w:themeColor="text1"/>
          <w:sz w:val="28"/>
          <w:szCs w:val="28"/>
          <w:lang w:val="uk-UA"/>
        </w:rPr>
        <w:t>України достатньо забезпечена капіталом та прибутком, який має стабільний характер.</w:t>
      </w:r>
    </w:p>
    <w:p w14:paraId="503DA4A1"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У банків України зростають нефінансові ризики, що мають специфічні прояви внаслідок діяльності банків в умовах війни. </w:t>
      </w:r>
    </w:p>
    <w:p w14:paraId="67E18EA0"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Так, фізичне пошкодження будівель, знищення обладнання та інших активів унаслідок військових дій, що призводить до прямих матеріальних збитків, стали вагомим джерелом операційного ризику</w:t>
      </w:r>
    </w:p>
    <w:p w14:paraId="53297DAB"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Похідними від активних військових дій стали тривалі перерви у постачанні електроенергії, що спричиняють припинення роботи інфраструктури, що ускладнює проведення банківських операцій, призводить до затримок в обробці операцій та зменшення ефективності бізнес-процесів та, як результат, зростання втрат від операційного ризику. За оцінками НБУ банки зазнали значних збитків, оцінених у 13 млрд гривень, що вимагає додаткових витрат на відновлення та зміцнення операційної стійкості.</w:t>
      </w:r>
    </w:p>
    <w:p w14:paraId="79C6F863"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Вагомим джерелом операційних ризиків для банків стали кібератаки та кібершахрайства, які можуть призвести до значних втрат та порушити нормальну роботу платіжних та банківських систем.  </w:t>
      </w:r>
    </w:p>
    <w:p w14:paraId="6133E40D"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С формується в умовах значної кількості зовнішніх загроз (табл. 2.2).</w:t>
      </w:r>
    </w:p>
    <w:p w14:paraId="1EC0AAC1" w14:textId="77777777" w:rsidR="009515BC" w:rsidRPr="00F00EB0" w:rsidRDefault="009515BC" w:rsidP="009515BC">
      <w:pPr>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br w:type="page"/>
      </w:r>
    </w:p>
    <w:p w14:paraId="60637465"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lastRenderedPageBreak/>
        <w:t>Таблиця 2.2 – Зовнішні загрози фінансовій стійкості банківської системи [складено автором на основі 25, 26]</w:t>
      </w:r>
    </w:p>
    <w:tbl>
      <w:tblPr>
        <w:tblStyle w:val="af0"/>
        <w:tblW w:w="5000" w:type="pct"/>
        <w:tblLayout w:type="fixed"/>
        <w:tblLook w:val="04A0" w:firstRow="1" w:lastRow="0" w:firstColumn="1" w:lastColumn="0" w:noHBand="0" w:noVBand="1"/>
      </w:tblPr>
      <w:tblGrid>
        <w:gridCol w:w="1374"/>
        <w:gridCol w:w="1316"/>
        <w:gridCol w:w="3483"/>
        <w:gridCol w:w="3738"/>
      </w:tblGrid>
      <w:tr w:rsidR="009515BC" w:rsidRPr="00F00EB0" w14:paraId="3CEDCB51" w14:textId="77777777" w:rsidTr="0021593D">
        <w:tc>
          <w:tcPr>
            <w:tcW w:w="693" w:type="pct"/>
          </w:tcPr>
          <w:p w14:paraId="62752F11" w14:textId="77777777" w:rsidR="009515BC" w:rsidRPr="00F00EB0" w:rsidRDefault="009515BC" w:rsidP="0021593D">
            <w:pPr>
              <w:widowControl w:val="0"/>
              <w:ind w:left="-113" w:right="-57"/>
              <w:jc w:val="center"/>
              <w:rPr>
                <w:rFonts w:ascii="Times New Roman" w:eastAsia="Calibri"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Фактори</w:t>
            </w:r>
          </w:p>
        </w:tc>
        <w:tc>
          <w:tcPr>
            <w:tcW w:w="663" w:type="pct"/>
          </w:tcPr>
          <w:p w14:paraId="449B79FD" w14:textId="77777777" w:rsidR="009515BC" w:rsidRPr="00F00EB0" w:rsidRDefault="009515BC" w:rsidP="0021593D">
            <w:pPr>
              <w:widowControl w:val="0"/>
              <w:ind w:left="-113" w:right="-57"/>
              <w:jc w:val="center"/>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Група</w:t>
            </w:r>
          </w:p>
        </w:tc>
        <w:tc>
          <w:tcPr>
            <w:tcW w:w="1757" w:type="pct"/>
          </w:tcPr>
          <w:p w14:paraId="1BA3BE72" w14:textId="77777777" w:rsidR="009515BC" w:rsidRPr="00F00EB0" w:rsidRDefault="009515BC" w:rsidP="0021593D">
            <w:pPr>
              <w:widowControl w:val="0"/>
              <w:ind w:left="-113" w:right="-57"/>
              <w:jc w:val="center"/>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Характеристика</w:t>
            </w:r>
          </w:p>
        </w:tc>
        <w:tc>
          <w:tcPr>
            <w:tcW w:w="1887" w:type="pct"/>
          </w:tcPr>
          <w:p w14:paraId="73CDE597" w14:textId="77777777" w:rsidR="009515BC" w:rsidRPr="00F00EB0" w:rsidRDefault="009515BC" w:rsidP="0021593D">
            <w:pPr>
              <w:widowControl w:val="0"/>
              <w:ind w:left="-113" w:right="-57"/>
              <w:jc w:val="center"/>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Наслідки</w:t>
            </w:r>
          </w:p>
        </w:tc>
      </w:tr>
      <w:tr w:rsidR="009515BC" w:rsidRPr="00F00EB0" w14:paraId="6E216EF0" w14:textId="77777777" w:rsidTr="0021593D">
        <w:tc>
          <w:tcPr>
            <w:tcW w:w="1357" w:type="pct"/>
            <w:gridSpan w:val="2"/>
          </w:tcPr>
          <w:p w14:paraId="099DA6D7" w14:textId="77777777" w:rsidR="009515BC" w:rsidRPr="00F00EB0" w:rsidRDefault="009515BC" w:rsidP="0021593D">
            <w:pPr>
              <w:widowControl w:val="0"/>
              <w:ind w:left="-113" w:right="-57"/>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Геополітичні</w:t>
            </w:r>
          </w:p>
        </w:tc>
        <w:tc>
          <w:tcPr>
            <w:tcW w:w="1757" w:type="pct"/>
          </w:tcPr>
          <w:p w14:paraId="0016335E"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повномасштабне вторгнення Росії в Україну та можлива подальша ескалація конфлікту</w:t>
            </w:r>
          </w:p>
        </w:tc>
        <w:tc>
          <w:tcPr>
            <w:tcW w:w="1887" w:type="pct"/>
          </w:tcPr>
          <w:p w14:paraId="6EBD4588"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невизначеність та нестабільність в країні, що негативно впливає на банківську систему</w:t>
            </w:r>
          </w:p>
        </w:tc>
      </w:tr>
      <w:tr w:rsidR="009515BC" w:rsidRPr="00D00194" w14:paraId="4FD9ED1C" w14:textId="77777777" w:rsidTr="0021593D">
        <w:tc>
          <w:tcPr>
            <w:tcW w:w="693" w:type="pct"/>
            <w:vMerge w:val="restart"/>
          </w:tcPr>
          <w:p w14:paraId="13A9D078" w14:textId="77777777" w:rsidR="009515BC" w:rsidRPr="00F00EB0" w:rsidRDefault="009515BC" w:rsidP="0021593D">
            <w:pPr>
              <w:widowControl w:val="0"/>
              <w:ind w:left="-113" w:right="-57"/>
              <w:jc w:val="center"/>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Економічні</w:t>
            </w:r>
          </w:p>
        </w:tc>
        <w:tc>
          <w:tcPr>
            <w:tcW w:w="663" w:type="pct"/>
          </w:tcPr>
          <w:p w14:paraId="74AF58FE" w14:textId="77777777" w:rsidR="009515BC" w:rsidRPr="00F00EB0" w:rsidRDefault="009515BC" w:rsidP="0021593D">
            <w:pPr>
              <w:widowControl w:val="0"/>
              <w:ind w:left="-113" w:right="-57"/>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Глобальні</w:t>
            </w:r>
          </w:p>
        </w:tc>
        <w:tc>
          <w:tcPr>
            <w:tcW w:w="1757" w:type="pct"/>
          </w:tcPr>
          <w:p w14:paraId="05F5FA78"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 xml:space="preserve">світова рецесія, зростання світових цін на сировину та продовольство, високий рівень інфляції та жорстка монетарна політика </w:t>
            </w:r>
          </w:p>
        </w:tc>
        <w:tc>
          <w:tcPr>
            <w:tcW w:w="1887" w:type="pct"/>
          </w:tcPr>
          <w:p w14:paraId="48967A2D"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зниження зовнішньої торгівлі, скорочення інвестицій та загострення економічних проблем у країні, що може зменшити підтримку України</w:t>
            </w:r>
          </w:p>
        </w:tc>
      </w:tr>
      <w:tr w:rsidR="009515BC" w:rsidRPr="00F00EB0" w14:paraId="364934CB" w14:textId="77777777" w:rsidTr="0021593D">
        <w:tc>
          <w:tcPr>
            <w:tcW w:w="693" w:type="pct"/>
            <w:vMerge/>
          </w:tcPr>
          <w:p w14:paraId="766A2010" w14:textId="77777777" w:rsidR="009515BC" w:rsidRPr="00F00EB0" w:rsidRDefault="009515BC" w:rsidP="0021593D">
            <w:pPr>
              <w:widowControl w:val="0"/>
              <w:ind w:left="-113" w:right="-57"/>
              <w:jc w:val="center"/>
              <w:rPr>
                <w:rFonts w:ascii="Times New Roman" w:eastAsia="Calibri" w:hAnsi="Times New Roman" w:cs="Times New Roman"/>
                <w:color w:val="000000" w:themeColor="text1"/>
                <w:sz w:val="24"/>
                <w:szCs w:val="24"/>
                <w:lang w:val="uk-UA" w:eastAsia="ru-RU"/>
              </w:rPr>
            </w:pPr>
          </w:p>
        </w:tc>
        <w:tc>
          <w:tcPr>
            <w:tcW w:w="663" w:type="pct"/>
          </w:tcPr>
          <w:p w14:paraId="605CFE4C" w14:textId="77777777" w:rsidR="009515BC" w:rsidRPr="00F00EB0" w:rsidRDefault="009515BC" w:rsidP="0021593D">
            <w:pPr>
              <w:widowControl w:val="0"/>
              <w:ind w:left="-113" w:right="-57"/>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Національні</w:t>
            </w:r>
          </w:p>
        </w:tc>
        <w:tc>
          <w:tcPr>
            <w:tcW w:w="1757" w:type="pct"/>
          </w:tcPr>
          <w:p w14:paraId="6A948671"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 xml:space="preserve">падіння ВВП, збільшення залежності від зовнішньої допомоги </w:t>
            </w:r>
          </w:p>
        </w:tc>
        <w:tc>
          <w:tcPr>
            <w:tcW w:w="1887" w:type="pct"/>
          </w:tcPr>
          <w:p w14:paraId="5EF69F46"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погіршення платоспроможності підприємств, падіння доходів населення, що призведе до зростання кредитного ризику банків</w:t>
            </w:r>
          </w:p>
        </w:tc>
      </w:tr>
      <w:tr w:rsidR="009515BC" w:rsidRPr="00F00EB0" w14:paraId="691E54A7" w14:textId="77777777" w:rsidTr="0021593D">
        <w:tc>
          <w:tcPr>
            <w:tcW w:w="1357" w:type="pct"/>
            <w:gridSpan w:val="2"/>
          </w:tcPr>
          <w:p w14:paraId="317B2CF5" w14:textId="77777777" w:rsidR="009515BC" w:rsidRPr="00F00EB0" w:rsidRDefault="009515BC" w:rsidP="0021593D">
            <w:pPr>
              <w:widowControl w:val="0"/>
              <w:ind w:left="-113" w:right="-57"/>
              <w:jc w:val="center"/>
              <w:rPr>
                <w:rFonts w:ascii="Times New Roman" w:eastAsia="Times New Roman"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Соціальні</w:t>
            </w:r>
          </w:p>
        </w:tc>
        <w:tc>
          <w:tcPr>
            <w:tcW w:w="1757" w:type="pct"/>
          </w:tcPr>
          <w:p w14:paraId="5D788B58"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зростання зовнішньої міграції</w:t>
            </w:r>
          </w:p>
        </w:tc>
        <w:tc>
          <w:tcPr>
            <w:tcW w:w="1887" w:type="pct"/>
          </w:tcPr>
          <w:p w14:paraId="74868EB9"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зниження економічного потенціалу країни та платоспроможного попиту та банківські послуги</w:t>
            </w:r>
          </w:p>
        </w:tc>
      </w:tr>
      <w:tr w:rsidR="009515BC" w:rsidRPr="00F00EB0" w14:paraId="70ED9673" w14:textId="77777777" w:rsidTr="0021593D">
        <w:tc>
          <w:tcPr>
            <w:tcW w:w="1357" w:type="pct"/>
            <w:gridSpan w:val="2"/>
          </w:tcPr>
          <w:p w14:paraId="4BA277D7" w14:textId="77777777" w:rsidR="009515BC" w:rsidRPr="00F00EB0" w:rsidRDefault="009515BC" w:rsidP="0021593D">
            <w:pPr>
              <w:widowControl w:val="0"/>
              <w:ind w:left="-113" w:right="-57"/>
              <w:jc w:val="center"/>
              <w:rPr>
                <w:rFonts w:ascii="Times New Roman" w:eastAsia="Times New Roman"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Технічні</w:t>
            </w:r>
          </w:p>
        </w:tc>
        <w:tc>
          <w:tcPr>
            <w:tcW w:w="1757" w:type="pct"/>
          </w:tcPr>
          <w:p w14:paraId="32DC3F89"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зростання кіберзагроз</w:t>
            </w:r>
          </w:p>
        </w:tc>
        <w:tc>
          <w:tcPr>
            <w:tcW w:w="1887" w:type="pct"/>
          </w:tcPr>
          <w:p w14:paraId="467E28BC"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втрати від операційного ризику</w:t>
            </w:r>
          </w:p>
        </w:tc>
      </w:tr>
      <w:tr w:rsidR="009515BC" w:rsidRPr="00F00EB0" w14:paraId="52593A1F" w14:textId="77777777" w:rsidTr="0021593D">
        <w:tc>
          <w:tcPr>
            <w:tcW w:w="1357" w:type="pct"/>
            <w:gridSpan w:val="2"/>
          </w:tcPr>
          <w:p w14:paraId="65B1B808" w14:textId="77777777" w:rsidR="009515BC" w:rsidRPr="00F00EB0" w:rsidRDefault="009515BC" w:rsidP="0021593D">
            <w:pPr>
              <w:widowControl w:val="0"/>
              <w:ind w:left="-113" w:right="-57"/>
              <w:jc w:val="center"/>
              <w:rPr>
                <w:rFonts w:ascii="Times New Roman" w:eastAsia="Times New Roman"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Форс-мажорні</w:t>
            </w:r>
          </w:p>
        </w:tc>
        <w:tc>
          <w:tcPr>
            <w:tcW w:w="1757" w:type="pct"/>
          </w:tcPr>
          <w:p w14:paraId="6DEDE74A"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пошкодження та руйнування об'єктів інфраструктури, зокрема енергетичної, та перебої з електропостачанням</w:t>
            </w:r>
          </w:p>
        </w:tc>
        <w:tc>
          <w:tcPr>
            <w:tcW w:w="1887" w:type="pct"/>
          </w:tcPr>
          <w:p w14:paraId="5ACF00A9"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зниження обсягів виробництва, порушення ланцюгів постачань, перебої в роботі банків</w:t>
            </w:r>
          </w:p>
        </w:tc>
      </w:tr>
      <w:tr w:rsidR="009515BC" w:rsidRPr="00F00EB0" w14:paraId="15E61427" w14:textId="77777777" w:rsidTr="0021593D">
        <w:tc>
          <w:tcPr>
            <w:tcW w:w="1357" w:type="pct"/>
            <w:gridSpan w:val="2"/>
          </w:tcPr>
          <w:p w14:paraId="4417923A" w14:textId="77777777" w:rsidR="009515BC" w:rsidRPr="00F00EB0" w:rsidRDefault="009515BC" w:rsidP="0021593D">
            <w:pPr>
              <w:widowControl w:val="0"/>
              <w:ind w:left="-113" w:right="-57"/>
              <w:jc w:val="center"/>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Фінансові</w:t>
            </w:r>
          </w:p>
        </w:tc>
        <w:tc>
          <w:tcPr>
            <w:tcW w:w="1757" w:type="pct"/>
          </w:tcPr>
          <w:p w14:paraId="5751822D"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зростання інфляції, нестабільності валютного курсу</w:t>
            </w:r>
          </w:p>
        </w:tc>
        <w:tc>
          <w:tcPr>
            <w:tcW w:w="1887" w:type="pct"/>
          </w:tcPr>
          <w:p w14:paraId="6CFBE0A5" w14:textId="77777777" w:rsidR="009515BC" w:rsidRPr="00F00EB0" w:rsidRDefault="009515BC" w:rsidP="0021593D">
            <w:pPr>
              <w:widowControl w:val="0"/>
              <w:ind w:left="-57" w:right="-57"/>
              <w:jc w:val="both"/>
              <w:rPr>
                <w:rFonts w:ascii="Times New Roman" w:eastAsia="Calibri"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невизначеність та нестабільність в країні, що негативно впливає на банківську систему та підвищує рівень фінансових ризиків</w:t>
            </w:r>
          </w:p>
        </w:tc>
      </w:tr>
      <w:tr w:rsidR="009515BC" w:rsidRPr="00F00EB0" w14:paraId="55DD8C96" w14:textId="77777777" w:rsidTr="0021593D">
        <w:tc>
          <w:tcPr>
            <w:tcW w:w="1357" w:type="pct"/>
            <w:gridSpan w:val="2"/>
          </w:tcPr>
          <w:p w14:paraId="369FD989" w14:textId="77777777" w:rsidR="009515BC" w:rsidRPr="00F00EB0" w:rsidRDefault="009515BC" w:rsidP="0021593D">
            <w:pPr>
              <w:widowControl w:val="0"/>
              <w:ind w:left="-113" w:right="-57"/>
              <w:jc w:val="center"/>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Регуляторні</w:t>
            </w:r>
          </w:p>
        </w:tc>
        <w:tc>
          <w:tcPr>
            <w:tcW w:w="1757" w:type="pct"/>
          </w:tcPr>
          <w:p w14:paraId="2D692D8B" w14:textId="77777777" w:rsidR="009515BC" w:rsidRPr="00F00EB0" w:rsidRDefault="009515BC" w:rsidP="0021593D">
            <w:pPr>
              <w:widowControl w:val="0"/>
              <w:ind w:left="-113" w:right="-57"/>
              <w:jc w:val="both"/>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зміна антикризових монетарних та регуляторних заходів</w:t>
            </w:r>
          </w:p>
        </w:tc>
        <w:tc>
          <w:tcPr>
            <w:tcW w:w="1887" w:type="pct"/>
          </w:tcPr>
          <w:p w14:paraId="3704FFFE" w14:textId="77777777" w:rsidR="009515BC" w:rsidRPr="00F00EB0" w:rsidRDefault="009515BC" w:rsidP="0021593D">
            <w:pPr>
              <w:widowControl w:val="0"/>
              <w:ind w:left="-113" w:right="-57"/>
              <w:jc w:val="both"/>
              <w:rPr>
                <w:rFonts w:ascii="Times New Roman" w:eastAsia="Calibri" w:hAnsi="Times New Roman" w:cs="Times New Roman"/>
                <w:color w:val="000000" w:themeColor="text1"/>
                <w:sz w:val="24"/>
                <w:szCs w:val="24"/>
                <w:lang w:val="uk-UA" w:eastAsia="ru-RU"/>
              </w:rPr>
            </w:pPr>
            <w:r w:rsidRPr="00F00EB0">
              <w:rPr>
                <w:rFonts w:ascii="Times New Roman" w:eastAsia="Calibri" w:hAnsi="Times New Roman" w:cs="Times New Roman"/>
                <w:color w:val="000000" w:themeColor="text1"/>
                <w:sz w:val="24"/>
                <w:szCs w:val="24"/>
                <w:lang w:val="uk-UA" w:eastAsia="ru-RU"/>
              </w:rPr>
              <w:t>невизначеність операційного середовища прийняття управлінських рішень банком</w:t>
            </w:r>
          </w:p>
        </w:tc>
      </w:tr>
    </w:tbl>
    <w:p w14:paraId="2F67441D" w14:textId="77777777" w:rsidR="009515BC" w:rsidRPr="00F00EB0" w:rsidRDefault="009515BC" w:rsidP="009515BC">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 </w:t>
      </w:r>
    </w:p>
    <w:p w14:paraId="27ACDC69" w14:textId="77777777" w:rsidR="009515BC" w:rsidRPr="00F00EB0" w:rsidRDefault="009515BC" w:rsidP="009515BC">
      <w:pPr>
        <w:widowControl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Отже, в поточний </w:t>
      </w:r>
      <w:r w:rsidRPr="00F00EB0">
        <w:rPr>
          <w:rFonts w:ascii="Times New Roman" w:hAnsi="Times New Roman" w:cs="Times New Roman"/>
          <w:color w:val="000000" w:themeColor="text1"/>
          <w:sz w:val="28"/>
          <w:lang w:val="uk-UA"/>
        </w:rPr>
        <w:t>ФСБ</w:t>
      </w:r>
      <w:r w:rsidRPr="00F00EB0">
        <w:rPr>
          <w:rFonts w:ascii="Times New Roman" w:eastAsia="Calibri" w:hAnsi="Times New Roman" w:cs="Times New Roman"/>
          <w:color w:val="000000" w:themeColor="text1"/>
          <w:sz w:val="28"/>
          <w:szCs w:val="28"/>
          <w:lang w:val="uk-UA" w:eastAsia="ru-RU"/>
        </w:rPr>
        <w:t xml:space="preserve">С України знаходиться на достатньому рівні. Водночас слід зважати на те, що в банківській системі сформована значна кількість внутрішніх вразливостей, які в разі посилання зовнішніх загроз, можуть призвести до наростання кризового потенціалу. </w:t>
      </w:r>
    </w:p>
    <w:p w14:paraId="2D9073C0" w14:textId="77777777" w:rsidR="009515BC" w:rsidRPr="00F00EB0" w:rsidRDefault="009515BC" w:rsidP="009515BC">
      <w:pPr>
        <w:rPr>
          <w:rFonts w:ascii="Times New Roman" w:eastAsia="Times New Roman" w:hAnsi="Times New Roman" w:cs="Times New Roman"/>
          <w:bCs/>
          <w:caps/>
          <w:color w:val="000000" w:themeColor="text1"/>
          <w:sz w:val="28"/>
          <w:szCs w:val="28"/>
          <w:lang w:val="uk-UA" w:eastAsia="ru-RU"/>
        </w:rPr>
      </w:pPr>
      <w:bookmarkStart w:id="16" w:name="_Toc27925562"/>
      <w:r w:rsidRPr="00F00EB0">
        <w:rPr>
          <w:rFonts w:ascii="Times New Roman" w:eastAsia="Times New Roman" w:hAnsi="Times New Roman" w:cs="Times New Roman"/>
          <w:bCs/>
          <w:caps/>
          <w:color w:val="000000" w:themeColor="text1"/>
          <w:sz w:val="28"/>
          <w:szCs w:val="28"/>
          <w:lang w:val="uk-UA" w:eastAsia="ru-RU"/>
        </w:rPr>
        <w:br w:type="page"/>
      </w:r>
    </w:p>
    <w:p w14:paraId="19B54ACB" w14:textId="54398172" w:rsidR="009515BC" w:rsidRPr="00F00EB0" w:rsidRDefault="009515BC" w:rsidP="009515BC">
      <w:pPr>
        <w:keepNext/>
        <w:suppressAutoHyphens/>
        <w:spacing w:after="0" w:line="360" w:lineRule="auto"/>
        <w:ind w:firstLine="709"/>
        <w:jc w:val="both"/>
        <w:outlineLvl w:val="1"/>
        <w:rPr>
          <w:rFonts w:ascii="Times New Roman" w:eastAsia="Times New Roman" w:hAnsi="Times New Roman" w:cs="Times New Roman"/>
          <w:bCs/>
          <w:color w:val="000000" w:themeColor="text1"/>
          <w:sz w:val="28"/>
          <w:szCs w:val="28"/>
          <w:lang w:val="uk-UA" w:eastAsia="ru-RU"/>
        </w:rPr>
      </w:pPr>
      <w:bookmarkStart w:id="17" w:name="_Toc137414307"/>
      <w:r w:rsidRPr="00F00EB0">
        <w:rPr>
          <w:rFonts w:ascii="Times New Roman" w:eastAsia="Times New Roman" w:hAnsi="Times New Roman" w:cs="Times New Roman"/>
          <w:bCs/>
          <w:caps/>
          <w:color w:val="000000" w:themeColor="text1"/>
          <w:sz w:val="28"/>
          <w:szCs w:val="28"/>
          <w:lang w:val="uk-UA" w:eastAsia="ru-RU"/>
        </w:rPr>
        <w:lastRenderedPageBreak/>
        <w:t>2.</w:t>
      </w:r>
      <w:bookmarkEnd w:id="16"/>
      <w:r w:rsidRPr="00F00EB0">
        <w:rPr>
          <w:rFonts w:ascii="Times New Roman" w:eastAsia="Times New Roman" w:hAnsi="Times New Roman" w:cs="Times New Roman"/>
          <w:bCs/>
          <w:caps/>
          <w:color w:val="000000" w:themeColor="text1"/>
          <w:sz w:val="28"/>
          <w:szCs w:val="28"/>
          <w:lang w:val="uk-UA" w:eastAsia="ru-RU"/>
        </w:rPr>
        <w:t>2</w:t>
      </w:r>
      <w:r w:rsidR="00AD1042">
        <w:rPr>
          <w:rFonts w:ascii="Times New Roman" w:eastAsia="Times New Roman" w:hAnsi="Times New Roman" w:cs="Times New Roman"/>
          <w:bCs/>
          <w:caps/>
          <w:color w:val="000000" w:themeColor="text1"/>
          <w:sz w:val="28"/>
          <w:szCs w:val="28"/>
          <w:lang w:val="uk-UA" w:eastAsia="ru-RU"/>
        </w:rPr>
        <w:t> </w:t>
      </w:r>
      <w:r w:rsidRPr="00F00EB0">
        <w:rPr>
          <w:rFonts w:ascii="Times New Roman" w:eastAsia="Times New Roman" w:hAnsi="Times New Roman" w:cs="Times New Roman"/>
          <w:bCs/>
          <w:caps/>
          <w:color w:val="000000" w:themeColor="text1"/>
          <w:sz w:val="28"/>
          <w:szCs w:val="28"/>
          <w:lang w:val="uk-UA" w:eastAsia="ru-RU"/>
        </w:rPr>
        <w:t>А</w:t>
      </w:r>
      <w:r w:rsidRPr="00F00EB0">
        <w:rPr>
          <w:rFonts w:ascii="Times New Roman" w:eastAsia="Times New Roman" w:hAnsi="Times New Roman" w:cs="Times New Roman"/>
          <w:bCs/>
          <w:color w:val="000000" w:themeColor="text1"/>
          <w:sz w:val="28"/>
          <w:szCs w:val="28"/>
          <w:lang w:val="uk-UA" w:eastAsia="ru-RU"/>
        </w:rPr>
        <w:t xml:space="preserve">наліз забезпечення фінансової стійкості </w:t>
      </w:r>
      <w:r w:rsidRPr="00F00EB0">
        <w:rPr>
          <w:rFonts w:ascii="Times New Roman" w:eastAsia="Times New Roman" w:hAnsi="Times New Roman" w:cs="Times New Roman"/>
          <w:bCs/>
          <w:caps/>
          <w:color w:val="000000" w:themeColor="text1"/>
          <w:sz w:val="28"/>
          <w:szCs w:val="28"/>
          <w:lang w:val="uk-UA" w:eastAsia="ru-RU"/>
        </w:rPr>
        <w:t>АТ КБ «</w:t>
      </w:r>
      <w:r w:rsidRPr="00F00EB0">
        <w:rPr>
          <w:rFonts w:ascii="Times New Roman" w:eastAsia="Times New Roman" w:hAnsi="Times New Roman" w:cs="Times New Roman"/>
          <w:bCs/>
          <w:color w:val="000000" w:themeColor="text1"/>
          <w:sz w:val="28"/>
          <w:szCs w:val="28"/>
          <w:lang w:val="uk-UA" w:eastAsia="ru-RU"/>
        </w:rPr>
        <w:t>ПриватБанк</w:t>
      </w:r>
      <w:r w:rsidRPr="00F00EB0">
        <w:rPr>
          <w:rFonts w:ascii="Times New Roman" w:eastAsia="Times New Roman" w:hAnsi="Times New Roman" w:cs="Times New Roman"/>
          <w:bCs/>
          <w:caps/>
          <w:color w:val="000000" w:themeColor="text1"/>
          <w:sz w:val="28"/>
          <w:szCs w:val="28"/>
          <w:lang w:val="uk-UA" w:eastAsia="ru-RU"/>
        </w:rPr>
        <w:t>»</w:t>
      </w:r>
      <w:bookmarkEnd w:id="17"/>
      <w:r w:rsidRPr="00F00EB0">
        <w:rPr>
          <w:rFonts w:ascii="Times New Roman" w:eastAsia="Times New Roman" w:hAnsi="Times New Roman" w:cs="Times New Roman"/>
          <w:bCs/>
          <w:caps/>
          <w:color w:val="000000" w:themeColor="text1"/>
          <w:sz w:val="28"/>
          <w:szCs w:val="28"/>
          <w:lang w:val="uk-UA" w:eastAsia="ru-RU"/>
        </w:rPr>
        <w:t xml:space="preserve"> </w:t>
      </w:r>
    </w:p>
    <w:p w14:paraId="5B031082" w14:textId="77777777" w:rsidR="009515BC" w:rsidRPr="00F00EB0" w:rsidRDefault="009515BC" w:rsidP="009515BC">
      <w:pPr>
        <w:spacing w:after="0" w:line="360" w:lineRule="auto"/>
        <w:ind w:firstLine="709"/>
        <w:rPr>
          <w:rFonts w:ascii="Times New Roman" w:hAnsi="Times New Roman" w:cs="Times New Roman"/>
          <w:color w:val="000000" w:themeColor="text1"/>
          <w:sz w:val="28"/>
          <w:szCs w:val="28"/>
          <w:lang w:val="uk-UA" w:eastAsia="ru-RU"/>
        </w:rPr>
      </w:pPr>
    </w:p>
    <w:p w14:paraId="1F9D1F00" w14:textId="77777777" w:rsidR="009515BC" w:rsidRPr="00F00EB0" w:rsidRDefault="009515BC" w:rsidP="009515BC">
      <w:pPr>
        <w:autoSpaceDE w:val="0"/>
        <w:autoSpaceDN w:val="0"/>
        <w:adjustRightInd w:val="0"/>
        <w:spacing w:after="0" w:line="360" w:lineRule="auto"/>
        <w:ind w:firstLine="709"/>
        <w:contextualSpacing/>
        <w:jc w:val="both"/>
        <w:rPr>
          <w:rFonts w:ascii="Times New Roman" w:eastAsia="Calibri" w:hAnsi="Times New Roman" w:cs="Times New Roman"/>
          <w:color w:val="000000" w:themeColor="text1"/>
          <w:sz w:val="28"/>
          <w:szCs w:val="28"/>
          <w:lang w:val="uk-UA"/>
        </w:rPr>
      </w:pPr>
    </w:p>
    <w:p w14:paraId="69BAF952" w14:textId="77777777" w:rsidR="009515BC" w:rsidRPr="00F00EB0" w:rsidRDefault="009515BC" w:rsidP="009515BC">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eastAsia="ru-RU"/>
        </w:rPr>
        <w:t xml:space="preserve">Базою дослідження роботи є діяльність, фінансова стійкість та механізм її забезпечення в </w:t>
      </w:r>
      <w:r w:rsidRPr="00F00EB0">
        <w:rPr>
          <w:rFonts w:ascii="Times New Roman" w:eastAsia="WenQuanYi Micro Hei" w:hAnsi="Times New Roman" w:cs="Times New Roman"/>
          <w:bCs/>
          <w:color w:val="000000" w:themeColor="text1"/>
          <w:kern w:val="3"/>
          <w:sz w:val="28"/>
          <w:szCs w:val="28"/>
          <w:lang w:val="uk-UA" w:eastAsia="zh-CN" w:bidi="hi-IN"/>
        </w:rPr>
        <w:t>АТ КБ «ПриватБанк</w:t>
      </w:r>
      <w:r w:rsidRPr="00F00EB0">
        <w:rPr>
          <w:rFonts w:ascii="Times New Roman" w:hAnsi="Times New Roman" w:cs="Times New Roman"/>
          <w:color w:val="000000" w:themeColor="text1"/>
          <w:sz w:val="28"/>
          <w:szCs w:val="28"/>
          <w:lang w:val="uk-UA"/>
        </w:rPr>
        <w:t>.</w:t>
      </w:r>
    </w:p>
    <w:p w14:paraId="44FBB314" w14:textId="77777777" w:rsidR="009515BC" w:rsidRPr="00F00EB0" w:rsidRDefault="009515BC" w:rsidP="009515BC">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Як було визначено, основу механізму формує суб’єктна складова, що включає підрозділи та посадових осіб, до функцій яких відповідно до рівня їх компетенцій та ієрархії в організаційно-управлінській структурі банку, належить забезпечення ФСБ.  </w:t>
      </w:r>
    </w:p>
    <w:p w14:paraId="0711DC83" w14:textId="77777777" w:rsidR="009515BC" w:rsidRPr="00F00EB0" w:rsidRDefault="009515BC" w:rsidP="009515BC">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Суб’єктна складова механізму забезпечення ФСБ АТ КБ «ПриватБанк» формується відповідно до законодавства та нормативно-правової бази України з дотриманням принципів та кращих практик корпоративного управління та враховує особливості та масштаби його діяльності. Це дозволяє банку ефективно забезпечувати функції фінансової безпеки та знижувати ризики відповідно до встановлених стандартів, результатом чого є підтримка ФСБ на належному рівні.</w:t>
      </w:r>
    </w:p>
    <w:p w14:paraId="534543B0" w14:textId="77777777" w:rsidR="009515BC" w:rsidRPr="00F00EB0" w:rsidRDefault="009515BC" w:rsidP="009515BC">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В узагальненому вигляді склад суб’єктів механізму забезпечення ФСБ АТ КБ «ПриватБанк» представлений на рисунку 2.11, в додатку Е </w:t>
      </w:r>
      <w:r w:rsidRPr="00F00EB0">
        <w:rPr>
          <w:rFonts w:ascii="Times New Roman" w:eastAsia="Calibri" w:hAnsi="Times New Roman" w:cs="Times New Roman"/>
          <w:color w:val="000000" w:themeColor="text1"/>
          <w:sz w:val="28"/>
          <w:szCs w:val="28"/>
          <w:lang w:val="uk-UA" w:eastAsia="ru-RU"/>
        </w:rPr>
        <w:t>[59]</w:t>
      </w:r>
      <w:r w:rsidRPr="00F00EB0">
        <w:rPr>
          <w:rFonts w:ascii="Times New Roman" w:eastAsia="Times New Roman" w:hAnsi="Times New Roman" w:cs="Times New Roman"/>
          <w:color w:val="000000" w:themeColor="text1"/>
          <w:sz w:val="28"/>
          <w:szCs w:val="28"/>
          <w:lang w:val="uk-UA"/>
        </w:rPr>
        <w:t>.</w:t>
      </w:r>
    </w:p>
    <w:p w14:paraId="23429653" w14:textId="77777777" w:rsidR="009515BC" w:rsidRPr="00F00EB0" w:rsidRDefault="009515BC" w:rsidP="009515BC">
      <w:pPr>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У 2022 році для оперативного антикризового управління в АТ КБ «ПриватБанк» «створено антикризовий штаб, якому делеговані повноваження правління для розв’язання задач, що виникають у період кризової ситуації, зокрема: активація, зміни та доповнення антикризового плану дій; прийняття рішень про тимчасове призупинення функціонування відділень та філій через дестабілізацію ситуації або військових дій; встановлення нових лімітів та обмежень для клієнтів щодо надання банківських, фінансових та інших послуг; призупинення або припинення виконання господарських договорів, не пов’язаних з обслуговуванням клієнтів; прийняття рішення про можливу часткову евакуацію персоналу, виплату матеріальної допомоги працівникам/членами їх сімей» </w:t>
      </w:r>
      <w:r w:rsidRPr="00F00EB0">
        <w:rPr>
          <w:rFonts w:ascii="Times New Roman" w:eastAsia="Calibri" w:hAnsi="Times New Roman" w:cs="Times New Roman"/>
          <w:color w:val="000000" w:themeColor="text1"/>
          <w:sz w:val="28"/>
          <w:szCs w:val="28"/>
          <w:lang w:val="uk-UA"/>
        </w:rPr>
        <w:t>[59]</w:t>
      </w:r>
      <w:r w:rsidRPr="00F00EB0">
        <w:rPr>
          <w:rFonts w:ascii="Times New Roman" w:hAnsi="Times New Roman" w:cs="Times New Roman"/>
          <w:color w:val="000000" w:themeColor="text1"/>
          <w:sz w:val="28"/>
          <w:szCs w:val="28"/>
          <w:lang w:val="uk-UA"/>
        </w:rPr>
        <w:t xml:space="preserve">. </w:t>
      </w:r>
      <w:r w:rsidRPr="00F00EB0">
        <w:rPr>
          <w:rFonts w:ascii="Times New Roman" w:hAnsi="Times New Roman" w:cs="Times New Roman"/>
          <w:color w:val="000000" w:themeColor="text1"/>
          <w:sz w:val="28"/>
          <w:szCs w:val="28"/>
          <w:lang w:val="uk-UA"/>
        </w:rPr>
        <w:cr/>
      </w:r>
    </w:p>
    <w:p w14:paraId="4C8DAA65" w14:textId="77777777" w:rsidR="009515BC" w:rsidRPr="00F00EB0" w:rsidRDefault="009515BC" w:rsidP="009515BC">
      <w:pPr>
        <w:spacing w:after="0" w:line="360" w:lineRule="auto"/>
        <w:contextualSpacing/>
        <w:jc w:val="both"/>
        <w:rPr>
          <w:rFonts w:ascii="Times New Roman" w:eastAsia="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lang w:eastAsia="ru-RU"/>
        </w:rPr>
        <w:lastRenderedPageBreak/>
        <mc:AlternateContent>
          <mc:Choice Requires="wpc">
            <w:drawing>
              <wp:anchor distT="0" distB="0" distL="114300" distR="114300" simplePos="0" relativeHeight="251681280" behindDoc="0" locked="0" layoutInCell="1" allowOverlap="1" wp14:anchorId="0D5E2975" wp14:editId="706931B0">
                <wp:simplePos x="0" y="0"/>
                <wp:positionH relativeFrom="character">
                  <wp:posOffset>363855</wp:posOffset>
                </wp:positionH>
                <wp:positionV relativeFrom="line">
                  <wp:posOffset>-80010</wp:posOffset>
                </wp:positionV>
                <wp:extent cx="5869305" cy="7987030"/>
                <wp:effectExtent l="6985" t="11430" r="10160" b="2540"/>
                <wp:wrapNone/>
                <wp:docPr id="187" name="Полотно 51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268406314" name="Прямая со стрелкой 52"/>
                        <wps:cNvCnPr>
                          <a:cxnSpLocks noChangeShapeType="1"/>
                        </wps:cNvCnPr>
                        <wps:spPr bwMode="auto">
                          <a:xfrm>
                            <a:off x="3565368" y="569152"/>
                            <a:ext cx="0" cy="1866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48238228" name="Прямая со стрелкой 60"/>
                        <wps:cNvCnPr>
                          <a:cxnSpLocks noChangeShapeType="1"/>
                        </wps:cNvCnPr>
                        <wps:spPr bwMode="auto">
                          <a:xfrm flipV="1">
                            <a:off x="3415652" y="597655"/>
                            <a:ext cx="0" cy="266124"/>
                          </a:xfrm>
                          <a:prstGeom prst="straightConnector1">
                            <a:avLst/>
                          </a:prstGeom>
                          <a:noFill/>
                          <a:ln w="9525">
                            <a:solidFill>
                              <a:srgbClr val="000000"/>
                            </a:solidFill>
                            <a:prstDash val="sysDash"/>
                            <a:round/>
                            <a:headEnd/>
                            <a:tailEnd type="triangle" w="med" len="med"/>
                          </a:ln>
                          <a:extLst>
                            <a:ext uri="{909E8E84-426E-40DD-AFC4-6F175D3DCCD1}">
                              <a14:hiddenFill xmlns:a14="http://schemas.microsoft.com/office/drawing/2010/main">
                                <a:noFill/>
                              </a14:hiddenFill>
                            </a:ext>
                          </a:extLst>
                        </wps:spPr>
                        <wps:bodyPr/>
                      </wps:wsp>
                      <wps:wsp>
                        <wps:cNvPr id="4270601" name="Прямоугольник 61"/>
                        <wps:cNvSpPr>
                          <a:spLocks noChangeArrowheads="1"/>
                        </wps:cNvSpPr>
                        <wps:spPr bwMode="auto">
                          <a:xfrm>
                            <a:off x="1420246" y="3861853"/>
                            <a:ext cx="4415355" cy="2218903"/>
                          </a:xfrm>
                          <a:prstGeom prst="rect">
                            <a:avLst/>
                          </a:prstGeom>
                          <a:pattFill prst="dotGrid">
                            <a:fgClr>
                              <a:srgbClr val="BFBFBF"/>
                            </a:fgClr>
                            <a:bgClr>
                              <a:srgbClr val="FFFFFF"/>
                            </a:bgClr>
                          </a:pattFill>
                          <a:ln w="9525">
                            <a:solidFill>
                              <a:srgbClr val="FFFFFF"/>
                            </a:solidFill>
                            <a:prstDash val="dash"/>
                            <a:miter lim="800000"/>
                            <a:headEnd/>
                            <a:tailEnd/>
                          </a:ln>
                        </wps:spPr>
                        <wps:txbx>
                          <w:txbxContent>
                            <w:p w14:paraId="4CF405AB" w14:textId="77777777" w:rsidR="009515BC" w:rsidRPr="00413386" w:rsidRDefault="009515BC" w:rsidP="009515BC">
                              <w:pPr>
                                <w:pStyle w:val="afd"/>
                                <w:spacing w:before="0" w:beforeAutospacing="0" w:after="0" w:afterAutospacing="0"/>
                                <w:jc w:val="center"/>
                              </w:pPr>
                              <w:r w:rsidRPr="00413386">
                                <w:t> </w:t>
                              </w:r>
                            </w:p>
                          </w:txbxContent>
                        </wps:txbx>
                        <wps:bodyPr rot="0" vert="horz" wrap="square" lIns="91440" tIns="45720" rIns="91440" bIns="45720" anchor="ctr" anchorCtr="0" upright="1">
                          <a:noAutofit/>
                        </wps:bodyPr>
                      </wps:wsp>
                      <wps:wsp>
                        <wps:cNvPr id="1604578116" name="Прямоугольник 512"/>
                        <wps:cNvSpPr>
                          <a:spLocks noChangeArrowheads="1"/>
                        </wps:cNvSpPr>
                        <wps:spPr bwMode="auto">
                          <a:xfrm>
                            <a:off x="1397144" y="1141104"/>
                            <a:ext cx="4402654" cy="2720749"/>
                          </a:xfrm>
                          <a:prstGeom prst="rect">
                            <a:avLst/>
                          </a:prstGeom>
                          <a:pattFill prst="ltDnDiag">
                            <a:fgClr>
                              <a:srgbClr val="BFBFBF"/>
                            </a:fgClr>
                            <a:bgClr>
                              <a:srgbClr val="FFFFFF"/>
                            </a:bgClr>
                          </a:pattFill>
                          <a:ln w="9525">
                            <a:solidFill>
                              <a:srgbClr val="FFFFFF"/>
                            </a:solidFill>
                            <a:prstDash val="dash"/>
                            <a:miter lim="800000"/>
                            <a:headEnd/>
                            <a:tailEnd/>
                          </a:ln>
                        </wps:spPr>
                        <wps:txbx>
                          <w:txbxContent>
                            <w:p w14:paraId="488A48F0" w14:textId="77777777" w:rsidR="009515BC" w:rsidRPr="00413386" w:rsidRDefault="009515BC" w:rsidP="009515BC">
                              <w:pPr>
                                <w:pStyle w:val="afd"/>
                                <w:spacing w:before="0" w:beforeAutospacing="0" w:after="0" w:afterAutospacing="0"/>
                                <w:jc w:val="center"/>
                              </w:pPr>
                              <w:r w:rsidRPr="00413386">
                                <w:t> </w:t>
                              </w:r>
                            </w:p>
                          </w:txbxContent>
                        </wps:txbx>
                        <wps:bodyPr rot="0" vert="horz" wrap="square" lIns="91440" tIns="45720" rIns="91440" bIns="45720" anchor="ctr" anchorCtr="0" upright="1">
                          <a:noAutofit/>
                        </wps:bodyPr>
                      </wps:wsp>
                      <wps:wsp>
                        <wps:cNvPr id="1404363209" name="Прямоугольник 513"/>
                        <wps:cNvSpPr>
                          <a:spLocks noChangeArrowheads="1"/>
                        </wps:cNvSpPr>
                        <wps:spPr bwMode="auto">
                          <a:xfrm>
                            <a:off x="1402045" y="0"/>
                            <a:ext cx="4402654" cy="569152"/>
                          </a:xfrm>
                          <a:prstGeom prst="rect">
                            <a:avLst/>
                          </a:prstGeom>
                          <a:pattFill prst="pct50">
                            <a:fgClr>
                              <a:srgbClr val="BFBFBF"/>
                            </a:fgClr>
                            <a:bgClr>
                              <a:srgbClr val="FFFFFF"/>
                            </a:bgClr>
                          </a:pattFill>
                          <a:ln w="9525">
                            <a:solidFill>
                              <a:srgbClr val="FFFFFF"/>
                            </a:solidFill>
                            <a:prstDash val="dash"/>
                            <a:miter lim="800000"/>
                            <a:headEnd/>
                            <a:tailEnd/>
                          </a:ln>
                        </wps:spPr>
                        <wps:txbx>
                          <w:txbxContent>
                            <w:p w14:paraId="7C1CF487" w14:textId="77777777" w:rsidR="009515BC" w:rsidRPr="00413386" w:rsidRDefault="009515BC" w:rsidP="009515BC">
                              <w:pPr>
                                <w:pStyle w:val="afd"/>
                                <w:spacing w:before="0" w:beforeAutospacing="0" w:after="0" w:afterAutospacing="0"/>
                                <w:jc w:val="center"/>
                              </w:pPr>
                            </w:p>
                          </w:txbxContent>
                        </wps:txbx>
                        <wps:bodyPr rot="0" vert="horz" wrap="square" lIns="91440" tIns="45720" rIns="91440" bIns="45720" anchor="ctr" anchorCtr="0" upright="1">
                          <a:noAutofit/>
                        </wps:bodyPr>
                      </wps:wsp>
                      <wps:wsp>
                        <wps:cNvPr id="725002544" name="Прямоугольник 514"/>
                        <wps:cNvSpPr>
                          <a:spLocks noChangeArrowheads="1"/>
                        </wps:cNvSpPr>
                        <wps:spPr bwMode="auto">
                          <a:xfrm>
                            <a:off x="1541659" y="53105"/>
                            <a:ext cx="4264640" cy="443541"/>
                          </a:xfrm>
                          <a:prstGeom prst="rect">
                            <a:avLst/>
                          </a:prstGeom>
                          <a:solidFill>
                            <a:srgbClr val="FFFFFF"/>
                          </a:solidFill>
                          <a:ln w="19050">
                            <a:solidFill>
                              <a:srgbClr val="000000"/>
                            </a:solidFill>
                            <a:prstDash val="sysDash"/>
                            <a:miter lim="800000"/>
                            <a:headEnd/>
                            <a:tailEnd/>
                          </a:ln>
                        </wps:spPr>
                        <wps:txbx>
                          <w:txbxContent>
                            <w:p w14:paraId="7DDDDAF9" w14:textId="77777777" w:rsidR="009515BC" w:rsidRPr="00351CF9" w:rsidRDefault="009515BC" w:rsidP="009515BC">
                              <w:pPr>
                                <w:pStyle w:val="afd"/>
                                <w:spacing w:before="0" w:beforeAutospacing="0" w:after="0" w:afterAutospacing="0"/>
                                <w:jc w:val="center"/>
                              </w:pPr>
                              <w:r w:rsidRPr="00351CF9">
                                <w:rPr>
                                  <w:rFonts w:eastAsia="Calibri"/>
                                  <w:color w:val="000000"/>
                                </w:rPr>
                                <w:t>Єдиний акціонер, якому належать 100% акцій, є держава в особі Кабінету Міністрів України</w:t>
                              </w:r>
                            </w:p>
                          </w:txbxContent>
                        </wps:txbx>
                        <wps:bodyPr rot="0" vert="horz" wrap="square" lIns="91440" tIns="45720" rIns="91440" bIns="45720" anchor="ctr" anchorCtr="0" upright="1">
                          <a:noAutofit/>
                        </wps:bodyPr>
                      </wps:wsp>
                      <wps:wsp>
                        <wps:cNvPr id="341813629" name="Прямоугольник 515"/>
                        <wps:cNvSpPr>
                          <a:spLocks noChangeArrowheads="1"/>
                        </wps:cNvSpPr>
                        <wps:spPr bwMode="auto">
                          <a:xfrm>
                            <a:off x="1540659" y="3945961"/>
                            <a:ext cx="1062810" cy="774671"/>
                          </a:xfrm>
                          <a:prstGeom prst="rect">
                            <a:avLst/>
                          </a:prstGeom>
                          <a:solidFill>
                            <a:srgbClr val="FFFFFF"/>
                          </a:solidFill>
                          <a:ln w="19050">
                            <a:solidFill>
                              <a:srgbClr val="000000"/>
                            </a:solidFill>
                            <a:miter lim="800000"/>
                            <a:headEnd/>
                            <a:tailEnd/>
                          </a:ln>
                        </wps:spPr>
                        <wps:txbx>
                          <w:txbxContent>
                            <w:p w14:paraId="43266D15" w14:textId="77777777" w:rsidR="009515BC" w:rsidRPr="00EA71F9" w:rsidRDefault="009515BC" w:rsidP="009515BC">
                              <w:pPr>
                                <w:pStyle w:val="afd"/>
                                <w:spacing w:before="0" w:beforeAutospacing="0" w:after="0" w:afterAutospacing="0"/>
                                <w:jc w:val="center"/>
                                <w:rPr>
                                  <w:rFonts w:eastAsia="Calibri"/>
                                  <w:color w:val="000000"/>
                                </w:rPr>
                              </w:pPr>
                              <w:r w:rsidRPr="00EA71F9">
                                <w:rPr>
                                  <w:rFonts w:eastAsia="Calibri"/>
                                  <w:color w:val="000000"/>
                                </w:rPr>
                                <w:t>Правління</w:t>
                              </w:r>
                            </w:p>
                            <w:p w14:paraId="34338463" w14:textId="77777777" w:rsidR="009515BC" w:rsidRPr="00413386" w:rsidRDefault="009515BC" w:rsidP="009515BC">
                              <w:pPr>
                                <w:pStyle w:val="afd"/>
                                <w:spacing w:before="0" w:beforeAutospacing="0" w:after="0" w:afterAutospacing="0"/>
                                <w:jc w:val="center"/>
                                <w:rPr>
                                  <w:sz w:val="10"/>
                                  <w:szCs w:val="10"/>
                                </w:rPr>
                              </w:pPr>
                            </w:p>
                          </w:txbxContent>
                        </wps:txbx>
                        <wps:bodyPr rot="0" vert="horz" wrap="square" lIns="91440" tIns="45720" rIns="91440" bIns="45720" anchor="t" anchorCtr="0" upright="1">
                          <a:noAutofit/>
                        </wps:bodyPr>
                      </wps:wsp>
                      <wps:wsp>
                        <wps:cNvPr id="411974869" name="Прямоугольник 516"/>
                        <wps:cNvSpPr>
                          <a:spLocks noChangeArrowheads="1"/>
                        </wps:cNvSpPr>
                        <wps:spPr bwMode="auto">
                          <a:xfrm>
                            <a:off x="71807" y="53105"/>
                            <a:ext cx="1122816" cy="448241"/>
                          </a:xfrm>
                          <a:prstGeom prst="rect">
                            <a:avLst/>
                          </a:prstGeom>
                          <a:solidFill>
                            <a:srgbClr val="FFFFFF"/>
                          </a:solidFill>
                          <a:ln w="9525">
                            <a:solidFill>
                              <a:srgbClr val="000000"/>
                            </a:solidFill>
                            <a:prstDash val="dash"/>
                            <a:miter lim="800000"/>
                            <a:headEnd/>
                            <a:tailEnd/>
                          </a:ln>
                        </wps:spPr>
                        <wps:txbx>
                          <w:txbxContent>
                            <w:p w14:paraId="376AA7ED" w14:textId="77777777" w:rsidR="009515BC" w:rsidRPr="00351CF9" w:rsidRDefault="009515BC" w:rsidP="009515BC">
                              <w:pPr>
                                <w:pStyle w:val="afd"/>
                                <w:spacing w:before="0" w:beforeAutospacing="0" w:after="0" w:afterAutospacing="0"/>
                                <w:jc w:val="center"/>
                              </w:pPr>
                              <w:r w:rsidRPr="00351CF9">
                                <w:rPr>
                                  <w:rFonts w:eastAsia="Calibri"/>
                                  <w:color w:val="000000"/>
                                </w:rPr>
                                <w:t>Рівень власності</w:t>
                              </w:r>
                            </w:p>
                          </w:txbxContent>
                        </wps:txbx>
                        <wps:bodyPr rot="0" vert="horz" wrap="square" lIns="91440" tIns="45720" rIns="91440" bIns="45720" anchor="ctr" anchorCtr="0" upright="1">
                          <a:noAutofit/>
                        </wps:bodyPr>
                      </wps:wsp>
                      <wps:wsp>
                        <wps:cNvPr id="318487839" name="Прямоугольник 517"/>
                        <wps:cNvSpPr>
                          <a:spLocks noChangeArrowheads="1"/>
                        </wps:cNvSpPr>
                        <wps:spPr bwMode="auto">
                          <a:xfrm>
                            <a:off x="71807" y="1240013"/>
                            <a:ext cx="1115515" cy="859379"/>
                          </a:xfrm>
                          <a:prstGeom prst="rect">
                            <a:avLst/>
                          </a:prstGeom>
                          <a:solidFill>
                            <a:srgbClr val="FFFFFF"/>
                          </a:solidFill>
                          <a:ln w="9525">
                            <a:solidFill>
                              <a:srgbClr val="000000"/>
                            </a:solidFill>
                            <a:prstDash val="dash"/>
                            <a:miter lim="800000"/>
                            <a:headEnd/>
                            <a:tailEnd/>
                          </a:ln>
                        </wps:spPr>
                        <wps:txbx>
                          <w:txbxContent>
                            <w:p w14:paraId="11B90066" w14:textId="77777777" w:rsidR="009515BC" w:rsidRPr="00351CF9" w:rsidRDefault="009515BC" w:rsidP="009515BC">
                              <w:pPr>
                                <w:pStyle w:val="afd"/>
                                <w:spacing w:before="0" w:beforeAutospacing="0" w:after="0" w:afterAutospacing="0"/>
                                <w:ind w:left="-142" w:right="-143"/>
                                <w:jc w:val="center"/>
                                <w:rPr>
                                  <w:rFonts w:eastAsia="Calibri"/>
                                  <w:color w:val="000000"/>
                                </w:rPr>
                              </w:pPr>
                              <w:r w:rsidRPr="00351CF9">
                                <w:rPr>
                                  <w:rFonts w:eastAsia="Calibri"/>
                                  <w:color w:val="000000"/>
                                </w:rPr>
                                <w:t xml:space="preserve">Рівень </w:t>
                              </w:r>
                            </w:p>
                            <w:p w14:paraId="0150FF9B" w14:textId="77777777" w:rsidR="009515BC" w:rsidRPr="00351CF9" w:rsidRDefault="009515BC" w:rsidP="009515BC">
                              <w:pPr>
                                <w:pStyle w:val="afd"/>
                                <w:spacing w:before="0" w:beforeAutospacing="0" w:after="0" w:afterAutospacing="0"/>
                                <w:ind w:left="-142" w:right="-143"/>
                                <w:jc w:val="center"/>
                              </w:pPr>
                              <w:r w:rsidRPr="00351CF9">
                                <w:rPr>
                                  <w:rFonts w:eastAsia="Calibri"/>
                                  <w:color w:val="000000"/>
                                </w:rPr>
                                <w:t>встановлення цілей</w:t>
                              </w:r>
                            </w:p>
                          </w:txbxContent>
                        </wps:txbx>
                        <wps:bodyPr rot="0" vert="horz" wrap="square" lIns="91440" tIns="45720" rIns="91440" bIns="45720" anchor="ctr" anchorCtr="0" upright="1">
                          <a:noAutofit/>
                        </wps:bodyPr>
                      </wps:wsp>
                      <wps:wsp>
                        <wps:cNvPr id="626496270" name="Скругленный прямоугольник 518"/>
                        <wps:cNvSpPr>
                          <a:spLocks noChangeArrowheads="1"/>
                        </wps:cNvSpPr>
                        <wps:spPr bwMode="auto">
                          <a:xfrm>
                            <a:off x="1624867" y="1206210"/>
                            <a:ext cx="4205934" cy="1447432"/>
                          </a:xfrm>
                          <a:prstGeom prst="roundRect">
                            <a:avLst>
                              <a:gd name="adj" fmla="val 10458"/>
                            </a:avLst>
                          </a:prstGeom>
                          <a:solidFill>
                            <a:srgbClr val="FFFFFF"/>
                          </a:solidFill>
                          <a:ln w="9525">
                            <a:solidFill>
                              <a:srgbClr val="000000"/>
                            </a:solidFill>
                            <a:round/>
                            <a:headEnd/>
                            <a:tailEnd/>
                          </a:ln>
                        </wps:spPr>
                        <wps:bodyPr rot="0" vert="horz" wrap="square" lIns="91440" tIns="45720" rIns="91440" bIns="45720" anchor="ctr" anchorCtr="0" upright="1">
                          <a:noAutofit/>
                        </wps:bodyPr>
                      </wps:wsp>
                      <wps:wsp>
                        <wps:cNvPr id="875580648" name="Прямоугольник 519"/>
                        <wps:cNvSpPr>
                          <a:spLocks noChangeArrowheads="1"/>
                        </wps:cNvSpPr>
                        <wps:spPr bwMode="auto">
                          <a:xfrm>
                            <a:off x="1494354" y="1206210"/>
                            <a:ext cx="2759284" cy="349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6A99C7" w14:textId="77777777" w:rsidR="009515BC" w:rsidRPr="00351CF9" w:rsidRDefault="009515BC" w:rsidP="009515BC">
                              <w:pPr>
                                <w:pStyle w:val="afd"/>
                                <w:spacing w:before="0" w:beforeAutospacing="0" w:after="0" w:afterAutospacing="0"/>
                                <w:jc w:val="center"/>
                              </w:pPr>
                              <w:r w:rsidRPr="00351CF9">
                                <w:rPr>
                                  <w:rFonts w:eastAsia="Calibri"/>
                                  <w:color w:val="000000"/>
                                </w:rPr>
                                <w:t>Контролюючі комітети</w:t>
                              </w:r>
                            </w:p>
                          </w:txbxContent>
                        </wps:txbx>
                        <wps:bodyPr rot="0" vert="horz" wrap="square" lIns="91440" tIns="45720" rIns="91440" bIns="45720" anchor="ctr" anchorCtr="0" upright="1">
                          <a:noAutofit/>
                        </wps:bodyPr>
                      </wps:wsp>
                      <wps:wsp>
                        <wps:cNvPr id="93884726" name="Прямоугольник 520"/>
                        <wps:cNvSpPr>
                          <a:spLocks noChangeArrowheads="1"/>
                        </wps:cNvSpPr>
                        <wps:spPr bwMode="auto">
                          <a:xfrm>
                            <a:off x="1707476" y="1490636"/>
                            <a:ext cx="2545762" cy="1094100"/>
                          </a:xfrm>
                          <a:prstGeom prst="rect">
                            <a:avLst/>
                          </a:prstGeom>
                          <a:solidFill>
                            <a:srgbClr val="FFFFFF"/>
                          </a:solidFill>
                          <a:ln w="9525">
                            <a:solidFill>
                              <a:srgbClr val="000000"/>
                            </a:solidFill>
                            <a:miter lim="800000"/>
                            <a:headEnd/>
                            <a:tailEnd/>
                          </a:ln>
                        </wps:spPr>
                        <wps:txbx>
                          <w:txbxContent>
                            <w:p w14:paraId="639A312C" w14:textId="77777777" w:rsidR="009515BC" w:rsidRPr="00351CF9" w:rsidRDefault="009515BC" w:rsidP="009515BC">
                              <w:pPr>
                                <w:pStyle w:val="afd"/>
                                <w:spacing w:before="0" w:beforeAutospacing="0" w:after="0" w:afterAutospacing="0"/>
                                <w:ind w:left="-113" w:right="-113"/>
                                <w:jc w:val="center"/>
                                <w:rPr>
                                  <w:rFonts w:eastAsia="Calibri"/>
                                  <w:color w:val="000000"/>
                                </w:rPr>
                              </w:pPr>
                              <w:r w:rsidRPr="00351CF9">
                                <w:rPr>
                                  <w:rFonts w:eastAsia="Calibri"/>
                                  <w:color w:val="000000"/>
                                </w:rPr>
                                <w:t>з корпоративного управління, винагород та призначень;</w:t>
                              </w:r>
                            </w:p>
                            <w:p w14:paraId="2D5D4E13" w14:textId="77777777" w:rsidR="009515BC" w:rsidRPr="00351CF9" w:rsidRDefault="009515BC" w:rsidP="009515BC">
                              <w:pPr>
                                <w:pStyle w:val="afd"/>
                                <w:spacing w:before="0" w:beforeAutospacing="0" w:after="0" w:afterAutospacing="0"/>
                                <w:ind w:left="-113" w:right="-113"/>
                                <w:jc w:val="center"/>
                              </w:pPr>
                              <w:r w:rsidRPr="00351CF9">
                                <w:rPr>
                                  <w:rFonts w:eastAsia="Calibri"/>
                                  <w:color w:val="000000"/>
                                </w:rPr>
                                <w:t xml:space="preserve">з питань технологій, даних та інновацій; </w:t>
                              </w:r>
                              <w:r>
                                <w:rPr>
                                  <w:rFonts w:eastAsia="Calibri"/>
                                  <w:color w:val="000000"/>
                                </w:rPr>
                                <w:t>\</w:t>
                              </w:r>
                              <w:r w:rsidRPr="00351CF9">
                                <w:rPr>
                                  <w:rFonts w:eastAsia="Calibri"/>
                                  <w:color w:val="000000"/>
                                </w:rPr>
                                <w:t>з питань з питань стратегії і трансформації.</w:t>
                              </w:r>
                            </w:p>
                          </w:txbxContent>
                        </wps:txbx>
                        <wps:bodyPr rot="0" vert="horz" wrap="square" lIns="91440" tIns="45720" rIns="91440" bIns="45720" anchor="ctr" anchorCtr="0" upright="1">
                          <a:noAutofit/>
                        </wps:bodyPr>
                      </wps:wsp>
                      <wps:wsp>
                        <wps:cNvPr id="304649815" name="Скругленный прямоугольник 523"/>
                        <wps:cNvSpPr>
                          <a:spLocks noChangeArrowheads="1"/>
                        </wps:cNvSpPr>
                        <wps:spPr bwMode="auto">
                          <a:xfrm>
                            <a:off x="1481653" y="4823541"/>
                            <a:ext cx="4250838" cy="1064597"/>
                          </a:xfrm>
                          <a:prstGeom prst="roundRect">
                            <a:avLst>
                              <a:gd name="adj" fmla="val 7356"/>
                            </a:avLst>
                          </a:prstGeom>
                          <a:solidFill>
                            <a:srgbClr val="FFFFFF"/>
                          </a:solidFill>
                          <a:ln w="9525">
                            <a:solidFill>
                              <a:srgbClr val="000000"/>
                            </a:solidFill>
                            <a:round/>
                            <a:headEnd/>
                            <a:tailEnd/>
                          </a:ln>
                        </wps:spPr>
                        <wps:txbx>
                          <w:txbxContent>
                            <w:p w14:paraId="6F88EC0B" w14:textId="77777777" w:rsidR="009515BC" w:rsidRPr="00866ECF" w:rsidRDefault="009515BC" w:rsidP="009515BC">
                              <w:pPr>
                                <w:spacing w:after="0" w:line="240" w:lineRule="auto"/>
                                <w:ind w:left="-113" w:right="-113"/>
                                <w:jc w:val="both"/>
                                <w:rPr>
                                  <w:rFonts w:ascii="Times New Roman" w:hAnsi="Times New Roman" w:cs="Times New Roman"/>
                                  <w:sz w:val="24"/>
                                  <w:szCs w:val="24"/>
                                  <w:lang w:val="en-US"/>
                                </w:rPr>
                              </w:pPr>
                              <w:r w:rsidRPr="00866ECF">
                                <w:rPr>
                                  <w:rFonts w:ascii="Times New Roman" w:hAnsi="Times New Roman" w:cs="Times New Roman"/>
                                  <w:sz w:val="24"/>
                                  <w:szCs w:val="24"/>
                                  <w:lang w:val="uk-UA"/>
                                </w:rPr>
                                <w:t>Додаткові комітети: бюджетний, з питань комп</w:t>
                              </w:r>
                              <w:r>
                                <w:rPr>
                                  <w:rFonts w:ascii="Times New Roman" w:hAnsi="Times New Roman" w:cs="Times New Roman"/>
                                  <w:sz w:val="24"/>
                                  <w:szCs w:val="24"/>
                                  <w:lang w:val="uk-UA"/>
                                </w:rPr>
                                <w:t>лаєнсу та фінансової безпеки,</w:t>
                              </w:r>
                              <w:r>
                                <w:rPr>
                                  <w:rFonts w:ascii="Times New Roman" w:hAnsi="Times New Roman" w:cs="Times New Roman"/>
                                  <w:sz w:val="24"/>
                                  <w:szCs w:val="24"/>
                                  <w:lang w:val="en-US"/>
                                </w:rPr>
                                <w:t xml:space="preserve"> </w:t>
                              </w:r>
                              <w:r w:rsidRPr="00866ECF">
                                <w:rPr>
                                  <w:rFonts w:ascii="Times New Roman" w:hAnsi="Times New Roman" w:cs="Times New Roman"/>
                                  <w:sz w:val="24"/>
                                  <w:szCs w:val="24"/>
                                  <w:lang w:val="uk-UA"/>
                                </w:rPr>
                                <w:t xml:space="preserve">з управління непрацюючими активами, з управління операційними ризиками та інформаційною безпекою; трансформаційний, технологічний, з питань продуктів та тарифів, маркетинговий </w:t>
                              </w:r>
                              <w:r>
                                <w:rPr>
                                  <w:rFonts w:ascii="Times New Roman" w:hAnsi="Times New Roman" w:cs="Times New Roman"/>
                                  <w:sz w:val="24"/>
                                  <w:szCs w:val="24"/>
                                  <w:lang w:val="uk-UA"/>
                                </w:rPr>
                                <w:t xml:space="preserve">та </w:t>
                              </w:r>
                              <w:r>
                                <w:rPr>
                                  <w:rFonts w:ascii="Times New Roman" w:hAnsi="Times New Roman" w:cs="Times New Roman"/>
                                  <w:sz w:val="24"/>
                                  <w:szCs w:val="24"/>
                                  <w:lang w:val="en-US"/>
                                </w:rPr>
                                <w:t>PR</w:t>
                              </w:r>
                            </w:p>
                          </w:txbxContent>
                        </wps:txbx>
                        <wps:bodyPr rot="0" vert="horz" wrap="square" lIns="91440" tIns="45720" rIns="91440" bIns="45720" anchor="ctr" anchorCtr="0" upright="1">
                          <a:noAutofit/>
                        </wps:bodyPr>
                      </wps:wsp>
                      <wps:wsp>
                        <wps:cNvPr id="1895093988" name="Прямоугольник 524"/>
                        <wps:cNvSpPr>
                          <a:spLocks noChangeArrowheads="1"/>
                        </wps:cNvSpPr>
                        <wps:spPr bwMode="auto">
                          <a:xfrm>
                            <a:off x="1624667" y="4198884"/>
                            <a:ext cx="913294" cy="468743"/>
                          </a:xfrm>
                          <a:prstGeom prst="rect">
                            <a:avLst/>
                          </a:prstGeom>
                          <a:solidFill>
                            <a:srgbClr val="FFFFFF"/>
                          </a:solidFill>
                          <a:ln w="19050">
                            <a:solidFill>
                              <a:srgbClr val="000000"/>
                            </a:solidFill>
                            <a:miter lim="800000"/>
                            <a:headEnd/>
                            <a:tailEnd/>
                          </a:ln>
                        </wps:spPr>
                        <wps:txbx>
                          <w:txbxContent>
                            <w:p w14:paraId="72D44439" w14:textId="77777777" w:rsidR="009515BC" w:rsidRPr="00425404" w:rsidRDefault="009515BC" w:rsidP="009515BC">
                              <w:pPr>
                                <w:pStyle w:val="afd"/>
                                <w:spacing w:before="0" w:beforeAutospacing="0" w:after="0" w:afterAutospacing="0"/>
                                <w:ind w:left="-170" w:right="-170"/>
                                <w:jc w:val="center"/>
                                <w:rPr>
                                  <w:sz w:val="22"/>
                                  <w:szCs w:val="22"/>
                                </w:rPr>
                              </w:pPr>
                              <w:r w:rsidRPr="00425404">
                                <w:rPr>
                                  <w:rFonts w:eastAsia="Calibri"/>
                                  <w:color w:val="000000"/>
                                  <w:sz w:val="22"/>
                                  <w:szCs w:val="22"/>
                                </w:rPr>
                                <w:t xml:space="preserve">Антикризовий штаб </w:t>
                              </w:r>
                            </w:p>
                          </w:txbxContent>
                        </wps:txbx>
                        <wps:bodyPr rot="0" vert="horz" wrap="square" lIns="91440" tIns="45720" rIns="91440" bIns="45720" anchor="ctr" anchorCtr="0" upright="1">
                          <a:noAutofit/>
                        </wps:bodyPr>
                      </wps:wsp>
                      <wps:wsp>
                        <wps:cNvPr id="709946356" name="Прямоугольник 525"/>
                        <wps:cNvSpPr>
                          <a:spLocks noChangeArrowheads="1"/>
                        </wps:cNvSpPr>
                        <wps:spPr bwMode="auto">
                          <a:xfrm>
                            <a:off x="2717780" y="3946261"/>
                            <a:ext cx="3031913" cy="309628"/>
                          </a:xfrm>
                          <a:prstGeom prst="rect">
                            <a:avLst/>
                          </a:prstGeom>
                          <a:solidFill>
                            <a:srgbClr val="FFFFFF"/>
                          </a:solidFill>
                          <a:ln w="9525">
                            <a:solidFill>
                              <a:srgbClr val="000000"/>
                            </a:solidFill>
                            <a:miter lim="800000"/>
                            <a:headEnd/>
                            <a:tailEnd/>
                          </a:ln>
                        </wps:spPr>
                        <wps:txbx>
                          <w:txbxContent>
                            <w:p w14:paraId="544A4401" w14:textId="77777777" w:rsidR="009515BC" w:rsidRPr="00EA71F9" w:rsidRDefault="009515BC" w:rsidP="009515BC">
                              <w:pPr>
                                <w:pStyle w:val="afd"/>
                                <w:spacing w:before="0" w:beforeAutospacing="0" w:after="0" w:afterAutospacing="0"/>
                                <w:ind w:left="-113" w:right="-170"/>
                                <w:jc w:val="center"/>
                              </w:pPr>
                              <w:r w:rsidRPr="00EA71F9">
                                <w:rPr>
                                  <w:rFonts w:eastAsia="Calibri"/>
                                  <w:color w:val="000000"/>
                                </w:rPr>
                                <w:t>Комітет з управління активами та пасивами</w:t>
                              </w:r>
                            </w:p>
                          </w:txbxContent>
                        </wps:txbx>
                        <wps:bodyPr rot="0" vert="horz" wrap="square" lIns="91440" tIns="45720" rIns="91440" bIns="45720" anchor="t" anchorCtr="0" upright="1">
                          <a:noAutofit/>
                        </wps:bodyPr>
                      </wps:wsp>
                      <wps:wsp>
                        <wps:cNvPr id="912817495" name="Прямоугольник 526"/>
                        <wps:cNvSpPr>
                          <a:spLocks noChangeArrowheads="1"/>
                        </wps:cNvSpPr>
                        <wps:spPr bwMode="auto">
                          <a:xfrm>
                            <a:off x="71807" y="4138478"/>
                            <a:ext cx="1122216" cy="1142804"/>
                          </a:xfrm>
                          <a:prstGeom prst="rect">
                            <a:avLst/>
                          </a:prstGeom>
                          <a:solidFill>
                            <a:srgbClr val="FFFFFF"/>
                          </a:solidFill>
                          <a:ln w="9525">
                            <a:solidFill>
                              <a:srgbClr val="000000"/>
                            </a:solidFill>
                            <a:prstDash val="dash"/>
                            <a:miter lim="800000"/>
                            <a:headEnd/>
                            <a:tailEnd/>
                          </a:ln>
                        </wps:spPr>
                        <wps:txbx>
                          <w:txbxContent>
                            <w:p w14:paraId="401FB999" w14:textId="77777777" w:rsidR="009515BC" w:rsidRPr="00866ECF" w:rsidRDefault="009515BC" w:rsidP="009515BC">
                              <w:pPr>
                                <w:pStyle w:val="afd"/>
                                <w:spacing w:before="0" w:beforeAutospacing="0" w:after="0" w:afterAutospacing="0"/>
                                <w:ind w:left="-57" w:right="-57"/>
                                <w:jc w:val="center"/>
                                <w:rPr>
                                  <w:rFonts w:eastAsia="Calibri"/>
                                  <w:color w:val="000000"/>
                                </w:rPr>
                              </w:pPr>
                              <w:r w:rsidRPr="00866ECF">
                                <w:rPr>
                                  <w:rFonts w:eastAsia="Calibri"/>
                                  <w:color w:val="000000"/>
                                </w:rPr>
                                <w:t>Рівень виконання</w:t>
                              </w:r>
                            </w:p>
                            <w:p w14:paraId="1C1FF741" w14:textId="77777777" w:rsidR="009515BC" w:rsidRPr="00866ECF" w:rsidRDefault="009515BC" w:rsidP="009515BC">
                              <w:pPr>
                                <w:pStyle w:val="afd"/>
                                <w:spacing w:before="0" w:beforeAutospacing="0" w:after="0" w:afterAutospacing="0"/>
                                <w:ind w:left="-57" w:right="-57"/>
                                <w:jc w:val="center"/>
                                <w:rPr>
                                  <w:rFonts w:eastAsia="Calibri"/>
                                  <w:color w:val="000000"/>
                                </w:rPr>
                              </w:pPr>
                              <w:r w:rsidRPr="00866ECF">
                                <w:rPr>
                                  <w:rFonts w:eastAsia="Calibri"/>
                                  <w:color w:val="000000"/>
                                </w:rPr>
                                <w:t>(стратегічний і тактичний)</w:t>
                              </w:r>
                            </w:p>
                          </w:txbxContent>
                        </wps:txbx>
                        <wps:bodyPr rot="0" vert="horz" wrap="square" lIns="91440" tIns="45720" rIns="91440" bIns="45720" anchor="ctr" anchorCtr="0" upright="1">
                          <a:noAutofit/>
                        </wps:bodyPr>
                      </wps:wsp>
                      <wps:wsp>
                        <wps:cNvPr id="408837966" name="Прямоугольник 529"/>
                        <wps:cNvSpPr>
                          <a:spLocks noChangeArrowheads="1"/>
                        </wps:cNvSpPr>
                        <wps:spPr bwMode="auto">
                          <a:xfrm>
                            <a:off x="56006" y="6723415"/>
                            <a:ext cx="1131317" cy="792972"/>
                          </a:xfrm>
                          <a:prstGeom prst="rect">
                            <a:avLst/>
                          </a:prstGeom>
                          <a:solidFill>
                            <a:srgbClr val="FFFFFF"/>
                          </a:solidFill>
                          <a:ln w="9525">
                            <a:solidFill>
                              <a:srgbClr val="000000"/>
                            </a:solidFill>
                            <a:prstDash val="dash"/>
                            <a:miter lim="800000"/>
                            <a:headEnd/>
                            <a:tailEnd/>
                          </a:ln>
                        </wps:spPr>
                        <wps:txbx>
                          <w:txbxContent>
                            <w:p w14:paraId="115D35D5" w14:textId="77777777" w:rsidR="009515BC" w:rsidRPr="00866ECF" w:rsidRDefault="009515BC" w:rsidP="009515BC">
                              <w:pPr>
                                <w:pStyle w:val="afd"/>
                                <w:spacing w:before="0" w:beforeAutospacing="0" w:after="0" w:afterAutospacing="0"/>
                                <w:ind w:left="-57" w:right="-57"/>
                                <w:jc w:val="center"/>
                              </w:pPr>
                              <w:r w:rsidRPr="00866ECF">
                                <w:rPr>
                                  <w:rFonts w:eastAsia="Calibri"/>
                                  <w:bCs/>
                                  <w:iCs/>
                                  <w:color w:val="000000"/>
                                </w:rPr>
                                <w:t>Рівень виконання</w:t>
                              </w:r>
                            </w:p>
                            <w:p w14:paraId="3FE6EF37" w14:textId="77777777" w:rsidR="009515BC" w:rsidRPr="00866ECF" w:rsidRDefault="009515BC" w:rsidP="009515BC">
                              <w:pPr>
                                <w:pStyle w:val="afd"/>
                                <w:spacing w:before="0" w:beforeAutospacing="0" w:after="0" w:afterAutospacing="0"/>
                                <w:ind w:left="-57" w:right="-57"/>
                                <w:jc w:val="center"/>
                              </w:pPr>
                              <w:r w:rsidRPr="00866ECF">
                                <w:rPr>
                                  <w:rFonts w:eastAsia="Calibri"/>
                                  <w:bCs/>
                                  <w:iCs/>
                                  <w:color w:val="000000"/>
                                </w:rPr>
                                <w:t>(оперативний)</w:t>
                              </w:r>
                            </w:p>
                          </w:txbxContent>
                        </wps:txbx>
                        <wps:bodyPr rot="0" vert="horz" wrap="square" lIns="91440" tIns="45720" rIns="91440" bIns="45720" anchor="ctr" anchorCtr="0" upright="1">
                          <a:noAutofit/>
                        </wps:bodyPr>
                      </wps:wsp>
                      <wps:wsp>
                        <wps:cNvPr id="1496064271" name="Прямая со стрелкой 530"/>
                        <wps:cNvCnPr>
                          <a:cxnSpLocks noChangeShapeType="1"/>
                        </wps:cNvCnPr>
                        <wps:spPr bwMode="auto">
                          <a:xfrm>
                            <a:off x="2357143" y="4681528"/>
                            <a:ext cx="0" cy="15481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6323295" name="Прямая соединительная линия 531"/>
                        <wps:cNvCnPr>
                          <a:cxnSpLocks noChangeShapeType="1"/>
                        </wps:cNvCnPr>
                        <wps:spPr bwMode="auto">
                          <a:xfrm>
                            <a:off x="1377342" y="2809257"/>
                            <a:ext cx="0" cy="138992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2175648" name="Прямая со стрелкой 532"/>
                        <wps:cNvCnPr>
                          <a:cxnSpLocks noChangeShapeType="1"/>
                        </wps:cNvCnPr>
                        <wps:spPr bwMode="auto">
                          <a:xfrm>
                            <a:off x="1541359" y="4139278"/>
                            <a:ext cx="955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7111843" name="Прямая со стрелкой 533"/>
                        <wps:cNvCnPr>
                          <a:cxnSpLocks noChangeShapeType="1"/>
                        </wps:cNvCnPr>
                        <wps:spPr bwMode="auto">
                          <a:xfrm flipH="1">
                            <a:off x="1447549" y="4434105"/>
                            <a:ext cx="4000" cy="17899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3452949" name="Прямая соединительная линия 534"/>
                        <wps:cNvCnPr>
                          <a:cxnSpLocks noChangeShapeType="1"/>
                        </wps:cNvCnPr>
                        <wps:spPr bwMode="auto">
                          <a:xfrm>
                            <a:off x="1451650" y="4434305"/>
                            <a:ext cx="18391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1433518" name="Прямая соединительная линия 535"/>
                        <wps:cNvCnPr>
                          <a:cxnSpLocks noChangeShapeType="1"/>
                        </wps:cNvCnPr>
                        <wps:spPr bwMode="auto">
                          <a:xfrm flipV="1">
                            <a:off x="62206" y="7893921"/>
                            <a:ext cx="5794197" cy="5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838434950" name="Прямая соединительная линия 536"/>
                        <wps:cNvCnPr>
                          <a:cxnSpLocks noChangeShapeType="1"/>
                        </wps:cNvCnPr>
                        <wps:spPr bwMode="auto">
                          <a:xfrm>
                            <a:off x="56006" y="6088857"/>
                            <a:ext cx="5800098"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04938952" name="Прямая соединительная линия 537"/>
                        <wps:cNvCnPr>
                          <a:cxnSpLocks noChangeShapeType="1"/>
                        </wps:cNvCnPr>
                        <wps:spPr bwMode="auto">
                          <a:xfrm flipV="1">
                            <a:off x="0" y="3919158"/>
                            <a:ext cx="5865805" cy="4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851541420" name="Прямая соединительная линия 538"/>
                        <wps:cNvCnPr>
                          <a:cxnSpLocks noChangeShapeType="1"/>
                        </wps:cNvCnPr>
                        <wps:spPr bwMode="auto">
                          <a:xfrm>
                            <a:off x="62206" y="5400"/>
                            <a:ext cx="5803898" cy="2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216876512" name="Прямая соединительная линия 539"/>
                        <wps:cNvCnPr>
                          <a:cxnSpLocks noChangeShapeType="1"/>
                        </wps:cNvCnPr>
                        <wps:spPr bwMode="auto">
                          <a:xfrm>
                            <a:off x="0" y="553951"/>
                            <a:ext cx="5865105"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17862434" name="Прямая со стрелкой 540"/>
                        <wps:cNvCnPr>
                          <a:cxnSpLocks noChangeShapeType="1"/>
                          <a:endCxn id="709946356" idx="1"/>
                        </wps:cNvCnPr>
                        <wps:spPr bwMode="auto">
                          <a:xfrm>
                            <a:off x="2626971" y="4101475"/>
                            <a:ext cx="90809" cy="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2500468" name="Прямая со стрелкой 541"/>
                        <wps:cNvCnPr>
                          <a:cxnSpLocks noChangeShapeType="1"/>
                        </wps:cNvCnPr>
                        <wps:spPr bwMode="auto">
                          <a:xfrm>
                            <a:off x="1322036" y="647659"/>
                            <a:ext cx="0" cy="3271899"/>
                          </a:xfrm>
                          <a:prstGeom prst="straightConnector1">
                            <a:avLst/>
                          </a:prstGeom>
                          <a:noFill/>
                          <a:ln w="9525">
                            <a:solidFill>
                              <a:srgbClr val="00000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s:wsp>
                        <wps:cNvPr id="1121158088" name="Прямая со стрелкой 542"/>
                        <wps:cNvCnPr>
                          <a:cxnSpLocks noChangeShapeType="1"/>
                        </wps:cNvCnPr>
                        <wps:spPr bwMode="auto">
                          <a:xfrm>
                            <a:off x="1321836" y="3946261"/>
                            <a:ext cx="0" cy="1576844"/>
                          </a:xfrm>
                          <a:prstGeom prst="straightConnector1">
                            <a:avLst/>
                          </a:prstGeom>
                          <a:noFill/>
                          <a:ln w="9525">
                            <a:solidFill>
                              <a:srgbClr val="00000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s:wsp>
                        <wps:cNvPr id="1749900264" name="Прямая со стрелкой 543"/>
                        <wps:cNvCnPr>
                          <a:cxnSpLocks noChangeShapeType="1"/>
                        </wps:cNvCnPr>
                        <wps:spPr bwMode="auto">
                          <a:xfrm>
                            <a:off x="1295834" y="6403085"/>
                            <a:ext cx="9701" cy="647159"/>
                          </a:xfrm>
                          <a:prstGeom prst="straightConnector1">
                            <a:avLst/>
                          </a:prstGeom>
                          <a:noFill/>
                          <a:ln w="9525">
                            <a:solidFill>
                              <a:srgbClr val="00000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s:wsp>
                        <wps:cNvPr id="502534738" name="Прямая со стрелкой 544"/>
                        <wps:cNvCnPr>
                          <a:cxnSpLocks noChangeShapeType="1"/>
                        </wps:cNvCnPr>
                        <wps:spPr bwMode="auto">
                          <a:xfrm>
                            <a:off x="1321836" y="14601"/>
                            <a:ext cx="0" cy="631258"/>
                          </a:xfrm>
                          <a:prstGeom prst="straightConnector1">
                            <a:avLst/>
                          </a:prstGeom>
                          <a:noFill/>
                          <a:ln w="9525">
                            <a:solidFill>
                              <a:srgbClr val="00000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s:wsp>
                        <wps:cNvPr id="799616855" name="Прямая соединительная линия 545"/>
                        <wps:cNvCnPr>
                          <a:cxnSpLocks noChangeShapeType="1"/>
                        </wps:cNvCnPr>
                        <wps:spPr bwMode="auto">
                          <a:xfrm flipH="1">
                            <a:off x="1187422" y="7050644"/>
                            <a:ext cx="118112" cy="0"/>
                          </a:xfrm>
                          <a:prstGeom prst="line">
                            <a:avLst/>
                          </a:prstGeom>
                          <a:noFill/>
                          <a:ln w="9525">
                            <a:solidFill>
                              <a:srgbClr val="000000"/>
                            </a:solidFill>
                            <a:prstDash val="dash"/>
                            <a:round/>
                            <a:headEnd/>
                            <a:tailEnd type="diamond" w="med" len="med"/>
                          </a:ln>
                          <a:extLst>
                            <a:ext uri="{909E8E84-426E-40DD-AFC4-6F175D3DCCD1}">
                              <a14:hiddenFill xmlns:a14="http://schemas.microsoft.com/office/drawing/2010/main">
                                <a:noFill/>
                              </a14:hiddenFill>
                            </a:ext>
                          </a:extLst>
                        </wps:spPr>
                        <wps:bodyPr/>
                      </wps:wsp>
                      <wps:wsp>
                        <wps:cNvPr id="694483417" name="Прямая соединительная линия 546"/>
                        <wps:cNvCnPr>
                          <a:cxnSpLocks noChangeShapeType="1"/>
                        </wps:cNvCnPr>
                        <wps:spPr bwMode="auto">
                          <a:xfrm flipH="1">
                            <a:off x="1195223" y="4794338"/>
                            <a:ext cx="117512" cy="0"/>
                          </a:xfrm>
                          <a:prstGeom prst="line">
                            <a:avLst/>
                          </a:prstGeom>
                          <a:noFill/>
                          <a:ln w="9525">
                            <a:solidFill>
                              <a:srgbClr val="000000"/>
                            </a:solidFill>
                            <a:prstDash val="dash"/>
                            <a:round/>
                            <a:headEnd/>
                            <a:tailEnd type="diamond" w="med" len="med"/>
                          </a:ln>
                          <a:extLst>
                            <a:ext uri="{909E8E84-426E-40DD-AFC4-6F175D3DCCD1}">
                              <a14:hiddenFill xmlns:a14="http://schemas.microsoft.com/office/drawing/2010/main">
                                <a:noFill/>
                              </a14:hiddenFill>
                            </a:ext>
                          </a:extLst>
                        </wps:spPr>
                        <wps:bodyPr/>
                      </wps:wsp>
                      <wps:wsp>
                        <wps:cNvPr id="2026250643" name="Прямая соединительная линия 547"/>
                        <wps:cNvCnPr>
                          <a:cxnSpLocks noChangeShapeType="1"/>
                        </wps:cNvCnPr>
                        <wps:spPr bwMode="auto">
                          <a:xfrm flipH="1">
                            <a:off x="1188423" y="1694955"/>
                            <a:ext cx="117512" cy="0"/>
                          </a:xfrm>
                          <a:prstGeom prst="line">
                            <a:avLst/>
                          </a:prstGeom>
                          <a:noFill/>
                          <a:ln w="9525">
                            <a:solidFill>
                              <a:srgbClr val="000000"/>
                            </a:solidFill>
                            <a:prstDash val="dash"/>
                            <a:round/>
                            <a:headEnd/>
                            <a:tailEnd type="diamond" w="med" len="med"/>
                          </a:ln>
                          <a:extLst>
                            <a:ext uri="{909E8E84-426E-40DD-AFC4-6F175D3DCCD1}">
                              <a14:hiddenFill xmlns:a14="http://schemas.microsoft.com/office/drawing/2010/main">
                                <a:noFill/>
                              </a14:hiddenFill>
                            </a:ext>
                          </a:extLst>
                        </wps:spPr>
                        <wps:bodyPr/>
                      </wps:wsp>
                      <wps:wsp>
                        <wps:cNvPr id="551129635" name="Прямая соединительная линия 548"/>
                        <wps:cNvCnPr>
                          <a:cxnSpLocks noChangeShapeType="1"/>
                        </wps:cNvCnPr>
                        <wps:spPr bwMode="auto">
                          <a:xfrm flipH="1">
                            <a:off x="1195723" y="296827"/>
                            <a:ext cx="117412" cy="0"/>
                          </a:xfrm>
                          <a:prstGeom prst="line">
                            <a:avLst/>
                          </a:prstGeom>
                          <a:noFill/>
                          <a:ln w="9525">
                            <a:solidFill>
                              <a:srgbClr val="000000"/>
                            </a:solidFill>
                            <a:prstDash val="dash"/>
                            <a:round/>
                            <a:headEnd/>
                            <a:tailEnd type="diamond" w="med" len="med"/>
                          </a:ln>
                          <a:extLst>
                            <a:ext uri="{909E8E84-426E-40DD-AFC4-6F175D3DCCD1}">
                              <a14:hiddenFill xmlns:a14="http://schemas.microsoft.com/office/drawing/2010/main">
                                <a:noFill/>
                              </a14:hiddenFill>
                            </a:ext>
                          </a:extLst>
                        </wps:spPr>
                        <wps:bodyPr/>
                      </wps:wsp>
                      <wps:wsp>
                        <wps:cNvPr id="38750555" name="Прямоугольник 549"/>
                        <wps:cNvSpPr>
                          <a:spLocks noChangeArrowheads="1"/>
                        </wps:cNvSpPr>
                        <wps:spPr bwMode="auto">
                          <a:xfrm>
                            <a:off x="1339038" y="6223569"/>
                            <a:ext cx="4496864" cy="1614848"/>
                          </a:xfrm>
                          <a:prstGeom prst="rect">
                            <a:avLst/>
                          </a:prstGeom>
                          <a:pattFill prst="pct20">
                            <a:fgClr>
                              <a:srgbClr val="BFBFBF"/>
                            </a:fgClr>
                            <a:bgClr>
                              <a:schemeClr val="bg1">
                                <a:lumMod val="100000"/>
                                <a:lumOff val="0"/>
                              </a:schemeClr>
                            </a:bgClr>
                          </a:pattFill>
                          <a:ln w="19050">
                            <a:solidFill>
                              <a:srgbClr val="000000"/>
                            </a:solidFill>
                            <a:miter lim="800000"/>
                            <a:headEnd/>
                            <a:tailEnd/>
                          </a:ln>
                        </wps:spPr>
                        <wps:txbx>
                          <w:txbxContent>
                            <w:p w14:paraId="1973EBB9" w14:textId="77777777" w:rsidR="009515BC" w:rsidRPr="00413386" w:rsidRDefault="009515BC" w:rsidP="009515BC">
                              <w:pPr>
                                <w:pStyle w:val="afd"/>
                                <w:spacing w:before="0" w:beforeAutospacing="0" w:after="0" w:afterAutospacing="0"/>
                                <w:jc w:val="center"/>
                              </w:pPr>
                            </w:p>
                          </w:txbxContent>
                        </wps:txbx>
                        <wps:bodyPr rot="0" vert="horz" wrap="square" lIns="91440" tIns="45720" rIns="91440" bIns="45720" anchor="ctr" anchorCtr="0" upright="1">
                          <a:noAutofit/>
                        </wps:bodyPr>
                      </wps:wsp>
                      <wps:wsp>
                        <wps:cNvPr id="856516073" name="Прямоугольник 550"/>
                        <wps:cNvSpPr>
                          <a:spLocks noChangeArrowheads="1"/>
                        </wps:cNvSpPr>
                        <wps:spPr bwMode="auto">
                          <a:xfrm>
                            <a:off x="3228233" y="7047444"/>
                            <a:ext cx="1577563" cy="715765"/>
                          </a:xfrm>
                          <a:prstGeom prst="rect">
                            <a:avLst/>
                          </a:prstGeom>
                          <a:solidFill>
                            <a:srgbClr val="FFFFFF"/>
                          </a:solidFill>
                          <a:ln w="19050">
                            <a:solidFill>
                              <a:srgbClr val="000000"/>
                            </a:solidFill>
                            <a:miter lim="800000"/>
                            <a:headEnd/>
                            <a:tailEnd/>
                          </a:ln>
                        </wps:spPr>
                        <wps:txbx>
                          <w:txbxContent>
                            <w:p w14:paraId="0F26CA6A" w14:textId="77777777" w:rsidR="009515BC" w:rsidRPr="009B10FB" w:rsidRDefault="009515BC" w:rsidP="009515BC">
                              <w:pPr>
                                <w:pStyle w:val="afd"/>
                                <w:spacing w:before="0" w:beforeAutospacing="0" w:after="0" w:afterAutospacing="0"/>
                                <w:ind w:left="-142" w:right="-218"/>
                                <w:jc w:val="center"/>
                              </w:pPr>
                              <w:r w:rsidRPr="009B10FB">
                                <w:rPr>
                                  <w:rFonts w:eastAsia="Calibri"/>
                                  <w:color w:val="000000"/>
                                </w:rPr>
                                <w:t>Бізнес-підрозділи, що безпосередньо приймають ризики</w:t>
                              </w:r>
                            </w:p>
                          </w:txbxContent>
                        </wps:txbx>
                        <wps:bodyPr rot="0" vert="horz" wrap="square" lIns="91440" tIns="45720" rIns="91440" bIns="45720" anchor="ctr" anchorCtr="0" upright="1">
                          <a:noAutofit/>
                        </wps:bodyPr>
                      </wps:wsp>
                      <wps:wsp>
                        <wps:cNvPr id="1836502490" name="Прямоугольник 551"/>
                        <wps:cNvSpPr>
                          <a:spLocks noChangeArrowheads="1"/>
                        </wps:cNvSpPr>
                        <wps:spPr bwMode="auto">
                          <a:xfrm>
                            <a:off x="4880203" y="7048544"/>
                            <a:ext cx="920395" cy="714065"/>
                          </a:xfrm>
                          <a:prstGeom prst="rect">
                            <a:avLst/>
                          </a:prstGeom>
                          <a:solidFill>
                            <a:srgbClr val="FFFFFF"/>
                          </a:solidFill>
                          <a:ln w="19050">
                            <a:solidFill>
                              <a:srgbClr val="000000"/>
                            </a:solidFill>
                            <a:miter lim="800000"/>
                            <a:headEnd/>
                            <a:tailEnd/>
                          </a:ln>
                        </wps:spPr>
                        <wps:txbx>
                          <w:txbxContent>
                            <w:p w14:paraId="5E2FEC71" w14:textId="77777777" w:rsidR="009515BC" w:rsidRPr="009B10FB" w:rsidRDefault="009515BC" w:rsidP="009515BC">
                              <w:pPr>
                                <w:pStyle w:val="afd"/>
                                <w:spacing w:before="0" w:beforeAutospacing="0" w:after="0" w:afterAutospacing="0"/>
                                <w:jc w:val="center"/>
                              </w:pPr>
                              <w:r w:rsidRPr="009B10FB">
                                <w:rPr>
                                  <w:rFonts w:eastAsia="Calibri"/>
                                  <w:color w:val="000000"/>
                                </w:rPr>
                                <w:t>Бек-та Мідл-офіс</w:t>
                              </w:r>
                            </w:p>
                          </w:txbxContent>
                        </wps:txbx>
                        <wps:bodyPr rot="0" vert="horz" wrap="square" lIns="91440" tIns="45720" rIns="91440" bIns="45720" anchor="ctr" anchorCtr="0" upright="1">
                          <a:noAutofit/>
                        </wps:bodyPr>
                      </wps:wsp>
                      <wps:wsp>
                        <wps:cNvPr id="323517083" name="Прямоугольник 555"/>
                        <wps:cNvSpPr>
                          <a:spLocks noChangeArrowheads="1"/>
                        </wps:cNvSpPr>
                        <wps:spPr bwMode="auto">
                          <a:xfrm>
                            <a:off x="1456350" y="6629506"/>
                            <a:ext cx="4342448" cy="307028"/>
                          </a:xfrm>
                          <a:prstGeom prst="rect">
                            <a:avLst/>
                          </a:prstGeom>
                          <a:solidFill>
                            <a:srgbClr val="FFFFFF"/>
                          </a:solidFill>
                          <a:ln w="19050">
                            <a:solidFill>
                              <a:srgbClr val="000000"/>
                            </a:solidFill>
                            <a:miter lim="800000"/>
                            <a:headEnd/>
                            <a:tailEnd/>
                          </a:ln>
                        </wps:spPr>
                        <wps:txbx>
                          <w:txbxContent>
                            <w:p w14:paraId="6F8EA422" w14:textId="77777777" w:rsidR="009515BC" w:rsidRPr="009B10FB" w:rsidRDefault="009515BC" w:rsidP="009515BC">
                              <w:pPr>
                                <w:pStyle w:val="afd"/>
                                <w:spacing w:before="0" w:beforeAutospacing="0" w:after="0" w:afterAutospacing="0"/>
                                <w:ind w:left="-113" w:right="-113"/>
                                <w:jc w:val="center"/>
                              </w:pPr>
                              <w:r w:rsidRPr="009B10FB">
                                <w:rPr>
                                  <w:rFonts w:eastAsia="Calibri"/>
                                  <w:color w:val="000000"/>
                                </w:rPr>
                                <w:t xml:space="preserve">оперативне управління ліквідністю та валютною позицією </w:t>
                              </w:r>
                            </w:p>
                          </w:txbxContent>
                        </wps:txbx>
                        <wps:bodyPr rot="0" vert="horz" wrap="square" lIns="91440" tIns="45720" rIns="91440" bIns="45720" anchor="ctr" anchorCtr="0" upright="1">
                          <a:noAutofit/>
                        </wps:bodyPr>
                      </wps:wsp>
                      <wps:wsp>
                        <wps:cNvPr id="814542089" name="Прямоугольник 556"/>
                        <wps:cNvSpPr>
                          <a:spLocks noChangeArrowheads="1"/>
                        </wps:cNvSpPr>
                        <wps:spPr bwMode="auto">
                          <a:xfrm>
                            <a:off x="1447149" y="7047944"/>
                            <a:ext cx="1697575" cy="714665"/>
                          </a:xfrm>
                          <a:prstGeom prst="rect">
                            <a:avLst/>
                          </a:prstGeom>
                          <a:solidFill>
                            <a:srgbClr val="FFFFFF"/>
                          </a:solidFill>
                          <a:ln w="19050">
                            <a:solidFill>
                              <a:srgbClr val="000000"/>
                            </a:solidFill>
                            <a:miter lim="800000"/>
                            <a:headEnd/>
                            <a:tailEnd/>
                          </a:ln>
                        </wps:spPr>
                        <wps:txbx>
                          <w:txbxContent>
                            <w:p w14:paraId="4E3B9A92" w14:textId="77777777" w:rsidR="009515BC" w:rsidRPr="009B10FB" w:rsidRDefault="009515BC" w:rsidP="009515BC">
                              <w:pPr>
                                <w:pStyle w:val="afd"/>
                                <w:spacing w:before="0" w:beforeAutospacing="0" w:after="0" w:afterAutospacing="0"/>
                                <w:ind w:left="-142" w:right="-125"/>
                                <w:jc w:val="center"/>
                              </w:pPr>
                              <w:r w:rsidRPr="009B10FB">
                                <w:rPr>
                                  <w:rFonts w:eastAsia="Calibri"/>
                                  <w:color w:val="000000"/>
                                </w:rPr>
                                <w:t>Департамент аналізу активів, зобов’язань та інвестицій</w:t>
                              </w:r>
                            </w:p>
                          </w:txbxContent>
                        </wps:txbx>
                        <wps:bodyPr rot="0" vert="horz" wrap="square" lIns="91440" tIns="45720" rIns="91440" bIns="45720" anchor="ctr" anchorCtr="0" upright="1">
                          <a:noAutofit/>
                        </wps:bodyPr>
                      </wps:wsp>
                      <wps:wsp>
                        <wps:cNvPr id="1893494021" name="Прямая со стрелкой 558"/>
                        <wps:cNvCnPr>
                          <a:cxnSpLocks noChangeShapeType="1"/>
                        </wps:cNvCnPr>
                        <wps:spPr bwMode="auto">
                          <a:xfrm flipH="1">
                            <a:off x="2603768" y="4471409"/>
                            <a:ext cx="114312" cy="0"/>
                          </a:xfrm>
                          <a:prstGeom prst="straightConnector1">
                            <a:avLst/>
                          </a:prstGeom>
                          <a:noFill/>
                          <a:ln w="9525">
                            <a:solidFill>
                              <a:srgbClr val="000000"/>
                            </a:solidFill>
                            <a:prstDash val="sysDash"/>
                            <a:round/>
                            <a:headEnd/>
                            <a:tailEnd type="triangle" w="med" len="med"/>
                          </a:ln>
                          <a:extLst>
                            <a:ext uri="{909E8E84-426E-40DD-AFC4-6F175D3DCCD1}">
                              <a14:hiddenFill xmlns:a14="http://schemas.microsoft.com/office/drawing/2010/main">
                                <a:noFill/>
                              </a14:hiddenFill>
                            </a:ext>
                          </a:extLst>
                        </wps:spPr>
                        <wps:bodyPr/>
                      </wps:wsp>
                      <wps:wsp>
                        <wps:cNvPr id="963338722" name="Прямая со стрелкой 559"/>
                        <wps:cNvCnPr>
                          <a:cxnSpLocks noChangeShapeType="1"/>
                        </wps:cNvCnPr>
                        <wps:spPr bwMode="auto">
                          <a:xfrm flipV="1">
                            <a:off x="2261633" y="4681328"/>
                            <a:ext cx="0" cy="164315"/>
                          </a:xfrm>
                          <a:prstGeom prst="straightConnector1">
                            <a:avLst/>
                          </a:prstGeom>
                          <a:noFill/>
                          <a:ln w="9525">
                            <a:solidFill>
                              <a:srgbClr val="000000"/>
                            </a:solidFill>
                            <a:prstDash val="sysDash"/>
                            <a:round/>
                            <a:headEnd/>
                            <a:tailEnd type="triangle" w="med" len="med"/>
                          </a:ln>
                          <a:extLst>
                            <a:ext uri="{909E8E84-426E-40DD-AFC4-6F175D3DCCD1}">
                              <a14:hiddenFill xmlns:a14="http://schemas.microsoft.com/office/drawing/2010/main">
                                <a:noFill/>
                              </a14:hiddenFill>
                            </a:ext>
                          </a:extLst>
                        </wps:spPr>
                        <wps:bodyPr/>
                      </wps:wsp>
                      <wps:wsp>
                        <wps:cNvPr id="2019636214" name="Прямая со стрелкой 560"/>
                        <wps:cNvCnPr>
                          <a:cxnSpLocks noChangeShapeType="1"/>
                        </wps:cNvCnPr>
                        <wps:spPr bwMode="auto">
                          <a:xfrm>
                            <a:off x="4138227" y="4680928"/>
                            <a:ext cx="0" cy="164415"/>
                          </a:xfrm>
                          <a:prstGeom prst="straightConnector1">
                            <a:avLst/>
                          </a:prstGeom>
                          <a:noFill/>
                          <a:ln w="9525">
                            <a:solidFill>
                              <a:srgbClr val="000000"/>
                            </a:solidFill>
                            <a:prstDash val="sysDash"/>
                            <a:round/>
                            <a:headEnd/>
                            <a:tailEnd type="triangle" w="med" len="med"/>
                          </a:ln>
                          <a:extLst>
                            <a:ext uri="{909E8E84-426E-40DD-AFC4-6F175D3DCCD1}">
                              <a14:hiddenFill xmlns:a14="http://schemas.microsoft.com/office/drawing/2010/main">
                                <a:noFill/>
                              </a14:hiddenFill>
                            </a:ext>
                          </a:extLst>
                        </wps:spPr>
                        <wps:bodyPr/>
                      </wps:wsp>
                      <wps:wsp>
                        <wps:cNvPr id="412497761" name="Прямая со стрелкой 561"/>
                        <wps:cNvCnPr>
                          <a:cxnSpLocks noChangeShapeType="1"/>
                        </wps:cNvCnPr>
                        <wps:spPr bwMode="auto">
                          <a:xfrm flipV="1">
                            <a:off x="3988511" y="4668627"/>
                            <a:ext cx="0" cy="176716"/>
                          </a:xfrm>
                          <a:prstGeom prst="straightConnector1">
                            <a:avLst/>
                          </a:prstGeom>
                          <a:noFill/>
                          <a:ln w="9525">
                            <a:solidFill>
                              <a:srgbClr val="000000"/>
                            </a:solidFill>
                            <a:prstDash val="sysDash"/>
                            <a:round/>
                            <a:headEnd/>
                            <a:tailEnd type="triangle" w="med" len="med"/>
                          </a:ln>
                          <a:extLst>
                            <a:ext uri="{909E8E84-426E-40DD-AFC4-6F175D3DCCD1}">
                              <a14:hiddenFill xmlns:a14="http://schemas.microsoft.com/office/drawing/2010/main">
                                <a:noFill/>
                              </a14:hiddenFill>
                            </a:ext>
                          </a:extLst>
                        </wps:spPr>
                        <wps:bodyPr/>
                      </wps:wsp>
                      <wps:wsp>
                        <wps:cNvPr id="158408713" name="Прямая со стрелкой 562"/>
                        <wps:cNvCnPr>
                          <a:cxnSpLocks noChangeShapeType="1"/>
                        </wps:cNvCnPr>
                        <wps:spPr bwMode="auto">
                          <a:xfrm>
                            <a:off x="4222735" y="5887238"/>
                            <a:ext cx="0" cy="3363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17759622" name="Прямая со стрелкой 563"/>
                        <wps:cNvCnPr>
                          <a:cxnSpLocks noChangeShapeType="1"/>
                        </wps:cNvCnPr>
                        <wps:spPr bwMode="auto">
                          <a:xfrm flipV="1">
                            <a:off x="4520466" y="5887638"/>
                            <a:ext cx="0" cy="630858"/>
                          </a:xfrm>
                          <a:prstGeom prst="straightConnector1">
                            <a:avLst/>
                          </a:prstGeom>
                          <a:noFill/>
                          <a:ln w="9525">
                            <a:solidFill>
                              <a:srgbClr val="000000"/>
                            </a:solidFill>
                            <a:prstDash val="sysDash"/>
                            <a:round/>
                            <a:headEnd/>
                            <a:tailEnd type="triangle" w="med" len="med"/>
                          </a:ln>
                          <a:extLst>
                            <a:ext uri="{909E8E84-426E-40DD-AFC4-6F175D3DCCD1}">
                              <a14:hiddenFill xmlns:a14="http://schemas.microsoft.com/office/drawing/2010/main">
                                <a:noFill/>
                              </a14:hiddenFill>
                            </a:ext>
                          </a:extLst>
                        </wps:spPr>
                        <wps:bodyPr/>
                      </wps:wsp>
                      <wps:wsp>
                        <wps:cNvPr id="1302198016" name="Стрелка вниз 564"/>
                        <wps:cNvSpPr>
                          <a:spLocks noChangeArrowheads="1"/>
                        </wps:cNvSpPr>
                        <wps:spPr bwMode="auto">
                          <a:xfrm rot="10800000">
                            <a:off x="2145321" y="6945735"/>
                            <a:ext cx="495951" cy="84508"/>
                          </a:xfrm>
                          <a:prstGeom prst="downArrow">
                            <a:avLst>
                              <a:gd name="adj1" fmla="val 50000"/>
                              <a:gd name="adj2" fmla="val 50000"/>
                            </a:avLst>
                          </a:prstGeom>
                          <a:solidFill>
                            <a:srgbClr val="FFFFFF"/>
                          </a:solidFill>
                          <a:ln w="9525">
                            <a:solidFill>
                              <a:srgbClr val="000000"/>
                            </a:solidFill>
                            <a:prstDash val="sysDot"/>
                            <a:miter lim="800000"/>
                            <a:headEnd/>
                            <a:tailEnd/>
                          </a:ln>
                        </wps:spPr>
                        <wps:txbx>
                          <w:txbxContent>
                            <w:p w14:paraId="5FA5B45F" w14:textId="77777777" w:rsidR="009515BC" w:rsidRPr="00413386" w:rsidRDefault="009515BC" w:rsidP="009515BC">
                              <w:pPr>
                                <w:spacing w:after="0" w:line="240" w:lineRule="auto"/>
                                <w:rPr>
                                  <w:rFonts w:ascii="Times New Roman" w:hAnsi="Times New Roman" w:cs="Times New Roman"/>
                                  <w:lang w:val="uk-UA"/>
                                </w:rPr>
                              </w:pPr>
                            </w:p>
                          </w:txbxContent>
                        </wps:txbx>
                        <wps:bodyPr rot="0" vert="horz" wrap="square" lIns="91440" tIns="45720" rIns="91440" bIns="45720" anchor="ctr" anchorCtr="0" upright="1">
                          <a:noAutofit/>
                        </wps:bodyPr>
                      </wps:wsp>
                      <wps:wsp>
                        <wps:cNvPr id="1218515863" name="Стрелка вниз 565"/>
                        <wps:cNvSpPr>
                          <a:spLocks noChangeArrowheads="1"/>
                        </wps:cNvSpPr>
                        <wps:spPr bwMode="auto">
                          <a:xfrm rot="10800000">
                            <a:off x="3967009" y="6946435"/>
                            <a:ext cx="495351" cy="83808"/>
                          </a:xfrm>
                          <a:prstGeom prst="downArrow">
                            <a:avLst>
                              <a:gd name="adj1" fmla="val 50000"/>
                              <a:gd name="adj2" fmla="val 50000"/>
                            </a:avLst>
                          </a:prstGeom>
                          <a:solidFill>
                            <a:srgbClr val="FFFFFF"/>
                          </a:solidFill>
                          <a:ln w="9525">
                            <a:solidFill>
                              <a:srgbClr val="000000"/>
                            </a:solidFill>
                            <a:prstDash val="sysDot"/>
                            <a:miter lim="800000"/>
                            <a:headEnd/>
                            <a:tailEnd/>
                          </a:ln>
                        </wps:spPr>
                        <wps:txbx>
                          <w:txbxContent>
                            <w:p w14:paraId="7305787A" w14:textId="77777777" w:rsidR="009515BC" w:rsidRPr="00413386" w:rsidRDefault="009515BC" w:rsidP="009515BC">
                              <w:pPr>
                                <w:pStyle w:val="afd"/>
                                <w:spacing w:before="0" w:beforeAutospacing="0" w:after="0" w:afterAutospacing="0"/>
                              </w:pPr>
                              <w:r w:rsidRPr="00413386">
                                <w:rPr>
                                  <w:sz w:val="22"/>
                                  <w:szCs w:val="22"/>
                                </w:rPr>
                                <w:t> </w:t>
                              </w:r>
                            </w:p>
                          </w:txbxContent>
                        </wps:txbx>
                        <wps:bodyPr rot="0" vert="horz" wrap="square" lIns="91440" tIns="45720" rIns="91440" bIns="45720" anchor="ctr" anchorCtr="0" upright="1">
                          <a:noAutofit/>
                        </wps:bodyPr>
                      </wps:wsp>
                      <wps:wsp>
                        <wps:cNvPr id="25899521" name="Стрелка вниз 566"/>
                        <wps:cNvSpPr>
                          <a:spLocks noChangeArrowheads="1"/>
                        </wps:cNvSpPr>
                        <wps:spPr bwMode="auto">
                          <a:xfrm rot="10800000">
                            <a:off x="5161232" y="6936034"/>
                            <a:ext cx="494751" cy="83208"/>
                          </a:xfrm>
                          <a:prstGeom prst="downArrow">
                            <a:avLst>
                              <a:gd name="adj1" fmla="val 50000"/>
                              <a:gd name="adj2" fmla="val 50000"/>
                            </a:avLst>
                          </a:prstGeom>
                          <a:solidFill>
                            <a:srgbClr val="FFFFFF"/>
                          </a:solidFill>
                          <a:ln w="9525">
                            <a:solidFill>
                              <a:srgbClr val="000000"/>
                            </a:solidFill>
                            <a:prstDash val="sysDot"/>
                            <a:miter lim="800000"/>
                            <a:headEnd/>
                            <a:tailEnd/>
                          </a:ln>
                        </wps:spPr>
                        <wps:txbx>
                          <w:txbxContent>
                            <w:p w14:paraId="33EBC39A" w14:textId="77777777" w:rsidR="009515BC" w:rsidRPr="00413386" w:rsidRDefault="009515BC" w:rsidP="009515BC">
                              <w:pPr>
                                <w:pStyle w:val="afd"/>
                                <w:spacing w:before="0" w:beforeAutospacing="0" w:after="0" w:afterAutospacing="0"/>
                              </w:pPr>
                              <w:r w:rsidRPr="00413386">
                                <w:rPr>
                                  <w:sz w:val="22"/>
                                  <w:szCs w:val="22"/>
                                </w:rPr>
                                <w:t> </w:t>
                              </w:r>
                            </w:p>
                          </w:txbxContent>
                        </wps:txbx>
                        <wps:bodyPr rot="0" vert="horz" wrap="square" lIns="91440" tIns="45720" rIns="91440" bIns="45720" anchor="ctr" anchorCtr="0" upright="1">
                          <a:noAutofit/>
                        </wps:bodyPr>
                      </wps:wsp>
                      <wps:wsp>
                        <wps:cNvPr id="1890438860" name="Прямоугольник 567"/>
                        <wps:cNvSpPr>
                          <a:spLocks noChangeArrowheads="1"/>
                        </wps:cNvSpPr>
                        <wps:spPr bwMode="auto">
                          <a:xfrm>
                            <a:off x="1339238" y="6224069"/>
                            <a:ext cx="4519766" cy="321629"/>
                          </a:xfrm>
                          <a:prstGeom prst="rect">
                            <a:avLst/>
                          </a:prstGeom>
                          <a:solidFill>
                            <a:srgbClr val="FFFFFF"/>
                          </a:solidFill>
                          <a:ln w="19050">
                            <a:solidFill>
                              <a:srgbClr val="000000"/>
                            </a:solidFill>
                            <a:miter lim="800000"/>
                            <a:headEnd/>
                            <a:tailEnd/>
                          </a:ln>
                        </wps:spPr>
                        <wps:txbx>
                          <w:txbxContent>
                            <w:p w14:paraId="76BBB858" w14:textId="258F306A" w:rsidR="009515BC" w:rsidRPr="00413386" w:rsidRDefault="000F508F" w:rsidP="009515BC">
                              <w:pPr>
                                <w:pStyle w:val="afd"/>
                                <w:spacing w:before="0" w:beforeAutospacing="0" w:after="0" w:afterAutospacing="0"/>
                                <w:jc w:val="center"/>
                              </w:pPr>
                              <w:r>
                                <w:rPr>
                                  <w:rFonts w:eastAsia="Calibri"/>
                                  <w:color w:val="000000"/>
                                </w:rPr>
                                <w:t>Департамент ринків капіталу</w:t>
                              </w:r>
                            </w:p>
                          </w:txbxContent>
                        </wps:txbx>
                        <wps:bodyPr rot="0" vert="horz" wrap="square" lIns="91440" tIns="45720" rIns="91440" bIns="45720" anchor="ctr" anchorCtr="0" upright="1">
                          <a:noAutofit/>
                        </wps:bodyPr>
                      </wps:wsp>
                      <wps:wsp>
                        <wps:cNvPr id="626848285" name="Прямоугольник 568"/>
                        <wps:cNvSpPr>
                          <a:spLocks noChangeArrowheads="1"/>
                        </wps:cNvSpPr>
                        <wps:spPr bwMode="auto">
                          <a:xfrm>
                            <a:off x="1475052" y="755769"/>
                            <a:ext cx="2506558" cy="324530"/>
                          </a:xfrm>
                          <a:prstGeom prst="rect">
                            <a:avLst/>
                          </a:prstGeom>
                          <a:solidFill>
                            <a:srgbClr val="FFFFFF"/>
                          </a:solidFill>
                          <a:ln w="19050">
                            <a:solidFill>
                              <a:srgbClr val="000000"/>
                            </a:solidFill>
                            <a:prstDash val="sysDash"/>
                            <a:miter lim="800000"/>
                            <a:headEnd/>
                            <a:tailEnd/>
                          </a:ln>
                        </wps:spPr>
                        <wps:txbx>
                          <w:txbxContent>
                            <w:p w14:paraId="1A9BFA29" w14:textId="77777777" w:rsidR="009515BC" w:rsidRPr="00351CF9" w:rsidRDefault="009515BC" w:rsidP="009515BC">
                              <w:pPr>
                                <w:pStyle w:val="afd"/>
                                <w:spacing w:before="0" w:beforeAutospacing="0" w:after="0" w:afterAutospacing="0"/>
                                <w:jc w:val="center"/>
                              </w:pPr>
                              <w:r w:rsidRPr="00351CF9">
                                <w:rPr>
                                  <w:rFonts w:eastAsia="Calibri"/>
                                  <w:color w:val="000000"/>
                                </w:rPr>
                                <w:t>Наглядова рада</w:t>
                              </w:r>
                            </w:p>
                          </w:txbxContent>
                        </wps:txbx>
                        <wps:bodyPr rot="0" vert="horz" wrap="square" lIns="91440" tIns="45720" rIns="91440" bIns="45720" anchor="ctr" anchorCtr="0" upright="1">
                          <a:noAutofit/>
                        </wps:bodyPr>
                      </wps:wsp>
                      <wps:wsp>
                        <wps:cNvPr id="1144568125" name="Прямая со стрелкой 569"/>
                        <wps:cNvCnPr>
                          <a:cxnSpLocks noChangeShapeType="1"/>
                        </wps:cNvCnPr>
                        <wps:spPr bwMode="auto">
                          <a:xfrm flipV="1">
                            <a:off x="1375842" y="1141104"/>
                            <a:ext cx="600" cy="1718657"/>
                          </a:xfrm>
                          <a:prstGeom prst="straightConnector1">
                            <a:avLst/>
                          </a:prstGeom>
                          <a:noFill/>
                          <a:ln w="9525">
                            <a:solidFill>
                              <a:srgbClr val="000000"/>
                            </a:solidFill>
                            <a:prstDash val="sysDash"/>
                            <a:round/>
                            <a:headEnd/>
                            <a:tailEnd type="triangle" w="med" len="med"/>
                          </a:ln>
                          <a:extLst>
                            <a:ext uri="{909E8E84-426E-40DD-AFC4-6F175D3DCCD1}">
                              <a14:hiddenFill xmlns:a14="http://schemas.microsoft.com/office/drawing/2010/main">
                                <a:noFill/>
                              </a14:hiddenFill>
                            </a:ext>
                          </a:extLst>
                        </wps:spPr>
                        <wps:bodyPr/>
                      </wps:wsp>
                      <wps:wsp>
                        <wps:cNvPr id="102154547" name="Прямая соединительная линия 570"/>
                        <wps:cNvCnPr>
                          <a:cxnSpLocks noChangeShapeType="1"/>
                        </wps:cNvCnPr>
                        <wps:spPr bwMode="auto">
                          <a:xfrm>
                            <a:off x="1387243" y="4202384"/>
                            <a:ext cx="153716" cy="0"/>
                          </a:xfrm>
                          <a:prstGeom prst="line">
                            <a:avLst/>
                          </a:prstGeom>
                          <a:noFill/>
                          <a:ln w="9525">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152463607" name="Прямая со стрелкой 571"/>
                        <wps:cNvCnPr>
                          <a:cxnSpLocks noChangeShapeType="1"/>
                        </wps:cNvCnPr>
                        <wps:spPr bwMode="auto">
                          <a:xfrm>
                            <a:off x="3409851" y="5885938"/>
                            <a:ext cx="0" cy="3376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3923674" name="Прямая со стрелкой 572"/>
                        <wps:cNvCnPr>
                          <a:cxnSpLocks noChangeShapeType="1"/>
                          <a:stCxn id="1890438860" idx="0"/>
                          <a:endCxn id="304649815" idx="2"/>
                        </wps:cNvCnPr>
                        <wps:spPr bwMode="auto">
                          <a:xfrm flipV="1">
                            <a:off x="3599171" y="5888338"/>
                            <a:ext cx="8301" cy="326430"/>
                          </a:xfrm>
                          <a:prstGeom prst="straightConnector1">
                            <a:avLst/>
                          </a:prstGeom>
                          <a:noFill/>
                          <a:ln w="9525">
                            <a:solidFill>
                              <a:srgbClr val="000000"/>
                            </a:solidFill>
                            <a:prstDash val="sysDash"/>
                            <a:round/>
                            <a:headEnd/>
                            <a:tailEnd type="triangle" w="med" len="med"/>
                          </a:ln>
                          <a:extLst>
                            <a:ext uri="{909E8E84-426E-40DD-AFC4-6F175D3DCCD1}">
                              <a14:hiddenFill xmlns:a14="http://schemas.microsoft.com/office/drawing/2010/main">
                                <a:noFill/>
                              </a14:hiddenFill>
                            </a:ext>
                          </a:extLst>
                        </wps:spPr>
                        <wps:bodyPr/>
                      </wps:wsp>
                      <wps:wsp>
                        <wps:cNvPr id="471302752" name="Прямоугольник 573"/>
                        <wps:cNvSpPr>
                          <a:spLocks noChangeArrowheads="1"/>
                        </wps:cNvSpPr>
                        <wps:spPr bwMode="auto">
                          <a:xfrm>
                            <a:off x="2717480" y="4232187"/>
                            <a:ext cx="3031312" cy="269925"/>
                          </a:xfrm>
                          <a:prstGeom prst="rect">
                            <a:avLst/>
                          </a:prstGeom>
                          <a:solidFill>
                            <a:srgbClr val="FFFFFF"/>
                          </a:solidFill>
                          <a:ln w="9525">
                            <a:solidFill>
                              <a:srgbClr val="000000"/>
                            </a:solidFill>
                            <a:miter lim="800000"/>
                            <a:headEnd/>
                            <a:tailEnd/>
                          </a:ln>
                        </wps:spPr>
                        <wps:txbx>
                          <w:txbxContent>
                            <w:p w14:paraId="6CD8C9D6" w14:textId="77777777" w:rsidR="009515BC" w:rsidRPr="00EA71F9" w:rsidRDefault="009515BC" w:rsidP="009515BC">
                              <w:pPr>
                                <w:pStyle w:val="afd"/>
                                <w:spacing w:before="0" w:beforeAutospacing="0" w:after="0" w:afterAutospacing="0"/>
                                <w:ind w:left="-113" w:right="-170"/>
                                <w:jc w:val="center"/>
                              </w:pPr>
                              <w:r w:rsidRPr="00EA71F9">
                                <w:rPr>
                                  <w:rFonts w:eastAsia="Calibri"/>
                                  <w:color w:val="000000"/>
                                </w:rPr>
                                <w:t>Кредитний комітет</w:t>
                              </w:r>
                            </w:p>
                          </w:txbxContent>
                        </wps:txbx>
                        <wps:bodyPr rot="0" vert="horz" wrap="square" lIns="91440" tIns="45720" rIns="91440" bIns="45720" anchor="t" anchorCtr="0" upright="1">
                          <a:noAutofit/>
                        </wps:bodyPr>
                      </wps:wsp>
                      <wps:wsp>
                        <wps:cNvPr id="916798588" name="Стрелка вниз 574"/>
                        <wps:cNvSpPr>
                          <a:spLocks noChangeArrowheads="1"/>
                        </wps:cNvSpPr>
                        <wps:spPr bwMode="auto">
                          <a:xfrm>
                            <a:off x="3419152" y="6546198"/>
                            <a:ext cx="496151" cy="84808"/>
                          </a:xfrm>
                          <a:prstGeom prst="downArrow">
                            <a:avLst>
                              <a:gd name="adj1" fmla="val 50000"/>
                              <a:gd name="adj2" fmla="val 50000"/>
                            </a:avLst>
                          </a:prstGeom>
                          <a:solidFill>
                            <a:srgbClr val="FFFFFF"/>
                          </a:solidFill>
                          <a:ln w="9525">
                            <a:solidFill>
                              <a:srgbClr val="000000"/>
                            </a:solidFill>
                            <a:prstDash val="sysDot"/>
                            <a:miter lim="800000"/>
                            <a:headEnd/>
                            <a:tailEnd/>
                          </a:ln>
                        </wps:spPr>
                        <wps:bodyPr rot="0" vert="horz" wrap="square" lIns="91440" tIns="45720" rIns="91440" bIns="45720" anchor="ctr" anchorCtr="0" upright="1">
                          <a:noAutofit/>
                        </wps:bodyPr>
                      </wps:wsp>
                      <wps:wsp>
                        <wps:cNvPr id="385272404" name="Прямоугольник 575"/>
                        <wps:cNvSpPr>
                          <a:spLocks noChangeArrowheads="1"/>
                        </wps:cNvSpPr>
                        <wps:spPr bwMode="auto">
                          <a:xfrm>
                            <a:off x="4334047" y="1493937"/>
                            <a:ext cx="1408645" cy="394236"/>
                          </a:xfrm>
                          <a:prstGeom prst="rect">
                            <a:avLst/>
                          </a:prstGeom>
                          <a:solidFill>
                            <a:srgbClr val="FFFFFF"/>
                          </a:solidFill>
                          <a:ln w="19050">
                            <a:solidFill>
                              <a:srgbClr val="000000"/>
                            </a:solidFill>
                            <a:miter lim="800000"/>
                            <a:headEnd/>
                            <a:tailEnd/>
                          </a:ln>
                        </wps:spPr>
                        <wps:txbx>
                          <w:txbxContent>
                            <w:p w14:paraId="53C419DE" w14:textId="77777777" w:rsidR="009515BC" w:rsidRPr="00351CF9" w:rsidRDefault="009515BC" w:rsidP="009515BC">
                              <w:pPr>
                                <w:pStyle w:val="afd"/>
                                <w:spacing w:before="0" w:beforeAutospacing="0" w:after="0" w:afterAutospacing="0"/>
                                <w:ind w:left="-113" w:right="-170"/>
                                <w:jc w:val="both"/>
                              </w:pPr>
                              <w:r w:rsidRPr="00351CF9">
                                <w:rPr>
                                  <w:rFonts w:eastAsia="Calibri"/>
                                  <w:color w:val="000000"/>
                                </w:rPr>
                                <w:t>з питань ризиків</w:t>
                              </w:r>
                            </w:p>
                          </w:txbxContent>
                        </wps:txbx>
                        <wps:bodyPr rot="0" vert="horz" wrap="square" lIns="91440" tIns="45720" rIns="91440" bIns="45720" anchor="t" anchorCtr="0" upright="1">
                          <a:noAutofit/>
                        </wps:bodyPr>
                      </wps:wsp>
                      <wps:wsp>
                        <wps:cNvPr id="1683928669" name="Прямая соединительная линия 66"/>
                        <wps:cNvCnPr>
                          <a:cxnSpLocks noChangeShapeType="1"/>
                        </wps:cNvCnPr>
                        <wps:spPr bwMode="auto">
                          <a:xfrm>
                            <a:off x="0" y="1097500"/>
                            <a:ext cx="5869005"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87950153" name="Прямоугольник 67"/>
                        <wps:cNvSpPr>
                          <a:spLocks noChangeArrowheads="1"/>
                        </wps:cNvSpPr>
                        <wps:spPr bwMode="auto">
                          <a:xfrm>
                            <a:off x="4341748" y="2256506"/>
                            <a:ext cx="1408345" cy="328130"/>
                          </a:xfrm>
                          <a:prstGeom prst="rect">
                            <a:avLst/>
                          </a:prstGeom>
                          <a:solidFill>
                            <a:srgbClr val="FFFFFF"/>
                          </a:solidFill>
                          <a:ln w="19050">
                            <a:solidFill>
                              <a:srgbClr val="000000"/>
                            </a:solidFill>
                            <a:miter lim="800000"/>
                            <a:headEnd/>
                            <a:tailEnd/>
                          </a:ln>
                        </wps:spPr>
                        <wps:txbx>
                          <w:txbxContent>
                            <w:p w14:paraId="25212EB2" w14:textId="77777777" w:rsidR="009515BC" w:rsidRPr="00351CF9" w:rsidRDefault="009515BC" w:rsidP="009515BC">
                              <w:pPr>
                                <w:pStyle w:val="afd"/>
                                <w:spacing w:before="0" w:beforeAutospacing="0" w:after="0" w:afterAutospacing="0"/>
                                <w:ind w:left="-113" w:right="-170"/>
                                <w:jc w:val="both"/>
                              </w:pPr>
                              <w:r w:rsidRPr="00351CF9">
                                <w:rPr>
                                  <w:rFonts w:eastAsia="Calibri"/>
                                  <w:color w:val="000000"/>
                                </w:rPr>
                                <w:t xml:space="preserve">з питань аудиту </w:t>
                              </w:r>
                            </w:p>
                          </w:txbxContent>
                        </wps:txbx>
                        <wps:bodyPr rot="0" vert="horz" wrap="square" lIns="91440" tIns="45720" rIns="91440" bIns="45720" anchor="t" anchorCtr="0" upright="1">
                          <a:noAutofit/>
                        </wps:bodyPr>
                      </wps:wsp>
                      <wps:wsp>
                        <wps:cNvPr id="1171976353" name="Прямоугольник 70"/>
                        <wps:cNvSpPr>
                          <a:spLocks noChangeArrowheads="1"/>
                        </wps:cNvSpPr>
                        <wps:spPr bwMode="auto">
                          <a:xfrm>
                            <a:off x="62206" y="2938169"/>
                            <a:ext cx="1125116" cy="859479"/>
                          </a:xfrm>
                          <a:prstGeom prst="rect">
                            <a:avLst/>
                          </a:prstGeom>
                          <a:solidFill>
                            <a:srgbClr val="FFFFFF"/>
                          </a:solidFill>
                          <a:ln w="9525">
                            <a:solidFill>
                              <a:srgbClr val="000000"/>
                            </a:solidFill>
                            <a:prstDash val="dash"/>
                            <a:miter lim="800000"/>
                            <a:headEnd/>
                            <a:tailEnd/>
                          </a:ln>
                        </wps:spPr>
                        <wps:txbx>
                          <w:txbxContent>
                            <w:p w14:paraId="05091C5D" w14:textId="77777777" w:rsidR="009515BC" w:rsidRPr="00351CF9" w:rsidRDefault="009515BC" w:rsidP="009515BC">
                              <w:pPr>
                                <w:pStyle w:val="afd"/>
                                <w:spacing w:before="0" w:beforeAutospacing="0" w:after="0" w:afterAutospacing="0"/>
                                <w:ind w:left="-142" w:right="-143"/>
                                <w:jc w:val="center"/>
                                <w:rPr>
                                  <w:rFonts w:eastAsia="Calibri"/>
                                  <w:color w:val="000000"/>
                                </w:rPr>
                              </w:pPr>
                              <w:r w:rsidRPr="00351CF9">
                                <w:rPr>
                                  <w:rFonts w:eastAsia="Calibri"/>
                                  <w:color w:val="000000"/>
                                </w:rPr>
                                <w:t xml:space="preserve">Рівень </w:t>
                              </w:r>
                            </w:p>
                            <w:p w14:paraId="4991CA04" w14:textId="77777777" w:rsidR="009515BC" w:rsidRPr="00351CF9" w:rsidRDefault="009515BC" w:rsidP="009515BC">
                              <w:pPr>
                                <w:pStyle w:val="afd"/>
                                <w:spacing w:before="0" w:beforeAutospacing="0" w:after="0" w:afterAutospacing="0"/>
                                <w:ind w:left="-142" w:right="-143"/>
                                <w:jc w:val="center"/>
                              </w:pPr>
                              <w:r>
                                <w:rPr>
                                  <w:rFonts w:eastAsia="Calibri"/>
                                  <w:color w:val="000000"/>
                                </w:rPr>
                                <w:t>стратегічного контролю</w:t>
                              </w:r>
                            </w:p>
                          </w:txbxContent>
                        </wps:txbx>
                        <wps:bodyPr rot="0" vert="horz" wrap="square" lIns="91440" tIns="45720" rIns="91440" bIns="45720" anchor="ctr" anchorCtr="0" upright="1">
                          <a:noAutofit/>
                        </wps:bodyPr>
                      </wps:wsp>
                      <wps:wsp>
                        <wps:cNvPr id="987950773" name="Прямая соединительная линия 71"/>
                        <wps:cNvCnPr>
                          <a:cxnSpLocks noChangeShapeType="1"/>
                        </wps:cNvCnPr>
                        <wps:spPr bwMode="auto">
                          <a:xfrm flipH="1">
                            <a:off x="1188423" y="3393210"/>
                            <a:ext cx="117512" cy="0"/>
                          </a:xfrm>
                          <a:prstGeom prst="line">
                            <a:avLst/>
                          </a:prstGeom>
                          <a:noFill/>
                          <a:ln w="9525">
                            <a:solidFill>
                              <a:srgbClr val="000000"/>
                            </a:solidFill>
                            <a:prstDash val="dash"/>
                            <a:round/>
                            <a:headEnd/>
                            <a:tailEnd type="diamond" w="med" len="med"/>
                          </a:ln>
                          <a:extLst>
                            <a:ext uri="{909E8E84-426E-40DD-AFC4-6F175D3DCCD1}">
                              <a14:hiddenFill xmlns:a14="http://schemas.microsoft.com/office/drawing/2010/main">
                                <a:noFill/>
                              </a14:hiddenFill>
                            </a:ext>
                          </a:extLst>
                        </wps:spPr>
                        <wps:bodyPr/>
                      </wps:wsp>
                      <wps:wsp>
                        <wps:cNvPr id="298023205" name="Скругленный прямоугольник 75"/>
                        <wps:cNvSpPr>
                          <a:spLocks noChangeArrowheads="1"/>
                        </wps:cNvSpPr>
                        <wps:spPr bwMode="auto">
                          <a:xfrm>
                            <a:off x="1541359" y="2798956"/>
                            <a:ext cx="4205934" cy="1063197"/>
                          </a:xfrm>
                          <a:prstGeom prst="roundRect">
                            <a:avLst>
                              <a:gd name="adj" fmla="val 10458"/>
                            </a:avLst>
                          </a:prstGeom>
                          <a:solidFill>
                            <a:srgbClr val="FFFFFF"/>
                          </a:solidFill>
                          <a:ln w="9525">
                            <a:solidFill>
                              <a:srgbClr val="000000"/>
                            </a:solidFill>
                            <a:round/>
                            <a:headEnd/>
                            <a:tailEnd/>
                          </a:ln>
                        </wps:spPr>
                        <wps:bodyPr rot="0" vert="horz" wrap="square" lIns="91440" tIns="45720" rIns="91440" bIns="45720" anchor="ctr" anchorCtr="0" upright="1">
                          <a:noAutofit/>
                        </wps:bodyPr>
                      </wps:wsp>
                      <wps:wsp>
                        <wps:cNvPr id="296221308" name="Прямоугольник 78"/>
                        <wps:cNvSpPr>
                          <a:spLocks noChangeArrowheads="1"/>
                        </wps:cNvSpPr>
                        <wps:spPr bwMode="auto">
                          <a:xfrm>
                            <a:off x="3466957" y="3388610"/>
                            <a:ext cx="2188826" cy="408437"/>
                          </a:xfrm>
                          <a:prstGeom prst="rect">
                            <a:avLst/>
                          </a:prstGeom>
                          <a:solidFill>
                            <a:srgbClr val="FFFFFF"/>
                          </a:solidFill>
                          <a:ln w="19050">
                            <a:solidFill>
                              <a:srgbClr val="000000"/>
                            </a:solidFill>
                            <a:miter lim="800000"/>
                            <a:headEnd/>
                            <a:tailEnd/>
                          </a:ln>
                        </wps:spPr>
                        <wps:txbx>
                          <w:txbxContent>
                            <w:p w14:paraId="78FFD810" w14:textId="77777777" w:rsidR="009515BC" w:rsidRPr="00AA757D" w:rsidRDefault="009515BC" w:rsidP="009515BC">
                              <w:pPr>
                                <w:pStyle w:val="19"/>
                                <w:spacing w:before="0" w:beforeAutospacing="0" w:after="0" w:afterAutospacing="0"/>
                                <w:jc w:val="center"/>
                              </w:pPr>
                              <w:r>
                                <w:rPr>
                                  <w:rFonts w:eastAsia="Calibri"/>
                                  <w:color w:val="000000"/>
                                </w:rPr>
                                <w:t xml:space="preserve">Служба корпоративного </w:t>
                              </w:r>
                              <w:r w:rsidRPr="00AA757D">
                                <w:rPr>
                                  <w:color w:val="000000"/>
                                  <w:lang w:val="uk-UA"/>
                                </w:rPr>
                                <w:t>Якість менеджменту банку</w:t>
                              </w:r>
                            </w:p>
                          </w:txbxContent>
                        </wps:txbx>
                        <wps:bodyPr rot="0" vert="horz" wrap="square" lIns="91440" tIns="45720" rIns="91440" bIns="45720" anchor="t" anchorCtr="0" upright="1">
                          <a:noAutofit/>
                        </wps:bodyPr>
                      </wps:wsp>
                      <wps:wsp>
                        <wps:cNvPr id="946913004" name="Прямоугольник 85"/>
                        <wps:cNvSpPr>
                          <a:spLocks noChangeArrowheads="1"/>
                        </wps:cNvSpPr>
                        <wps:spPr bwMode="auto">
                          <a:xfrm>
                            <a:off x="1636669" y="2938069"/>
                            <a:ext cx="1778783" cy="351632"/>
                          </a:xfrm>
                          <a:prstGeom prst="rect">
                            <a:avLst/>
                          </a:prstGeom>
                          <a:solidFill>
                            <a:srgbClr val="FFFFFF"/>
                          </a:solidFill>
                          <a:ln w="19050">
                            <a:solidFill>
                              <a:srgbClr val="000000"/>
                            </a:solidFill>
                            <a:miter lim="800000"/>
                            <a:headEnd/>
                            <a:tailEnd/>
                          </a:ln>
                        </wps:spPr>
                        <wps:txbx>
                          <w:txbxContent>
                            <w:p w14:paraId="0A10CB23" w14:textId="77777777" w:rsidR="009515BC" w:rsidRPr="00806EDC" w:rsidRDefault="009515BC" w:rsidP="009515BC">
                              <w:pPr>
                                <w:pStyle w:val="afd"/>
                                <w:spacing w:before="0" w:beforeAutospacing="0" w:after="0" w:afterAutospacing="0"/>
                                <w:ind w:left="-113" w:right="-170"/>
                                <w:jc w:val="center"/>
                              </w:pPr>
                              <w:r>
                                <w:rPr>
                                  <w:rFonts w:eastAsia="Calibri"/>
                                  <w:color w:val="000000"/>
                                  <w:lang w:val="ru-RU"/>
                                </w:rPr>
                                <w:t xml:space="preserve">Напрямок </w:t>
                              </w:r>
                              <w:r>
                                <w:rPr>
                                  <w:rFonts w:eastAsia="Calibri"/>
                                  <w:color w:val="000000"/>
                                </w:rPr>
                                <w:t>«</w:t>
                              </w:r>
                              <w:r>
                                <w:rPr>
                                  <w:rFonts w:eastAsia="Calibri"/>
                                  <w:color w:val="000000"/>
                                  <w:lang w:val="en-US"/>
                                </w:rPr>
                                <w:t>Compliance</w:t>
                              </w:r>
                              <w:r>
                                <w:rPr>
                                  <w:rFonts w:eastAsia="Calibri"/>
                                  <w:color w:val="000000"/>
                                </w:rPr>
                                <w:t>»</w:t>
                              </w:r>
                            </w:p>
                          </w:txbxContent>
                        </wps:txbx>
                        <wps:bodyPr rot="0" vert="horz" wrap="square" lIns="91440" tIns="45720" rIns="91440" bIns="45720" anchor="t" anchorCtr="0" upright="1">
                          <a:noAutofit/>
                        </wps:bodyPr>
                      </wps:wsp>
                      <wps:wsp>
                        <wps:cNvPr id="1410121252" name="Прямоугольник 87"/>
                        <wps:cNvSpPr>
                          <a:spLocks noChangeArrowheads="1"/>
                        </wps:cNvSpPr>
                        <wps:spPr bwMode="auto">
                          <a:xfrm>
                            <a:off x="1636469" y="3388810"/>
                            <a:ext cx="1778783" cy="408537"/>
                          </a:xfrm>
                          <a:prstGeom prst="rect">
                            <a:avLst/>
                          </a:prstGeom>
                          <a:solidFill>
                            <a:srgbClr val="FFFFFF"/>
                          </a:solidFill>
                          <a:ln w="19050">
                            <a:solidFill>
                              <a:srgbClr val="000000"/>
                            </a:solidFill>
                            <a:miter lim="800000"/>
                            <a:headEnd/>
                            <a:tailEnd/>
                          </a:ln>
                        </wps:spPr>
                        <wps:txbx>
                          <w:txbxContent>
                            <w:p w14:paraId="414DB1CA" w14:textId="77777777" w:rsidR="009515BC" w:rsidRPr="00806EDC" w:rsidRDefault="009515BC" w:rsidP="009515BC">
                              <w:pPr>
                                <w:pStyle w:val="afd"/>
                                <w:spacing w:before="0" w:beforeAutospacing="0" w:after="0" w:afterAutospacing="0" w:line="216" w:lineRule="auto"/>
                                <w:ind w:left="-113" w:right="-170"/>
                                <w:jc w:val="center"/>
                              </w:pPr>
                              <w:r>
                                <w:rPr>
                                  <w:rFonts w:eastAsia="Calibri"/>
                                  <w:color w:val="000000"/>
                                  <w:lang w:val="ru-RU"/>
                                </w:rPr>
                                <w:t xml:space="preserve">Напрямок </w:t>
                              </w:r>
                              <w:r>
                                <w:rPr>
                                  <w:rFonts w:eastAsia="Calibri"/>
                                  <w:color w:val="000000"/>
                                </w:rPr>
                                <w:t>фінансового моніторингу</w:t>
                              </w:r>
                            </w:p>
                          </w:txbxContent>
                        </wps:txbx>
                        <wps:bodyPr rot="0" vert="horz" wrap="square" lIns="91440" tIns="45720" rIns="91440" bIns="45720" anchor="t" anchorCtr="0" upright="1">
                          <a:noAutofit/>
                        </wps:bodyPr>
                      </wps:wsp>
                      <wps:wsp>
                        <wps:cNvPr id="114526753" name="Прямоугольник 90"/>
                        <wps:cNvSpPr>
                          <a:spLocks noChangeArrowheads="1"/>
                        </wps:cNvSpPr>
                        <wps:spPr bwMode="auto">
                          <a:xfrm>
                            <a:off x="3518063" y="2937969"/>
                            <a:ext cx="2138220" cy="351632"/>
                          </a:xfrm>
                          <a:prstGeom prst="rect">
                            <a:avLst/>
                          </a:prstGeom>
                          <a:solidFill>
                            <a:srgbClr val="FFFFFF"/>
                          </a:solidFill>
                          <a:ln w="19050">
                            <a:solidFill>
                              <a:srgbClr val="000000"/>
                            </a:solidFill>
                            <a:miter lim="800000"/>
                            <a:headEnd/>
                            <a:tailEnd/>
                          </a:ln>
                        </wps:spPr>
                        <wps:txbx>
                          <w:txbxContent>
                            <w:p w14:paraId="5CAA7570" w14:textId="77777777" w:rsidR="009515BC" w:rsidRPr="00806EDC" w:rsidRDefault="009515BC" w:rsidP="009515BC">
                              <w:pPr>
                                <w:pStyle w:val="afd"/>
                                <w:spacing w:before="0" w:beforeAutospacing="0" w:after="0" w:afterAutospacing="0"/>
                                <w:ind w:left="-113" w:right="-170"/>
                                <w:jc w:val="center"/>
                              </w:pPr>
                              <w:r>
                                <w:rPr>
                                  <w:rFonts w:eastAsia="Calibri"/>
                                  <w:color w:val="000000"/>
                                  <w:lang w:val="ru-RU"/>
                                </w:rPr>
                                <w:t xml:space="preserve">Напрямок </w:t>
                              </w:r>
                              <w:r>
                                <w:rPr>
                                  <w:rFonts w:eastAsia="Calibri"/>
                                  <w:color w:val="000000"/>
                                </w:rPr>
                                <w:t>«Внутрішній аудит»</w:t>
                              </w:r>
                            </w:p>
                          </w:txbxContent>
                        </wps:txbx>
                        <wps:bodyPr rot="0" vert="horz" wrap="square" lIns="91440" tIns="45720" rIns="91440" bIns="45720" anchor="t" anchorCtr="0" upright="1">
                          <a:noAutofit/>
                        </wps:bodyPr>
                      </wps:wsp>
                      <wps:wsp>
                        <wps:cNvPr id="2030269747" name="Прямая со стрелкой 91"/>
                        <wps:cNvCnPr>
                          <a:cxnSpLocks noChangeShapeType="1"/>
                          <a:stCxn id="387950153" idx="2"/>
                        </wps:cNvCnPr>
                        <wps:spPr bwMode="auto">
                          <a:xfrm>
                            <a:off x="5045720" y="2593937"/>
                            <a:ext cx="10801" cy="353732"/>
                          </a:xfrm>
                          <a:prstGeom prst="straightConnector1">
                            <a:avLst/>
                          </a:prstGeom>
                          <a:noFill/>
                          <a:ln w="6350">
                            <a:solidFill>
                              <a:schemeClr val="dk1">
                                <a:lumMod val="100000"/>
                                <a:lumOff val="0"/>
                              </a:schemeClr>
                            </a:solidFill>
                            <a:miter lim="800000"/>
                            <a:headEnd type="arrow" w="med" len="med"/>
                            <a:tailEnd type="arrow" w="med" len="med"/>
                          </a:ln>
                          <a:extLst>
                            <a:ext uri="{909E8E84-426E-40DD-AFC4-6F175D3DCCD1}">
                              <a14:hiddenFill xmlns:a14="http://schemas.microsoft.com/office/drawing/2010/main">
                                <a:noFill/>
                              </a14:hiddenFill>
                            </a:ext>
                          </a:extLst>
                        </wps:spPr>
                        <wps:bodyPr/>
                      </wps:wsp>
                      <wps:wsp>
                        <wps:cNvPr id="2034570468" name="Прямоугольник 92"/>
                        <wps:cNvSpPr>
                          <a:spLocks noChangeArrowheads="1"/>
                        </wps:cNvSpPr>
                        <wps:spPr bwMode="auto">
                          <a:xfrm>
                            <a:off x="2717280" y="4502111"/>
                            <a:ext cx="3031512" cy="322329"/>
                          </a:xfrm>
                          <a:prstGeom prst="rect">
                            <a:avLst/>
                          </a:prstGeom>
                          <a:solidFill>
                            <a:srgbClr val="FFFFFF"/>
                          </a:solidFill>
                          <a:ln w="9525">
                            <a:solidFill>
                              <a:srgbClr val="000000"/>
                            </a:solidFill>
                            <a:miter lim="800000"/>
                            <a:headEnd/>
                            <a:tailEnd/>
                          </a:ln>
                        </wps:spPr>
                        <wps:txbx>
                          <w:txbxContent>
                            <w:p w14:paraId="1268287A" w14:textId="77777777" w:rsidR="009515BC" w:rsidRPr="00EA71F9" w:rsidRDefault="009515BC" w:rsidP="009515BC">
                              <w:pPr>
                                <w:pStyle w:val="afd"/>
                                <w:spacing w:before="0" w:beforeAutospacing="0" w:after="0" w:afterAutospacing="0"/>
                                <w:ind w:left="-113" w:right="-170"/>
                                <w:jc w:val="center"/>
                              </w:pPr>
                              <w:r>
                                <w:rPr>
                                  <w:rFonts w:eastAsia="Calibri"/>
                                  <w:color w:val="000000"/>
                                </w:rPr>
                                <w:t>Тендерний</w:t>
                              </w:r>
                              <w:r w:rsidRPr="00EA71F9">
                                <w:rPr>
                                  <w:rFonts w:eastAsia="Calibri"/>
                                  <w:color w:val="000000"/>
                                </w:rPr>
                                <w:t xml:space="preserve"> комітет</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0D5E2975" id="Полотно 510" o:spid="_x0000_s1197" editas="canvas" style="position:absolute;margin-left:28.65pt;margin-top:-6.3pt;width:462.15pt;height:628.9pt;z-index:251681280;mso-position-horizontal-relative:char;mso-position-vertical-relative:line" coordsize="58693,79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">
                <v:shape id="_x0000_s1198" type="#_x0000_t75" style="position:absolute;width:58693;height:79870;visibility:visible;mso-wrap-style:square">
                  <v:fill o:detectmouseclick="t"/>
                  <v:path o:connecttype="none"/>
                </v:shape>
                <v:shapetype id="_x0000_t32" coordsize="21600,21600" o:spt="32" o:oned="t" path="m,l21600,21600e" filled="f">
                  <v:path arrowok="t" fillok="f" o:connecttype="none"/>
                  <o:lock v:ext="edit" shapetype="t"/>
                </v:shapetype>
                <v:shape id="Прямая со стрелкой 52" o:spid="_x0000_s1199" type="#_x0000_t32" style="position:absolute;left:35653;top:5691;width:0;height:18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">
                  <v:stroke endarrow="block"/>
                </v:shape>
                <v:shape id="Прямая со стрелкой 60" o:spid="_x0000_s1200" type="#_x0000_t32" style="position:absolute;left:34156;top:5976;width:0;height:266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">
                  <v:stroke dashstyle="3 1" endarrow="block"/>
                </v:shape>
                <v:rect id="Прямоугольник 61" o:spid="_x0000_s1201" style="position:absolute;left:14202;top:38618;width:44154;height:221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" fillcolor="#bfbfbf" strokecolor="white">
                  <v:fill r:id="rId89" o:title="" type="pattern"/>
                  <v:stroke dashstyle="dash"/>
                  <v:textbox>
                    <w:txbxContent>
                      <w:p w14:paraId="4CF405AB" w14:textId="77777777" w:rsidR="009515BC" w:rsidRPr="00413386" w:rsidRDefault="009515BC" w:rsidP="009515BC">
                        <w:pPr>
                          <w:pStyle w:val="afd"/>
                          <w:spacing w:before="0" w:beforeAutospacing="0" w:after="0" w:afterAutospacing="0"/>
                          <w:jc w:val="center"/>
                        </w:pPr>
                        <w:r w:rsidRPr="00413386">
                          <w:t> </w:t>
                        </w:r>
                      </w:p>
                    </w:txbxContent>
                  </v:textbox>
                </v:rect>
                <v:rect id="Прямоугольник 512" o:spid="_x0000_s1202" style="position:absolute;left:13971;top:11411;width:44026;height:27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" fillcolor="#bfbfbf" strokecolor="white">
                  <v:fill r:id="rId90" o:title="" type="pattern"/>
                  <v:stroke dashstyle="dash"/>
                  <v:textbox>
                    <w:txbxContent>
                      <w:p w14:paraId="488A48F0" w14:textId="77777777" w:rsidR="009515BC" w:rsidRPr="00413386" w:rsidRDefault="009515BC" w:rsidP="009515BC">
                        <w:pPr>
                          <w:pStyle w:val="afd"/>
                          <w:spacing w:before="0" w:beforeAutospacing="0" w:after="0" w:afterAutospacing="0"/>
                          <w:jc w:val="center"/>
                        </w:pPr>
                        <w:r w:rsidRPr="00413386">
                          <w:t> </w:t>
                        </w:r>
                      </w:p>
                    </w:txbxContent>
                  </v:textbox>
                </v:rect>
                <v:rect id="Прямоугольник 513" o:spid="_x0000_s1203" style="position:absolute;left:14020;width:44026;height:56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" fillcolor="#bfbfbf" strokecolor="white">
                  <v:fill r:id="rId91" o:title="" type="pattern"/>
                  <v:stroke dashstyle="dash"/>
                  <v:textbox>
                    <w:txbxContent>
                      <w:p w14:paraId="7C1CF487" w14:textId="77777777" w:rsidR="009515BC" w:rsidRPr="00413386" w:rsidRDefault="009515BC" w:rsidP="009515BC">
                        <w:pPr>
                          <w:pStyle w:val="afd"/>
                          <w:spacing w:before="0" w:beforeAutospacing="0" w:after="0" w:afterAutospacing="0"/>
                          <w:jc w:val="center"/>
                        </w:pPr>
                      </w:p>
                    </w:txbxContent>
                  </v:textbox>
                </v:rect>
                <v:rect id="Прямоугольник 514" o:spid="_x0000_s1204" style="position:absolute;left:15416;top:531;width:42646;height:4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" strokeweight="1.5pt">
                  <v:stroke dashstyle="3 1"/>
                  <v:textbox>
                    <w:txbxContent>
                      <w:p w14:paraId="7DDDDAF9" w14:textId="77777777" w:rsidR="009515BC" w:rsidRPr="00351CF9" w:rsidRDefault="009515BC" w:rsidP="009515BC">
                        <w:pPr>
                          <w:pStyle w:val="afd"/>
                          <w:spacing w:before="0" w:beforeAutospacing="0" w:after="0" w:afterAutospacing="0"/>
                          <w:jc w:val="center"/>
                        </w:pPr>
                        <w:r w:rsidRPr="00351CF9">
                          <w:rPr>
                            <w:rFonts w:eastAsia="Calibri"/>
                            <w:color w:val="000000"/>
                          </w:rPr>
                          <w:t>Єдиний акціонер, якому належать 100% акцій, є держава в особі Кабінету Міністрів України</w:t>
                        </w:r>
                      </w:p>
                    </w:txbxContent>
                  </v:textbox>
                </v:rect>
                <v:rect id="Прямоугольник 515" o:spid="_x0000_s1205" style="position:absolute;left:15406;top:39459;width:10628;height:7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" strokeweight="1.5pt">
                  <v:textbox>
                    <w:txbxContent>
                      <w:p w14:paraId="43266D15" w14:textId="77777777" w:rsidR="009515BC" w:rsidRPr="00EA71F9" w:rsidRDefault="009515BC" w:rsidP="009515BC">
                        <w:pPr>
                          <w:pStyle w:val="afd"/>
                          <w:spacing w:before="0" w:beforeAutospacing="0" w:after="0" w:afterAutospacing="0"/>
                          <w:jc w:val="center"/>
                          <w:rPr>
                            <w:rFonts w:eastAsia="Calibri"/>
                            <w:color w:val="000000"/>
                          </w:rPr>
                        </w:pPr>
                        <w:r w:rsidRPr="00EA71F9">
                          <w:rPr>
                            <w:rFonts w:eastAsia="Calibri"/>
                            <w:color w:val="000000"/>
                          </w:rPr>
                          <w:t>Правління</w:t>
                        </w:r>
                      </w:p>
                      <w:p w14:paraId="34338463" w14:textId="77777777" w:rsidR="009515BC" w:rsidRPr="00413386" w:rsidRDefault="009515BC" w:rsidP="009515BC">
                        <w:pPr>
                          <w:pStyle w:val="afd"/>
                          <w:spacing w:before="0" w:beforeAutospacing="0" w:after="0" w:afterAutospacing="0"/>
                          <w:jc w:val="center"/>
                          <w:rPr>
                            <w:sz w:val="10"/>
                            <w:szCs w:val="10"/>
                          </w:rPr>
                        </w:pPr>
                      </w:p>
                    </w:txbxContent>
                  </v:textbox>
                </v:rect>
                <v:rect id="Прямоугольник 516" o:spid="_x0000_s1206" style="position:absolute;left:718;top:531;width:11228;height:44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">
                  <v:stroke dashstyle="dash"/>
                  <v:textbox>
                    <w:txbxContent>
                      <w:p w14:paraId="376AA7ED" w14:textId="77777777" w:rsidR="009515BC" w:rsidRPr="00351CF9" w:rsidRDefault="009515BC" w:rsidP="009515BC">
                        <w:pPr>
                          <w:pStyle w:val="afd"/>
                          <w:spacing w:before="0" w:beforeAutospacing="0" w:after="0" w:afterAutospacing="0"/>
                          <w:jc w:val="center"/>
                        </w:pPr>
                        <w:r w:rsidRPr="00351CF9">
                          <w:rPr>
                            <w:rFonts w:eastAsia="Calibri"/>
                            <w:color w:val="000000"/>
                          </w:rPr>
                          <w:t>Рівень власності</w:t>
                        </w:r>
                      </w:p>
                    </w:txbxContent>
                  </v:textbox>
                </v:rect>
                <v:rect id="Прямоугольник 517" o:spid="_x0000_s1207" style="position:absolute;left:718;top:12400;width:11155;height:85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">
                  <v:stroke dashstyle="dash"/>
                  <v:textbox>
                    <w:txbxContent>
                      <w:p w14:paraId="11B90066" w14:textId="77777777" w:rsidR="009515BC" w:rsidRPr="00351CF9" w:rsidRDefault="009515BC" w:rsidP="009515BC">
                        <w:pPr>
                          <w:pStyle w:val="afd"/>
                          <w:spacing w:before="0" w:beforeAutospacing="0" w:after="0" w:afterAutospacing="0"/>
                          <w:ind w:left="-142" w:right="-143"/>
                          <w:jc w:val="center"/>
                          <w:rPr>
                            <w:rFonts w:eastAsia="Calibri"/>
                            <w:color w:val="000000"/>
                          </w:rPr>
                        </w:pPr>
                        <w:r w:rsidRPr="00351CF9">
                          <w:rPr>
                            <w:rFonts w:eastAsia="Calibri"/>
                            <w:color w:val="000000"/>
                          </w:rPr>
                          <w:t xml:space="preserve">Рівень </w:t>
                        </w:r>
                      </w:p>
                      <w:p w14:paraId="0150FF9B" w14:textId="77777777" w:rsidR="009515BC" w:rsidRPr="00351CF9" w:rsidRDefault="009515BC" w:rsidP="009515BC">
                        <w:pPr>
                          <w:pStyle w:val="afd"/>
                          <w:spacing w:before="0" w:beforeAutospacing="0" w:after="0" w:afterAutospacing="0"/>
                          <w:ind w:left="-142" w:right="-143"/>
                          <w:jc w:val="center"/>
                        </w:pPr>
                        <w:r w:rsidRPr="00351CF9">
                          <w:rPr>
                            <w:rFonts w:eastAsia="Calibri"/>
                            <w:color w:val="000000"/>
                          </w:rPr>
                          <w:t>встановлення цілей</w:t>
                        </w:r>
                      </w:p>
                    </w:txbxContent>
                  </v:textbox>
                </v:rect>
                <v:roundrect id="Скругленный прямоугольник 518" o:spid="_x0000_s1208" style="position:absolute;left:16248;top:12062;width:42060;height:14474;visibility:visible;mso-wrap-style:square;v-text-anchor:middle" arcsize="68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"/>
                <v:rect id="Прямоугольник 519" o:spid="_x0000_s1209" style="position:absolute;left:14943;top:12062;width:27593;height:34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" filled="f" stroked="f">
                  <v:textbox>
                    <w:txbxContent>
                      <w:p w14:paraId="1B6A99C7" w14:textId="77777777" w:rsidR="009515BC" w:rsidRPr="00351CF9" w:rsidRDefault="009515BC" w:rsidP="009515BC">
                        <w:pPr>
                          <w:pStyle w:val="afd"/>
                          <w:spacing w:before="0" w:beforeAutospacing="0" w:after="0" w:afterAutospacing="0"/>
                          <w:jc w:val="center"/>
                        </w:pPr>
                        <w:r w:rsidRPr="00351CF9">
                          <w:rPr>
                            <w:rFonts w:eastAsia="Calibri"/>
                            <w:color w:val="000000"/>
                          </w:rPr>
                          <w:t>Контролюючі комітети</w:t>
                        </w:r>
                      </w:p>
                    </w:txbxContent>
                  </v:textbox>
                </v:rect>
                <v:rect id="Прямоугольник 520" o:spid="_x0000_s1210" style="position:absolute;left:17074;top:14906;width:25458;height:109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">
                  <v:textbox>
                    <w:txbxContent>
                      <w:p w14:paraId="639A312C" w14:textId="77777777" w:rsidR="009515BC" w:rsidRPr="00351CF9" w:rsidRDefault="009515BC" w:rsidP="009515BC">
                        <w:pPr>
                          <w:pStyle w:val="afd"/>
                          <w:spacing w:before="0" w:beforeAutospacing="0" w:after="0" w:afterAutospacing="0"/>
                          <w:ind w:left="-113" w:right="-113"/>
                          <w:jc w:val="center"/>
                          <w:rPr>
                            <w:rFonts w:eastAsia="Calibri"/>
                            <w:color w:val="000000"/>
                          </w:rPr>
                        </w:pPr>
                        <w:r w:rsidRPr="00351CF9">
                          <w:rPr>
                            <w:rFonts w:eastAsia="Calibri"/>
                            <w:color w:val="000000"/>
                          </w:rPr>
                          <w:t>з корпоративного управління, винагород та призначень;</w:t>
                        </w:r>
                      </w:p>
                      <w:p w14:paraId="2D5D4E13" w14:textId="77777777" w:rsidR="009515BC" w:rsidRPr="00351CF9" w:rsidRDefault="009515BC" w:rsidP="009515BC">
                        <w:pPr>
                          <w:pStyle w:val="afd"/>
                          <w:spacing w:before="0" w:beforeAutospacing="0" w:after="0" w:afterAutospacing="0"/>
                          <w:ind w:left="-113" w:right="-113"/>
                          <w:jc w:val="center"/>
                        </w:pPr>
                        <w:r w:rsidRPr="00351CF9">
                          <w:rPr>
                            <w:rFonts w:eastAsia="Calibri"/>
                            <w:color w:val="000000"/>
                          </w:rPr>
                          <w:t xml:space="preserve">з питань технологій, даних та інновацій; </w:t>
                        </w:r>
                        <w:r>
                          <w:rPr>
                            <w:rFonts w:eastAsia="Calibri"/>
                            <w:color w:val="000000"/>
                          </w:rPr>
                          <w:t>\</w:t>
                        </w:r>
                        <w:r w:rsidRPr="00351CF9">
                          <w:rPr>
                            <w:rFonts w:eastAsia="Calibri"/>
                            <w:color w:val="000000"/>
                          </w:rPr>
                          <w:t>з питань з питань стратегії і трансформації.</w:t>
                        </w:r>
                      </w:p>
                    </w:txbxContent>
                  </v:textbox>
                </v:rect>
                <v:roundrect id="Скругленный прямоугольник 523" o:spid="_x0000_s1211" style="position:absolute;left:14816;top:48235;width:42508;height:10646;visibility:visible;mso-wrap-style:square;v-text-anchor:middle" arcsize="482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">
                  <v:textbox>
                    <w:txbxContent>
                      <w:p w14:paraId="6F88EC0B" w14:textId="77777777" w:rsidR="009515BC" w:rsidRPr="00866ECF" w:rsidRDefault="009515BC" w:rsidP="009515BC">
                        <w:pPr>
                          <w:spacing w:after="0" w:line="240" w:lineRule="auto"/>
                          <w:ind w:left="-113" w:right="-113"/>
                          <w:jc w:val="both"/>
                          <w:rPr>
                            <w:rFonts w:ascii="Times New Roman" w:hAnsi="Times New Roman" w:cs="Times New Roman"/>
                            <w:sz w:val="24"/>
                            <w:szCs w:val="24"/>
                            <w:lang w:val="en-US"/>
                          </w:rPr>
                        </w:pPr>
                        <w:r w:rsidRPr="00866ECF">
                          <w:rPr>
                            <w:rFonts w:ascii="Times New Roman" w:hAnsi="Times New Roman" w:cs="Times New Roman"/>
                            <w:sz w:val="24"/>
                            <w:szCs w:val="24"/>
                            <w:lang w:val="uk-UA"/>
                          </w:rPr>
                          <w:t xml:space="preserve">Додаткові комітети: бюджетний, з питань </w:t>
                        </w:r>
                        <w:proofErr w:type="spellStart"/>
                        <w:r w:rsidRPr="00866ECF">
                          <w:rPr>
                            <w:rFonts w:ascii="Times New Roman" w:hAnsi="Times New Roman" w:cs="Times New Roman"/>
                            <w:sz w:val="24"/>
                            <w:szCs w:val="24"/>
                            <w:lang w:val="uk-UA"/>
                          </w:rPr>
                          <w:t>комп</w:t>
                        </w:r>
                        <w:r>
                          <w:rPr>
                            <w:rFonts w:ascii="Times New Roman" w:hAnsi="Times New Roman" w:cs="Times New Roman"/>
                            <w:sz w:val="24"/>
                            <w:szCs w:val="24"/>
                            <w:lang w:val="uk-UA"/>
                          </w:rPr>
                          <w:t>лаєнсу</w:t>
                        </w:r>
                        <w:proofErr w:type="spellEnd"/>
                        <w:r>
                          <w:rPr>
                            <w:rFonts w:ascii="Times New Roman" w:hAnsi="Times New Roman" w:cs="Times New Roman"/>
                            <w:sz w:val="24"/>
                            <w:szCs w:val="24"/>
                            <w:lang w:val="uk-UA"/>
                          </w:rPr>
                          <w:t xml:space="preserve"> та фінансової безпеки,</w:t>
                        </w:r>
                        <w:r>
                          <w:rPr>
                            <w:rFonts w:ascii="Times New Roman" w:hAnsi="Times New Roman" w:cs="Times New Roman"/>
                            <w:sz w:val="24"/>
                            <w:szCs w:val="24"/>
                            <w:lang w:val="en-US"/>
                          </w:rPr>
                          <w:t xml:space="preserve"> </w:t>
                        </w:r>
                        <w:r w:rsidRPr="00866ECF">
                          <w:rPr>
                            <w:rFonts w:ascii="Times New Roman" w:hAnsi="Times New Roman" w:cs="Times New Roman"/>
                            <w:sz w:val="24"/>
                            <w:szCs w:val="24"/>
                            <w:lang w:val="uk-UA"/>
                          </w:rPr>
                          <w:t xml:space="preserve">з управління непрацюючими активами, з управління операційними ризиками та інформаційною безпекою; трансформаційний, технологічний, з питань продуктів та тарифів, маркетинговий </w:t>
                        </w:r>
                        <w:r>
                          <w:rPr>
                            <w:rFonts w:ascii="Times New Roman" w:hAnsi="Times New Roman" w:cs="Times New Roman"/>
                            <w:sz w:val="24"/>
                            <w:szCs w:val="24"/>
                            <w:lang w:val="uk-UA"/>
                          </w:rPr>
                          <w:t xml:space="preserve">та </w:t>
                        </w:r>
                        <w:r>
                          <w:rPr>
                            <w:rFonts w:ascii="Times New Roman" w:hAnsi="Times New Roman" w:cs="Times New Roman"/>
                            <w:sz w:val="24"/>
                            <w:szCs w:val="24"/>
                            <w:lang w:val="en-US"/>
                          </w:rPr>
                          <w:t>PR</w:t>
                        </w:r>
                      </w:p>
                    </w:txbxContent>
                  </v:textbox>
                </v:roundrect>
                <v:rect id="Прямоугольник 524" o:spid="_x0000_s1212" style="position:absolute;left:16246;top:41988;width:9133;height:4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" strokeweight="1.5pt">
                  <v:textbox>
                    <w:txbxContent>
                      <w:p w14:paraId="72D44439" w14:textId="77777777" w:rsidR="009515BC" w:rsidRPr="00425404" w:rsidRDefault="009515BC" w:rsidP="009515BC">
                        <w:pPr>
                          <w:pStyle w:val="afd"/>
                          <w:spacing w:before="0" w:beforeAutospacing="0" w:after="0" w:afterAutospacing="0"/>
                          <w:ind w:left="-170" w:right="-170"/>
                          <w:jc w:val="center"/>
                          <w:rPr>
                            <w:sz w:val="22"/>
                            <w:szCs w:val="22"/>
                          </w:rPr>
                        </w:pPr>
                        <w:r w:rsidRPr="00425404">
                          <w:rPr>
                            <w:rFonts w:eastAsia="Calibri"/>
                            <w:color w:val="000000"/>
                            <w:sz w:val="22"/>
                            <w:szCs w:val="22"/>
                          </w:rPr>
                          <w:t xml:space="preserve">Антикризовий штаб </w:t>
                        </w:r>
                      </w:p>
                    </w:txbxContent>
                  </v:textbox>
                </v:rect>
                <v:rect id="Прямоугольник 525" o:spid="_x0000_s1213" style="position:absolute;left:27177;top:39462;width:30319;height:3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">
                  <v:textbox>
                    <w:txbxContent>
                      <w:p w14:paraId="544A4401" w14:textId="77777777" w:rsidR="009515BC" w:rsidRPr="00EA71F9" w:rsidRDefault="009515BC" w:rsidP="009515BC">
                        <w:pPr>
                          <w:pStyle w:val="afd"/>
                          <w:spacing w:before="0" w:beforeAutospacing="0" w:after="0" w:afterAutospacing="0"/>
                          <w:ind w:left="-113" w:right="-170"/>
                          <w:jc w:val="center"/>
                        </w:pPr>
                        <w:r w:rsidRPr="00EA71F9">
                          <w:rPr>
                            <w:rFonts w:eastAsia="Calibri"/>
                            <w:color w:val="000000"/>
                          </w:rPr>
                          <w:t>Комітет з управління активами та пасивами</w:t>
                        </w:r>
                      </w:p>
                    </w:txbxContent>
                  </v:textbox>
                </v:rect>
                <v:rect id="Прямоугольник 526" o:spid="_x0000_s1214" style="position:absolute;left:718;top:41384;width:11222;height:114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">
                  <v:stroke dashstyle="dash"/>
                  <v:textbox>
                    <w:txbxContent>
                      <w:p w14:paraId="401FB999" w14:textId="77777777" w:rsidR="009515BC" w:rsidRPr="00866ECF" w:rsidRDefault="009515BC" w:rsidP="009515BC">
                        <w:pPr>
                          <w:pStyle w:val="afd"/>
                          <w:spacing w:before="0" w:beforeAutospacing="0" w:after="0" w:afterAutospacing="0"/>
                          <w:ind w:left="-57" w:right="-57"/>
                          <w:jc w:val="center"/>
                          <w:rPr>
                            <w:rFonts w:eastAsia="Calibri"/>
                            <w:color w:val="000000"/>
                          </w:rPr>
                        </w:pPr>
                        <w:r w:rsidRPr="00866ECF">
                          <w:rPr>
                            <w:rFonts w:eastAsia="Calibri"/>
                            <w:color w:val="000000"/>
                          </w:rPr>
                          <w:t>Рівень виконання</w:t>
                        </w:r>
                      </w:p>
                      <w:p w14:paraId="1C1FF741" w14:textId="77777777" w:rsidR="009515BC" w:rsidRPr="00866ECF" w:rsidRDefault="009515BC" w:rsidP="009515BC">
                        <w:pPr>
                          <w:pStyle w:val="afd"/>
                          <w:spacing w:before="0" w:beforeAutospacing="0" w:after="0" w:afterAutospacing="0"/>
                          <w:ind w:left="-57" w:right="-57"/>
                          <w:jc w:val="center"/>
                          <w:rPr>
                            <w:rFonts w:eastAsia="Calibri"/>
                            <w:color w:val="000000"/>
                          </w:rPr>
                        </w:pPr>
                        <w:r w:rsidRPr="00866ECF">
                          <w:rPr>
                            <w:rFonts w:eastAsia="Calibri"/>
                            <w:color w:val="000000"/>
                          </w:rPr>
                          <w:t>(стратегічний і тактичний)</w:t>
                        </w:r>
                      </w:p>
                    </w:txbxContent>
                  </v:textbox>
                </v:rect>
                <v:rect id="Прямоугольник 529" o:spid="_x0000_s1215" style="position:absolute;left:560;top:67234;width:11313;height:79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">
                  <v:stroke dashstyle="dash"/>
                  <v:textbox>
                    <w:txbxContent>
                      <w:p w14:paraId="115D35D5" w14:textId="77777777" w:rsidR="009515BC" w:rsidRPr="00866ECF" w:rsidRDefault="009515BC" w:rsidP="009515BC">
                        <w:pPr>
                          <w:pStyle w:val="afd"/>
                          <w:spacing w:before="0" w:beforeAutospacing="0" w:after="0" w:afterAutospacing="0"/>
                          <w:ind w:left="-57" w:right="-57"/>
                          <w:jc w:val="center"/>
                        </w:pPr>
                        <w:r w:rsidRPr="00866ECF">
                          <w:rPr>
                            <w:rFonts w:eastAsia="Calibri"/>
                            <w:bCs/>
                            <w:iCs/>
                            <w:color w:val="000000"/>
                          </w:rPr>
                          <w:t>Рівень виконання</w:t>
                        </w:r>
                      </w:p>
                      <w:p w14:paraId="3FE6EF37" w14:textId="77777777" w:rsidR="009515BC" w:rsidRPr="00866ECF" w:rsidRDefault="009515BC" w:rsidP="009515BC">
                        <w:pPr>
                          <w:pStyle w:val="afd"/>
                          <w:spacing w:before="0" w:beforeAutospacing="0" w:after="0" w:afterAutospacing="0"/>
                          <w:ind w:left="-57" w:right="-57"/>
                          <w:jc w:val="center"/>
                        </w:pPr>
                        <w:r w:rsidRPr="00866ECF">
                          <w:rPr>
                            <w:rFonts w:eastAsia="Calibri"/>
                            <w:bCs/>
                            <w:iCs/>
                            <w:color w:val="000000"/>
                          </w:rPr>
                          <w:t>(оперативний)</w:t>
                        </w:r>
                      </w:p>
                    </w:txbxContent>
                  </v:textbox>
                </v:rect>
                <v:shape id="Прямая со стрелкой 530" o:spid="_x0000_s1216" type="#_x0000_t32" style="position:absolute;left:23571;top:46815;width:0;height:15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">
                  <v:stroke endarrow="block"/>
                </v:shape>
                <v:line id="Прямая соединительная линия 531" o:spid="_x0000_s1217" style="position:absolute;visibility:visible;mso-wrap-style:square" from="13773,28092" to="13773,419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"/>
                <v:shape id="Прямая со стрелкой 532" o:spid="_x0000_s1218" type="#_x0000_t32" style="position:absolute;left:15413;top:41392;width:9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">
                  <v:stroke endarrow="block"/>
                </v:shape>
                <v:shape id="Прямая со стрелкой 533" o:spid="_x0000_s1219" type="#_x0000_t32" style="position:absolute;left:14475;top:44341;width:40;height:1789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">
                  <v:stroke endarrow="block"/>
                </v:shape>
                <v:line id="Прямая соединительная линия 534" o:spid="_x0000_s1220" style="position:absolute;visibility:visible;mso-wrap-style:square" from="14516,44343" to="16355,44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"/>
                <v:line id="Прямая соединительная линия 535" o:spid="_x0000_s1221" style="position:absolute;flip:y;visibility:visible;mso-wrap-style:square" from="622,78939" to="58564,78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">
                  <v:stroke dashstyle="dash"/>
                </v:line>
                <v:line id="Прямая соединительная линия 536" o:spid="_x0000_s1222" style="position:absolute;visibility:visible;mso-wrap-style:square" from="560,60888" to="58561,608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">
                  <v:stroke dashstyle="dash"/>
                </v:line>
                <v:line id="Прямая соединительная линия 537" o:spid="_x0000_s1223" style="position:absolute;flip:y;visibility:visible;mso-wrap-style:square" from="0,39191" to="58658,39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">
                  <v:stroke dashstyle="dash"/>
                </v:line>
                <v:line id="Прямая соединительная линия 538" o:spid="_x0000_s1224" style="position:absolute;visibility:visible;mso-wrap-style:square" from="622,54" to="5866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">
                  <v:stroke dashstyle="dash"/>
                </v:line>
                <v:line id="Прямая соединительная линия 539" o:spid="_x0000_s1225" style="position:absolute;visibility:visible;mso-wrap-style:square" from="0,5539" to="58651,55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">
                  <v:stroke dashstyle="dash"/>
                </v:line>
                <v:shape id="Прямая со стрелкой 540" o:spid="_x0000_s1226" type="#_x0000_t32" style="position:absolute;left:26269;top:41014;width:908;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">
                  <v:stroke endarrow="block"/>
                </v:shape>
                <v:shape id="Прямая со стрелкой 541" o:spid="_x0000_s1227" type="#_x0000_t32" style="position:absolute;left:13220;top:6476;width:0;height:327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">
                  <v:stroke dashstyle="dash" startarrow="block" endarrow="block"/>
                </v:shape>
                <v:shape id="Прямая со стрелкой 542" o:spid="_x0000_s1228" type="#_x0000_t32" style="position:absolute;left:13218;top:39462;width:0;height:157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">
                  <v:stroke dashstyle="dash" startarrow="block" endarrow="block"/>
                </v:shape>
                <v:shape id="Прямая со стрелкой 543" o:spid="_x0000_s1229" type="#_x0000_t32" style="position:absolute;left:12958;top:64030;width:97;height:64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">
                  <v:stroke dashstyle="dash" startarrow="block" endarrow="block"/>
                </v:shape>
                <v:shape id="Прямая со стрелкой 544" o:spid="_x0000_s1230" type="#_x0000_t32" style="position:absolute;left:13218;top:146;width:0;height:63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">
                  <v:stroke dashstyle="dash" startarrow="block" endarrow="block"/>
                </v:shape>
                <v:line id="Прямая соединительная линия 545" o:spid="_x0000_s1231" style="position:absolute;flip:x;visibility:visible;mso-wrap-style:square" from="11874,70506" to="13055,70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">
                  <v:stroke dashstyle="dash" endarrow="diamond"/>
                </v:line>
                <v:line id="Прямая соединительная линия 546" o:spid="_x0000_s1232" style="position:absolute;flip:x;visibility:visible;mso-wrap-style:square" from="11952,47943" to="13127,47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">
                  <v:stroke dashstyle="dash" endarrow="diamond"/>
                </v:line>
                <v:line id="Прямая соединительная линия 547" o:spid="_x0000_s1233" style="position:absolute;flip:x;visibility:visible;mso-wrap-style:square" from="11884,16949" to="13059,169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">
                  <v:stroke dashstyle="dash" endarrow="diamond"/>
                </v:line>
                <v:line id="Прямая соединительная линия 548" o:spid="_x0000_s1234" style="position:absolute;flip:x;visibility:visible;mso-wrap-style:square" from="11957,2968" to="13131,2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">
                  <v:stroke dashstyle="dash" endarrow="diamond"/>
                </v:line>
                <v:rect id="Прямоугольник 549" o:spid="_x0000_s1235" style="position:absolute;left:13390;top:62235;width:44969;height:161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" fillcolor="#bfbfbf" strokeweight="1.5pt">
                  <v:fill r:id="rId92" o:title="" color2="white [3212]" type="pattern"/>
                  <v:textbox>
                    <w:txbxContent>
                      <w:p w14:paraId="1973EBB9" w14:textId="77777777" w:rsidR="009515BC" w:rsidRPr="00413386" w:rsidRDefault="009515BC" w:rsidP="009515BC">
                        <w:pPr>
                          <w:pStyle w:val="afd"/>
                          <w:spacing w:before="0" w:beforeAutospacing="0" w:after="0" w:afterAutospacing="0"/>
                          <w:jc w:val="center"/>
                        </w:pPr>
                      </w:p>
                    </w:txbxContent>
                  </v:textbox>
                </v:rect>
                <v:rect id="Прямоугольник 550" o:spid="_x0000_s1236" style="position:absolute;left:32282;top:70474;width:15775;height:71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" strokeweight="1.5pt">
                  <v:textbox>
                    <w:txbxContent>
                      <w:p w14:paraId="0F26CA6A" w14:textId="77777777" w:rsidR="009515BC" w:rsidRPr="009B10FB" w:rsidRDefault="009515BC" w:rsidP="009515BC">
                        <w:pPr>
                          <w:pStyle w:val="afd"/>
                          <w:spacing w:before="0" w:beforeAutospacing="0" w:after="0" w:afterAutospacing="0"/>
                          <w:ind w:left="-142" w:right="-218"/>
                          <w:jc w:val="center"/>
                        </w:pPr>
                        <w:r w:rsidRPr="009B10FB">
                          <w:rPr>
                            <w:rFonts w:eastAsia="Calibri"/>
                            <w:color w:val="000000"/>
                          </w:rPr>
                          <w:t>Бізнес-підрозділи, що безпосередньо приймають ризики</w:t>
                        </w:r>
                      </w:p>
                    </w:txbxContent>
                  </v:textbox>
                </v:rect>
                <v:rect id="Прямоугольник 551" o:spid="_x0000_s1237" style="position:absolute;left:48802;top:70485;width:9203;height:71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" strokeweight="1.5pt">
                  <v:textbox>
                    <w:txbxContent>
                      <w:p w14:paraId="5E2FEC71" w14:textId="77777777" w:rsidR="009515BC" w:rsidRPr="009B10FB" w:rsidRDefault="009515BC" w:rsidP="009515BC">
                        <w:pPr>
                          <w:pStyle w:val="afd"/>
                          <w:spacing w:before="0" w:beforeAutospacing="0" w:after="0" w:afterAutospacing="0"/>
                          <w:jc w:val="center"/>
                        </w:pPr>
                        <w:r w:rsidRPr="009B10FB">
                          <w:rPr>
                            <w:rFonts w:eastAsia="Calibri"/>
                            <w:color w:val="000000"/>
                          </w:rPr>
                          <w:t xml:space="preserve">Бек-та </w:t>
                        </w:r>
                        <w:proofErr w:type="spellStart"/>
                        <w:r w:rsidRPr="009B10FB">
                          <w:rPr>
                            <w:rFonts w:eastAsia="Calibri"/>
                            <w:color w:val="000000"/>
                          </w:rPr>
                          <w:t>Мідл</w:t>
                        </w:r>
                        <w:proofErr w:type="spellEnd"/>
                        <w:r w:rsidRPr="009B10FB">
                          <w:rPr>
                            <w:rFonts w:eastAsia="Calibri"/>
                            <w:color w:val="000000"/>
                          </w:rPr>
                          <w:t>-офіс</w:t>
                        </w:r>
                      </w:p>
                    </w:txbxContent>
                  </v:textbox>
                </v:rect>
                <v:rect id="Прямоугольник 555" o:spid="_x0000_s1238" style="position:absolute;left:14563;top:66295;width:43424;height:30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" strokeweight="1.5pt">
                  <v:textbox>
                    <w:txbxContent>
                      <w:p w14:paraId="6F8EA422" w14:textId="77777777" w:rsidR="009515BC" w:rsidRPr="009B10FB" w:rsidRDefault="009515BC" w:rsidP="009515BC">
                        <w:pPr>
                          <w:pStyle w:val="afd"/>
                          <w:spacing w:before="0" w:beforeAutospacing="0" w:after="0" w:afterAutospacing="0"/>
                          <w:ind w:left="-113" w:right="-113"/>
                          <w:jc w:val="center"/>
                        </w:pPr>
                        <w:r w:rsidRPr="009B10FB">
                          <w:rPr>
                            <w:rFonts w:eastAsia="Calibri"/>
                            <w:color w:val="000000"/>
                          </w:rPr>
                          <w:t xml:space="preserve">оперативне управління ліквідністю та валютною позицією </w:t>
                        </w:r>
                      </w:p>
                    </w:txbxContent>
                  </v:textbox>
                </v:rect>
                <v:rect id="Прямоугольник 556" o:spid="_x0000_s1239" style="position:absolute;left:14471;top:70479;width:16976;height:71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" strokeweight="1.5pt">
                  <v:textbox>
                    <w:txbxContent>
                      <w:p w14:paraId="4E3B9A92" w14:textId="77777777" w:rsidR="009515BC" w:rsidRPr="009B10FB" w:rsidRDefault="009515BC" w:rsidP="009515BC">
                        <w:pPr>
                          <w:pStyle w:val="afd"/>
                          <w:spacing w:before="0" w:beforeAutospacing="0" w:after="0" w:afterAutospacing="0"/>
                          <w:ind w:left="-142" w:right="-125"/>
                          <w:jc w:val="center"/>
                        </w:pPr>
                        <w:r w:rsidRPr="009B10FB">
                          <w:rPr>
                            <w:rFonts w:eastAsia="Calibri"/>
                            <w:color w:val="000000"/>
                          </w:rPr>
                          <w:t>Департамент аналізу активів, зобов’язань та інвестицій</w:t>
                        </w:r>
                      </w:p>
                    </w:txbxContent>
                  </v:textbox>
                </v:rect>
                <v:shape id="Прямая со стрелкой 558" o:spid="_x0000_s1240" type="#_x0000_t32" style="position:absolute;left:26037;top:44714;width:114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">
                  <v:stroke dashstyle="3 1" endarrow="block"/>
                </v:shape>
                <v:shape id="Прямая со стрелкой 559" o:spid="_x0000_s1241" type="#_x0000_t32" style="position:absolute;left:22616;top:46813;width:0;height:164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">
                  <v:stroke dashstyle="3 1" endarrow="block"/>
                </v:shape>
                <v:shape id="Прямая со стрелкой 560" o:spid="_x0000_s1242" type="#_x0000_t32" style="position:absolute;left:41382;top:46809;width:0;height:16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">
                  <v:stroke dashstyle="3 1" endarrow="block"/>
                </v:shape>
                <v:shape id="Прямая со стрелкой 561" o:spid="_x0000_s1243" type="#_x0000_t32" style="position:absolute;left:39885;top:46686;width:0;height:176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">
                  <v:stroke dashstyle="3 1" endarrow="block"/>
                </v:shape>
                <v:shape id="Прямая со стрелкой 562" o:spid="_x0000_s1244" type="#_x0000_t32" style="position:absolute;left:42227;top:58872;width:0;height:33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">
                  <v:stroke endarrow="block"/>
                </v:shape>
                <v:shape id="Прямая со стрелкой 563" o:spid="_x0000_s1245" type="#_x0000_t32" style="position:absolute;left:45204;top:58876;width:0;height:630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">
                  <v:stroke dashstyle="3 1" endarrow="block"/>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64" o:spid="_x0000_s1246" type="#_x0000_t67" style="position:absolute;left:21453;top:69457;width:4959;height:845;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" adj="10800">
                  <v:stroke dashstyle="1 1"/>
                  <v:textbox>
                    <w:txbxContent>
                      <w:p w14:paraId="5FA5B45F" w14:textId="77777777" w:rsidR="009515BC" w:rsidRPr="00413386" w:rsidRDefault="009515BC" w:rsidP="009515BC">
                        <w:pPr>
                          <w:spacing w:after="0" w:line="240" w:lineRule="auto"/>
                          <w:rPr>
                            <w:rFonts w:ascii="Times New Roman" w:hAnsi="Times New Roman" w:cs="Times New Roman"/>
                            <w:lang w:val="uk-UA"/>
                          </w:rPr>
                        </w:pPr>
                      </w:p>
                    </w:txbxContent>
                  </v:textbox>
                </v:shape>
                <v:shape id="Стрелка вниз 565" o:spid="_x0000_s1247" type="#_x0000_t67" style="position:absolute;left:39670;top:69464;width:4953;height:838;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" adj="10800">
                  <v:stroke dashstyle="1 1"/>
                  <v:textbox>
                    <w:txbxContent>
                      <w:p w14:paraId="7305787A" w14:textId="77777777" w:rsidR="009515BC" w:rsidRPr="00413386" w:rsidRDefault="009515BC" w:rsidP="009515BC">
                        <w:pPr>
                          <w:pStyle w:val="afd"/>
                          <w:spacing w:before="0" w:beforeAutospacing="0" w:after="0" w:afterAutospacing="0"/>
                        </w:pPr>
                        <w:r w:rsidRPr="00413386">
                          <w:rPr>
                            <w:sz w:val="22"/>
                            <w:szCs w:val="22"/>
                          </w:rPr>
                          <w:t> </w:t>
                        </w:r>
                      </w:p>
                    </w:txbxContent>
                  </v:textbox>
                </v:shape>
                <v:shape id="Стрелка вниз 566" o:spid="_x0000_s1248" type="#_x0000_t67" style="position:absolute;left:51612;top:69360;width:4947;height:83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" adj="10800">
                  <v:stroke dashstyle="1 1"/>
                  <v:textbox>
                    <w:txbxContent>
                      <w:p w14:paraId="33EBC39A" w14:textId="77777777" w:rsidR="009515BC" w:rsidRPr="00413386" w:rsidRDefault="009515BC" w:rsidP="009515BC">
                        <w:pPr>
                          <w:pStyle w:val="afd"/>
                          <w:spacing w:before="0" w:beforeAutospacing="0" w:after="0" w:afterAutospacing="0"/>
                        </w:pPr>
                        <w:r w:rsidRPr="00413386">
                          <w:rPr>
                            <w:sz w:val="22"/>
                            <w:szCs w:val="22"/>
                          </w:rPr>
                          <w:t> </w:t>
                        </w:r>
                      </w:p>
                    </w:txbxContent>
                  </v:textbox>
                </v:shape>
                <v:rect id="Прямоугольник 567" o:spid="_x0000_s1249" style="position:absolute;left:13392;top:62240;width:45198;height:32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" strokeweight="1.5pt">
                  <v:textbox>
                    <w:txbxContent>
                      <w:p w14:paraId="76BBB858" w14:textId="258F306A" w:rsidR="009515BC" w:rsidRPr="00413386" w:rsidRDefault="000F508F" w:rsidP="009515BC">
                        <w:pPr>
                          <w:pStyle w:val="afd"/>
                          <w:spacing w:before="0" w:beforeAutospacing="0" w:after="0" w:afterAutospacing="0"/>
                          <w:jc w:val="center"/>
                        </w:pPr>
                        <w:r>
                          <w:rPr>
                            <w:rFonts w:eastAsia="Calibri"/>
                            <w:color w:val="000000"/>
                          </w:rPr>
                          <w:t>Департамент ринків капіталу</w:t>
                        </w:r>
                      </w:p>
                    </w:txbxContent>
                  </v:textbox>
                </v:rect>
                <v:rect id="Прямоугольник 568" o:spid="_x0000_s1250" style="position:absolute;left:14750;top:7557;width:25066;height:32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" strokeweight="1.5pt">
                  <v:stroke dashstyle="3 1"/>
                  <v:textbox>
                    <w:txbxContent>
                      <w:p w14:paraId="1A9BFA29" w14:textId="77777777" w:rsidR="009515BC" w:rsidRPr="00351CF9" w:rsidRDefault="009515BC" w:rsidP="009515BC">
                        <w:pPr>
                          <w:pStyle w:val="afd"/>
                          <w:spacing w:before="0" w:beforeAutospacing="0" w:after="0" w:afterAutospacing="0"/>
                          <w:jc w:val="center"/>
                        </w:pPr>
                        <w:r w:rsidRPr="00351CF9">
                          <w:rPr>
                            <w:rFonts w:eastAsia="Calibri"/>
                            <w:color w:val="000000"/>
                          </w:rPr>
                          <w:t>Наглядова рада</w:t>
                        </w:r>
                      </w:p>
                    </w:txbxContent>
                  </v:textbox>
                </v:rect>
                <v:shape id="Прямая со стрелкой 569" o:spid="_x0000_s1251" type="#_x0000_t32" style="position:absolute;left:13758;top:11411;width:6;height:1718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">
                  <v:stroke dashstyle="3 1" endarrow="block"/>
                </v:shape>
                <v:line id="Прямая соединительная линия 570" o:spid="_x0000_s1252" style="position:absolute;visibility:visible;mso-wrap-style:square" from="13872,42023" to="15409,42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">
                  <v:stroke dashstyle="3 1"/>
                </v:line>
                <v:shape id="Прямая со стрелкой 571" o:spid="_x0000_s1253" type="#_x0000_t32" style="position:absolute;left:34098;top:58859;width:0;height:33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">
                  <v:stroke endarrow="block"/>
                </v:shape>
                <v:shape id="Прямая со стрелкой 572" o:spid="_x0000_s1254" type="#_x0000_t32" style="position:absolute;left:35991;top:58883;width:83;height:326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">
                  <v:stroke dashstyle="3 1" endarrow="block"/>
                </v:shape>
                <v:rect id="Прямоугольник 573" o:spid="_x0000_s1255" style="position:absolute;left:27174;top:42321;width:30313;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">
                  <v:textbox>
                    <w:txbxContent>
                      <w:p w14:paraId="6CD8C9D6" w14:textId="77777777" w:rsidR="009515BC" w:rsidRPr="00EA71F9" w:rsidRDefault="009515BC" w:rsidP="009515BC">
                        <w:pPr>
                          <w:pStyle w:val="afd"/>
                          <w:spacing w:before="0" w:beforeAutospacing="0" w:after="0" w:afterAutospacing="0"/>
                          <w:ind w:left="-113" w:right="-170"/>
                          <w:jc w:val="center"/>
                        </w:pPr>
                        <w:r w:rsidRPr="00EA71F9">
                          <w:rPr>
                            <w:rFonts w:eastAsia="Calibri"/>
                            <w:color w:val="000000"/>
                          </w:rPr>
                          <w:t>Кредитний комітет</w:t>
                        </w:r>
                      </w:p>
                    </w:txbxContent>
                  </v:textbox>
                </v:rect>
                <v:shape id="Стрелка вниз 574" o:spid="_x0000_s1256" type="#_x0000_t67" style="position:absolute;left:34191;top:65461;width:4962;height:8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" adj="10800">
                  <v:stroke dashstyle="1 1"/>
                </v:shape>
                <v:rect id="Прямоугольник 575" o:spid="_x0000_s1257" style="position:absolute;left:43340;top:14939;width:14086;height:39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" strokeweight="1.5pt">
                  <v:textbox>
                    <w:txbxContent>
                      <w:p w14:paraId="53C419DE" w14:textId="77777777" w:rsidR="009515BC" w:rsidRPr="00351CF9" w:rsidRDefault="009515BC" w:rsidP="009515BC">
                        <w:pPr>
                          <w:pStyle w:val="afd"/>
                          <w:spacing w:before="0" w:beforeAutospacing="0" w:after="0" w:afterAutospacing="0"/>
                          <w:ind w:left="-113" w:right="-170"/>
                          <w:jc w:val="both"/>
                        </w:pPr>
                        <w:r w:rsidRPr="00351CF9">
                          <w:rPr>
                            <w:rFonts w:eastAsia="Calibri"/>
                            <w:color w:val="000000"/>
                          </w:rPr>
                          <w:t>з питань ризиків</w:t>
                        </w:r>
                      </w:p>
                    </w:txbxContent>
                  </v:textbox>
                </v:rect>
                <v:line id="Прямая соединительная линия 66" o:spid="_x0000_s1258" style="position:absolute;visibility:visible;mso-wrap-style:square" from="0,10975" to="58690,10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">
                  <v:stroke dashstyle="dash"/>
                </v:line>
                <v:rect id="Прямоугольник 67" o:spid="_x0000_s1259" style="position:absolute;left:43417;top:22565;width:14083;height:3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" strokeweight="1.5pt">
                  <v:textbox>
                    <w:txbxContent>
                      <w:p w14:paraId="25212EB2" w14:textId="77777777" w:rsidR="009515BC" w:rsidRPr="00351CF9" w:rsidRDefault="009515BC" w:rsidP="009515BC">
                        <w:pPr>
                          <w:pStyle w:val="afd"/>
                          <w:spacing w:before="0" w:beforeAutospacing="0" w:after="0" w:afterAutospacing="0"/>
                          <w:ind w:left="-113" w:right="-170"/>
                          <w:jc w:val="both"/>
                        </w:pPr>
                        <w:r w:rsidRPr="00351CF9">
                          <w:rPr>
                            <w:rFonts w:eastAsia="Calibri"/>
                            <w:color w:val="000000"/>
                          </w:rPr>
                          <w:t xml:space="preserve">з питань аудиту </w:t>
                        </w:r>
                      </w:p>
                    </w:txbxContent>
                  </v:textbox>
                </v:rect>
                <v:rect id="Прямоугольник 70" o:spid="_x0000_s1260" style="position:absolute;left:622;top:29381;width:11251;height:85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">
                  <v:stroke dashstyle="dash"/>
                  <v:textbox>
                    <w:txbxContent>
                      <w:p w14:paraId="05091C5D" w14:textId="77777777" w:rsidR="009515BC" w:rsidRPr="00351CF9" w:rsidRDefault="009515BC" w:rsidP="009515BC">
                        <w:pPr>
                          <w:pStyle w:val="afd"/>
                          <w:spacing w:before="0" w:beforeAutospacing="0" w:after="0" w:afterAutospacing="0"/>
                          <w:ind w:left="-142" w:right="-143"/>
                          <w:jc w:val="center"/>
                          <w:rPr>
                            <w:rFonts w:eastAsia="Calibri"/>
                            <w:color w:val="000000"/>
                          </w:rPr>
                        </w:pPr>
                        <w:r w:rsidRPr="00351CF9">
                          <w:rPr>
                            <w:rFonts w:eastAsia="Calibri"/>
                            <w:color w:val="000000"/>
                          </w:rPr>
                          <w:t xml:space="preserve">Рівень </w:t>
                        </w:r>
                      </w:p>
                      <w:p w14:paraId="4991CA04" w14:textId="77777777" w:rsidR="009515BC" w:rsidRPr="00351CF9" w:rsidRDefault="009515BC" w:rsidP="009515BC">
                        <w:pPr>
                          <w:pStyle w:val="afd"/>
                          <w:spacing w:before="0" w:beforeAutospacing="0" w:after="0" w:afterAutospacing="0"/>
                          <w:ind w:left="-142" w:right="-143"/>
                          <w:jc w:val="center"/>
                        </w:pPr>
                        <w:r>
                          <w:rPr>
                            <w:rFonts w:eastAsia="Calibri"/>
                            <w:color w:val="000000"/>
                          </w:rPr>
                          <w:t>стратегічного контролю</w:t>
                        </w:r>
                      </w:p>
                    </w:txbxContent>
                  </v:textbox>
                </v:rect>
                <v:line id="Прямая соединительная линия 71" o:spid="_x0000_s1261" style="position:absolute;flip:x;visibility:visible;mso-wrap-style:square" from="11884,33932" to="13059,33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">
                  <v:stroke dashstyle="dash" endarrow="diamond"/>
                </v:line>
                <v:roundrect id="Скругленный прямоугольник 75" o:spid="_x0000_s1262" style="position:absolute;left:15413;top:27989;width:42059;height:10632;visibility:visible;mso-wrap-style:square;v-text-anchor:middle" arcsize="68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"/>
                <v:rect id="Прямоугольник 78" o:spid="_x0000_s1263" style="position:absolute;left:34669;top:33886;width:21888;height:4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" strokeweight="1.5pt">
                  <v:textbox>
                    <w:txbxContent>
                      <w:p w14:paraId="78FFD810" w14:textId="77777777" w:rsidR="009515BC" w:rsidRPr="00AA757D" w:rsidRDefault="009515BC" w:rsidP="009515BC">
                        <w:pPr>
                          <w:pStyle w:val="19"/>
                          <w:spacing w:before="0" w:beforeAutospacing="0" w:after="0" w:afterAutospacing="0"/>
                          <w:jc w:val="center"/>
                        </w:pPr>
                        <w:r>
                          <w:rPr>
                            <w:rFonts w:eastAsia="Calibri"/>
                            <w:color w:val="000000"/>
                          </w:rPr>
                          <w:t xml:space="preserve">Служба корпоративного </w:t>
                        </w:r>
                        <w:r w:rsidRPr="00AA757D">
                          <w:rPr>
                            <w:color w:val="000000"/>
                            <w:lang w:val="uk-UA"/>
                          </w:rPr>
                          <w:t>Якість менеджменту банку</w:t>
                        </w:r>
                      </w:p>
                    </w:txbxContent>
                  </v:textbox>
                </v:rect>
                <v:rect id="Прямоугольник 85" o:spid="_x0000_s1264" style="position:absolute;left:16366;top:29380;width:17788;height:3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" strokeweight="1.5pt">
                  <v:textbox>
                    <w:txbxContent>
                      <w:p w14:paraId="0A10CB23" w14:textId="77777777" w:rsidR="009515BC" w:rsidRPr="00806EDC" w:rsidRDefault="009515BC" w:rsidP="009515BC">
                        <w:pPr>
                          <w:pStyle w:val="afd"/>
                          <w:spacing w:before="0" w:beforeAutospacing="0" w:after="0" w:afterAutospacing="0"/>
                          <w:ind w:left="-113" w:right="-170"/>
                          <w:jc w:val="center"/>
                        </w:pPr>
                        <w:r>
                          <w:rPr>
                            <w:rFonts w:eastAsia="Calibri"/>
                            <w:color w:val="000000"/>
                            <w:lang w:val="ru-RU"/>
                          </w:rPr>
                          <w:t xml:space="preserve">Напрямок </w:t>
                        </w:r>
                        <w:r>
                          <w:rPr>
                            <w:rFonts w:eastAsia="Calibri"/>
                            <w:color w:val="000000"/>
                          </w:rPr>
                          <w:t>«</w:t>
                        </w:r>
                        <w:r>
                          <w:rPr>
                            <w:rFonts w:eastAsia="Calibri"/>
                            <w:color w:val="000000"/>
                            <w:lang w:val="en-US"/>
                          </w:rPr>
                          <w:t>Compliance</w:t>
                        </w:r>
                        <w:r>
                          <w:rPr>
                            <w:rFonts w:eastAsia="Calibri"/>
                            <w:color w:val="000000"/>
                          </w:rPr>
                          <w:t>»</w:t>
                        </w:r>
                      </w:p>
                    </w:txbxContent>
                  </v:textbox>
                </v:rect>
                <v:rect id="Прямоугольник 87" o:spid="_x0000_s1265" style="position:absolute;left:16364;top:33888;width:17788;height:40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" strokeweight="1.5pt">
                  <v:textbox>
                    <w:txbxContent>
                      <w:p w14:paraId="414DB1CA" w14:textId="77777777" w:rsidR="009515BC" w:rsidRPr="00806EDC" w:rsidRDefault="009515BC" w:rsidP="009515BC">
                        <w:pPr>
                          <w:pStyle w:val="afd"/>
                          <w:spacing w:before="0" w:beforeAutospacing="0" w:after="0" w:afterAutospacing="0" w:line="216" w:lineRule="auto"/>
                          <w:ind w:left="-113" w:right="-170"/>
                          <w:jc w:val="center"/>
                        </w:pPr>
                        <w:r>
                          <w:rPr>
                            <w:rFonts w:eastAsia="Calibri"/>
                            <w:color w:val="000000"/>
                            <w:lang w:val="ru-RU"/>
                          </w:rPr>
                          <w:t xml:space="preserve">Напрямок </w:t>
                        </w:r>
                        <w:r>
                          <w:rPr>
                            <w:rFonts w:eastAsia="Calibri"/>
                            <w:color w:val="000000"/>
                          </w:rPr>
                          <w:t>фінансового моніторингу</w:t>
                        </w:r>
                      </w:p>
                    </w:txbxContent>
                  </v:textbox>
                </v:rect>
                <v:rect id="Прямоугольник 90" o:spid="_x0000_s1266" style="position:absolute;left:35180;top:29379;width:21382;height:3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" strokeweight="1.5pt">
                  <v:textbox>
                    <w:txbxContent>
                      <w:p w14:paraId="5CAA7570" w14:textId="77777777" w:rsidR="009515BC" w:rsidRPr="00806EDC" w:rsidRDefault="009515BC" w:rsidP="009515BC">
                        <w:pPr>
                          <w:pStyle w:val="afd"/>
                          <w:spacing w:before="0" w:beforeAutospacing="0" w:after="0" w:afterAutospacing="0"/>
                          <w:ind w:left="-113" w:right="-170"/>
                          <w:jc w:val="center"/>
                        </w:pPr>
                        <w:r>
                          <w:rPr>
                            <w:rFonts w:eastAsia="Calibri"/>
                            <w:color w:val="000000"/>
                            <w:lang w:val="ru-RU"/>
                          </w:rPr>
                          <w:t xml:space="preserve">Напрямок </w:t>
                        </w:r>
                        <w:r>
                          <w:rPr>
                            <w:rFonts w:eastAsia="Calibri"/>
                            <w:color w:val="000000"/>
                          </w:rPr>
                          <w:t>«Внутрішній аудит»</w:t>
                        </w:r>
                      </w:p>
                    </w:txbxContent>
                  </v:textbox>
                </v:rect>
                <v:shape id="Прямая со стрелкой 91" o:spid="_x0000_s1267" type="#_x0000_t32" style="position:absolute;left:50457;top:25939;width:108;height:35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" strokecolor="black [3200]" strokeweight=".5pt">
                  <v:stroke startarrow="open" endarrow="open" joinstyle="miter"/>
                </v:shape>
                <v:rect id="Прямоугольник 92" o:spid="_x0000_s1268" style="position:absolute;left:27172;top:45021;width:30315;height:3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">
                  <v:textbox>
                    <w:txbxContent>
                      <w:p w14:paraId="1268287A" w14:textId="77777777" w:rsidR="009515BC" w:rsidRPr="00EA71F9" w:rsidRDefault="009515BC" w:rsidP="009515BC">
                        <w:pPr>
                          <w:pStyle w:val="afd"/>
                          <w:spacing w:before="0" w:beforeAutospacing="0" w:after="0" w:afterAutospacing="0"/>
                          <w:ind w:left="-113" w:right="-170"/>
                          <w:jc w:val="center"/>
                        </w:pPr>
                        <w:r>
                          <w:rPr>
                            <w:rFonts w:eastAsia="Calibri"/>
                            <w:color w:val="000000"/>
                          </w:rPr>
                          <w:t>Тендерний</w:t>
                        </w:r>
                        <w:r w:rsidRPr="00EA71F9">
                          <w:rPr>
                            <w:rFonts w:eastAsia="Calibri"/>
                            <w:color w:val="000000"/>
                          </w:rPr>
                          <w:t xml:space="preserve"> комітет</w:t>
                        </w:r>
                      </w:p>
                    </w:txbxContent>
                  </v:textbox>
                </v:rect>
                <w10:wrap anchory="line"/>
              </v:group>
            </w:pict>
          </mc:Fallback>
        </mc:AlternateContent>
      </w:r>
      <w:r w:rsidRPr="00F00EB0">
        <w:rPr>
          <w:rFonts w:ascii="Times New Roman" w:hAnsi="Times New Roman" w:cs="Times New Roman"/>
          <w:noProof/>
          <w:color w:val="000000" w:themeColor="text1"/>
          <w:lang w:eastAsia="ru-RU"/>
        </w:rPr>
        <mc:AlternateContent>
          <mc:Choice Requires="wps">
            <w:drawing>
              <wp:inline distT="0" distB="0" distL="0" distR="0" wp14:anchorId="0EA41205" wp14:editId="4753FEA4">
                <wp:extent cx="6226810" cy="8001000"/>
                <wp:effectExtent l="0" t="0" r="0" b="0"/>
                <wp:docPr id="1584667117" name="AutoShap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226810" cy="800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A57515A" id="AutoShape 4" o:spid="_x0000_s1026" style="width:490.3pt;height:63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" filled="f" stroked="f">
                <o:lock v:ext="edit" aspectratio="t"/>
                <w10:anchorlock/>
              </v:rect>
            </w:pict>
          </mc:Fallback>
        </mc:AlternateContent>
      </w:r>
      <w:r w:rsidRPr="00F00EB0">
        <w:rPr>
          <w:rFonts w:ascii="Times New Roman" w:hAnsi="Times New Roman" w:cs="Times New Roman"/>
          <w:noProof/>
          <w:color w:val="000000" w:themeColor="text1"/>
          <w:lang w:val="uk-UA" w:eastAsia="uk-UA"/>
        </w:rPr>
        <w:t xml:space="preserve"> </w:t>
      </w:r>
    </w:p>
    <w:p w14:paraId="71CEC007" w14:textId="77777777" w:rsidR="009515BC" w:rsidRPr="00F00EB0" w:rsidRDefault="009515BC" w:rsidP="009515BC">
      <w:pPr>
        <w:spacing w:after="0" w:line="360" w:lineRule="auto"/>
        <w:jc w:val="center"/>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 xml:space="preserve">Рисунок 2.11 – </w:t>
      </w:r>
      <w:r w:rsidRPr="00F00EB0">
        <w:rPr>
          <w:rFonts w:ascii="Times New Roman" w:hAnsi="Times New Roman" w:cs="Times New Roman"/>
          <w:color w:val="000000" w:themeColor="text1"/>
          <w:sz w:val="28"/>
          <w:szCs w:val="28"/>
          <w:lang w:val="uk-UA"/>
        </w:rPr>
        <w:t xml:space="preserve">Суб’єктна складова механізму забезпечення ФСБ </w:t>
      </w:r>
      <w:r w:rsidRPr="00F00EB0">
        <w:rPr>
          <w:rFonts w:ascii="Times New Roman" w:eastAsia="WenQuanYi Micro Hei" w:hAnsi="Times New Roman" w:cs="Times New Roman"/>
          <w:bCs/>
          <w:color w:val="000000" w:themeColor="text1"/>
          <w:kern w:val="3"/>
          <w:sz w:val="28"/>
          <w:szCs w:val="28"/>
          <w:lang w:val="uk-UA" w:eastAsia="zh-CN" w:bidi="hi-IN"/>
        </w:rPr>
        <w:t>АТ КБ «ПриватБанк»</w:t>
      </w:r>
      <w:r w:rsidRPr="00F00EB0">
        <w:rPr>
          <w:rFonts w:ascii="Times New Roman" w:eastAsia="Times New Roman" w:hAnsi="Times New Roman" w:cs="Times New Roman"/>
          <w:color w:val="000000" w:themeColor="text1"/>
          <w:sz w:val="28"/>
          <w:szCs w:val="28"/>
          <w:lang w:val="uk-UA"/>
        </w:rPr>
        <w:t xml:space="preserve"> [складено автором на основі 59]</w:t>
      </w:r>
    </w:p>
    <w:p w14:paraId="23A9B67E" w14:textId="77777777" w:rsidR="009515BC" w:rsidRPr="00F00EB0" w:rsidRDefault="009515BC" w:rsidP="009515BC">
      <w:pPr>
        <w:widowControl w:val="0"/>
        <w:tabs>
          <w:tab w:val="left" w:pos="993"/>
        </w:tabs>
        <w:autoSpaceDE w:val="0"/>
        <w:autoSpaceDN w:val="0"/>
        <w:adjustRightInd w:val="0"/>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40CAD39E" w14:textId="77777777" w:rsidR="009515BC" w:rsidRPr="00F00EB0" w:rsidRDefault="009515BC" w:rsidP="009515BC">
      <w:pPr>
        <w:widowControl w:val="0"/>
        <w:tabs>
          <w:tab w:val="left" w:pos="993"/>
        </w:tabs>
        <w:autoSpaceDE w:val="0"/>
        <w:autoSpaceDN w:val="0"/>
        <w:adjustRightInd w:val="0"/>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Об’єктна складова механізму забезпечення ФСБ має складну структуру:</w:t>
      </w:r>
    </w:p>
    <w:p w14:paraId="4025380E" w14:textId="77777777" w:rsidR="009515BC" w:rsidRPr="00F00EB0" w:rsidRDefault="009515BC" w:rsidP="009515BC">
      <w:pPr>
        <w:widowControl w:val="0"/>
        <w:numPr>
          <w:ilvl w:val="0"/>
          <w:numId w:val="13"/>
        </w:numPr>
        <w:tabs>
          <w:tab w:val="left" w:pos="993"/>
          <w:tab w:val="left" w:pos="1134"/>
        </w:tabs>
        <w:autoSpaceDE w:val="0"/>
        <w:autoSpaceDN w:val="0"/>
        <w:adjustRightInd w:val="0"/>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szCs w:val="28"/>
          <w:lang w:val="uk-UA"/>
        </w:rPr>
        <w:lastRenderedPageBreak/>
        <w:t>об’єкти централізованого управління – «готівкові кошти, кореспондентські рахунки, основні засоби, валютна позиція, інструменти акціонера (капітал, ОВДП, надані для збільшення статутного капіталу), а також інші активи та зобов’язання поза межами впливу бізнес-підрозділів»;</w:t>
      </w:r>
    </w:p>
    <w:p w14:paraId="6EE43AE3" w14:textId="77777777" w:rsidR="009515BC" w:rsidRPr="00F00EB0" w:rsidRDefault="009515BC" w:rsidP="009515BC">
      <w:pPr>
        <w:widowControl w:val="0"/>
        <w:numPr>
          <w:ilvl w:val="0"/>
          <w:numId w:val="13"/>
        </w:numPr>
        <w:tabs>
          <w:tab w:val="left" w:pos="993"/>
          <w:tab w:val="left" w:pos="1134"/>
        </w:tabs>
        <w:autoSpaceDE w:val="0"/>
        <w:autoSpaceDN w:val="0"/>
        <w:adjustRightInd w:val="0"/>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rPr>
        <w:t>об’єкти децентралізованого управління – «роздрібна діяльність; діяльність з</w:t>
      </w:r>
      <w:r w:rsidRPr="00F00EB0">
        <w:rPr>
          <w:rFonts w:ascii="Times New Roman" w:eastAsia="Times New Roman" w:hAnsi="Times New Roman" w:cs="Times New Roman"/>
          <w:color w:val="000000" w:themeColor="text1"/>
          <w:sz w:val="28"/>
          <w:szCs w:val="28"/>
          <w:lang w:val="uk-UA" w:eastAsia="ru-RU"/>
        </w:rPr>
        <w:t xml:space="preserve"> обслуговування бізнес-клієнтів; активи та зобов’язання, що управляються як окремий портфель (операції, пов’язані з колишніми власниками банку та визнані як проблемні); діяльність на ринках капіталу (торговельні операції з фінансовими інструментами, міжбанківські кредити, депозити, операції з обміну іноземних валют), що управляються на рівні бізнес-підрозділів».</w:t>
      </w:r>
    </w:p>
    <w:p w14:paraId="44B41372" w14:textId="77777777" w:rsidR="009515BC" w:rsidRPr="00F00EB0" w:rsidRDefault="009515BC" w:rsidP="009515BC">
      <w:pPr>
        <w:widowControl w:val="0"/>
        <w:tabs>
          <w:tab w:val="left" w:pos="993"/>
        </w:tabs>
        <w:autoSpaceDE w:val="0"/>
        <w:autoSpaceDN w:val="0"/>
        <w:adjustRightInd w:val="0"/>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 xml:space="preserve">Цільові таргети банку визначаються двома ключовими факторами – функціонуванням в умовах воєнного стану та належністю до державного сектора, через який мають виконуватись важливі державні функції. Відповідно до цього «…цільові пріоритети полягають в активній участі у забезпеченні фінансової стабільності України, підтримці та стабільності функціонування банківського сектору, забезпеченні фінансування пріоритетних галузей економіки та безперебійного функціонування підприємств (об’єктів) критичної інфраструктури, у тому числі таких, що знаходяться у державній власності» </w:t>
      </w:r>
      <w:r w:rsidRPr="00F00EB0">
        <w:rPr>
          <w:rFonts w:ascii="Times New Roman" w:eastAsia="Calibri" w:hAnsi="Times New Roman" w:cs="Times New Roman"/>
          <w:color w:val="000000" w:themeColor="text1"/>
          <w:sz w:val="28"/>
          <w:szCs w:val="28"/>
          <w:lang w:val="uk-UA"/>
        </w:rPr>
        <w:t>[32]</w:t>
      </w:r>
      <w:r w:rsidRPr="00F00EB0">
        <w:rPr>
          <w:rFonts w:ascii="Times New Roman" w:eastAsia="Times New Roman" w:hAnsi="Times New Roman" w:cs="Times New Roman"/>
          <w:color w:val="000000" w:themeColor="text1"/>
          <w:sz w:val="28"/>
          <w:szCs w:val="28"/>
          <w:lang w:val="uk-UA" w:eastAsia="ru-RU"/>
        </w:rPr>
        <w:t xml:space="preserve">. </w:t>
      </w:r>
    </w:p>
    <w:p w14:paraId="4B5AD55B" w14:textId="77777777" w:rsidR="009515BC" w:rsidRPr="00F00EB0" w:rsidRDefault="009515BC" w:rsidP="009515BC">
      <w:pPr>
        <w:widowControl w:val="0"/>
        <w:tabs>
          <w:tab w:val="left" w:pos="993"/>
        </w:tabs>
        <w:autoSpaceDE w:val="0"/>
        <w:autoSpaceDN w:val="0"/>
        <w:adjustRightInd w:val="0"/>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 xml:space="preserve">Відповідно до «Основних (стратегічних) напрямів діяльності банків державного сектору на період дії воєнного стану та післявоєнного відновлення економіки (схвалені розпорядженням Кабінету Міністрів України 07.05.2022) у період дії воєнного стану та післявоєнного відновлення економіки державні банки повинні забезпечити збереження ФСБ, виявлення можливих загроз ФСБ, а також оперативне реагування на загрози ФСБ та/або їх уникнення» </w:t>
      </w:r>
      <w:r w:rsidRPr="00F00EB0">
        <w:rPr>
          <w:rFonts w:ascii="Times New Roman" w:eastAsia="Calibri" w:hAnsi="Times New Roman" w:cs="Times New Roman"/>
          <w:color w:val="000000" w:themeColor="text1"/>
          <w:sz w:val="28"/>
          <w:szCs w:val="28"/>
          <w:lang w:val="uk-UA"/>
        </w:rPr>
        <w:t>[32]</w:t>
      </w:r>
      <w:r w:rsidRPr="00F00EB0">
        <w:rPr>
          <w:rFonts w:ascii="Times New Roman" w:eastAsia="Times New Roman" w:hAnsi="Times New Roman" w:cs="Times New Roman"/>
          <w:color w:val="000000" w:themeColor="text1"/>
          <w:sz w:val="28"/>
          <w:szCs w:val="28"/>
          <w:lang w:val="uk-UA" w:eastAsia="ru-RU"/>
        </w:rPr>
        <w:t>.</w:t>
      </w:r>
    </w:p>
    <w:p w14:paraId="76B7CED6" w14:textId="77777777" w:rsidR="009515BC" w:rsidRPr="00F00EB0" w:rsidRDefault="009515BC" w:rsidP="009515BC">
      <w:pPr>
        <w:widowControl w:val="0"/>
        <w:tabs>
          <w:tab w:val="left" w:pos="993"/>
        </w:tabs>
        <w:autoSpaceDE w:val="0"/>
        <w:autoSpaceDN w:val="0"/>
        <w:adjustRightInd w:val="0"/>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 xml:space="preserve">Для досягнення стратегічних цілей діяльності АТ КБ «ПриватБанк» має комплексну систему планування, що включає «…стратегії, основні плани дій, стратегії та політики управління ризиками, річний бюджет, бізнес-плани та здійснює контроль за їх реалізацією» [32]. </w:t>
      </w:r>
    </w:p>
    <w:p w14:paraId="0486CC3A" w14:textId="77777777" w:rsidR="009515BC" w:rsidRPr="00F00EB0" w:rsidRDefault="009515BC" w:rsidP="009515BC">
      <w:pPr>
        <w:widowControl w:val="0"/>
        <w:tabs>
          <w:tab w:val="left" w:pos="993"/>
        </w:tabs>
        <w:autoSpaceDE w:val="0"/>
        <w:autoSpaceDN w:val="0"/>
        <w:adjustRightInd w:val="0"/>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 xml:space="preserve">Для управління ліквідністю розроблений «План фінансування в кризових ситуаціях при виникненні кризи ліквідності, який містить перелік можливих </w:t>
      </w:r>
      <w:r w:rsidRPr="00F00EB0">
        <w:rPr>
          <w:rFonts w:ascii="Times New Roman" w:eastAsia="Times New Roman" w:hAnsi="Times New Roman" w:cs="Times New Roman"/>
          <w:color w:val="000000" w:themeColor="text1"/>
          <w:sz w:val="28"/>
          <w:szCs w:val="28"/>
          <w:lang w:val="uk-UA" w:eastAsia="ru-RU"/>
        </w:rPr>
        <w:lastRenderedPageBreak/>
        <w:t>причин, що призводять до кризи, ознаки кризи, а також перелік заходів з локалізації та ліквідації кризових явищ. Планом закріплені відповідальні за визначені заходи служби та порядок їх взаємодії» [32].</w:t>
      </w:r>
    </w:p>
    <w:p w14:paraId="42557083" w14:textId="77777777" w:rsidR="009515BC" w:rsidRPr="00F00EB0" w:rsidRDefault="009515BC" w:rsidP="009515BC">
      <w:pPr>
        <w:widowControl w:val="0"/>
        <w:tabs>
          <w:tab w:val="left" w:pos="993"/>
        </w:tabs>
        <w:autoSpaceDE w:val="0"/>
        <w:autoSpaceDN w:val="0"/>
        <w:adjustRightInd w:val="0"/>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 xml:space="preserve">Організація контролю в АТ КБ «ПриватБанк» представлена в додатку Ж (рис. Ж.1). Основу контрольної функції в механізмі забезпечення ФСБ формує внутрішній аудит, що має забезпечити «незалежну оцінку ефективності діяльності першої та другої ліній захисту від ризиків та загальну оцінку ефективності системи внутрішнього контролю в банку» </w:t>
      </w:r>
      <w:r w:rsidRPr="00F00EB0">
        <w:rPr>
          <w:rFonts w:ascii="Times New Roman" w:eastAsia="Calibri" w:hAnsi="Times New Roman" w:cs="Times New Roman"/>
          <w:color w:val="000000" w:themeColor="text1"/>
          <w:sz w:val="28"/>
          <w:szCs w:val="28"/>
          <w:lang w:val="uk-UA"/>
        </w:rPr>
        <w:t>[32].</w:t>
      </w:r>
    </w:p>
    <w:p w14:paraId="62CA2835" w14:textId="77777777" w:rsidR="009515BC" w:rsidRPr="00F00EB0" w:rsidRDefault="009515BC" w:rsidP="009515BC">
      <w:pPr>
        <w:widowControl w:val="0"/>
        <w:tabs>
          <w:tab w:val="left" w:pos="993"/>
        </w:tabs>
        <w:autoSpaceDE w:val="0"/>
        <w:autoSpaceDN w:val="0"/>
        <w:adjustRightInd w:val="0"/>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 xml:space="preserve">Функціональна складова механізму забезпечення ФСБ передбачає використання інструментів аналізу, систематизованих у додатку Ж (рис. Ж.2).  </w:t>
      </w:r>
    </w:p>
    <w:p w14:paraId="00755233" w14:textId="77777777" w:rsidR="009515BC" w:rsidRPr="00F00EB0" w:rsidRDefault="009515BC" w:rsidP="009515BC">
      <w:pPr>
        <w:widowControl w:val="0"/>
        <w:tabs>
          <w:tab w:val="left" w:pos="993"/>
        </w:tabs>
        <w:autoSpaceDE w:val="0"/>
        <w:autoSpaceDN w:val="0"/>
        <w:adjustRightInd w:val="0"/>
        <w:spacing w:after="0" w:line="360" w:lineRule="auto"/>
        <w:ind w:firstLine="708"/>
        <w:jc w:val="both"/>
        <w:rPr>
          <w:rFonts w:ascii="Times New Roman" w:eastAsia="Times New Roman" w:hAnsi="Times New Roman" w:cs="Times New Roman"/>
          <w:color w:val="000000" w:themeColor="text1"/>
          <w:sz w:val="28"/>
          <w:szCs w:val="28"/>
          <w:lang w:val="uk-UA" w:eastAsia="ar-SA"/>
        </w:rPr>
      </w:pPr>
      <w:r w:rsidRPr="00F00EB0">
        <w:rPr>
          <w:rFonts w:ascii="Times New Roman" w:eastAsia="Times New Roman" w:hAnsi="Times New Roman" w:cs="Times New Roman"/>
          <w:color w:val="000000" w:themeColor="text1"/>
          <w:sz w:val="28"/>
          <w:szCs w:val="28"/>
          <w:lang w:val="uk-UA" w:eastAsia="ar-SA"/>
        </w:rPr>
        <w:t xml:space="preserve">Для регулювання фінансової стійкості банком використовуються </w:t>
      </w:r>
      <w:r w:rsidRPr="00F00EB0">
        <w:rPr>
          <w:rFonts w:ascii="Times New Roman" w:hAnsi="Times New Roman" w:cs="Times New Roman"/>
          <w:color w:val="000000" w:themeColor="text1"/>
          <w:sz w:val="28"/>
          <w:szCs w:val="28"/>
          <w:lang w:val="uk-UA"/>
        </w:rPr>
        <w:t xml:space="preserve">превентивні заходи, ключовим інструментом якого є лімітування </w:t>
      </w:r>
      <w:r w:rsidRPr="00F00EB0">
        <w:rPr>
          <w:rFonts w:ascii="Times New Roman" w:eastAsia="Times New Roman" w:hAnsi="Times New Roman" w:cs="Times New Roman"/>
          <w:color w:val="000000" w:themeColor="text1"/>
          <w:sz w:val="28"/>
          <w:szCs w:val="28"/>
          <w:lang w:val="uk-UA" w:eastAsia="ar-SA"/>
        </w:rPr>
        <w:t>на основі економічних нормативів НБУ та внутрішніх лімітів «</w:t>
      </w:r>
      <w:r w:rsidRPr="00F00EB0">
        <w:rPr>
          <w:rFonts w:ascii="Times New Roman" w:eastAsia="Calibri" w:hAnsi="Times New Roman" w:cs="Times New Roman"/>
          <w:color w:val="000000" w:themeColor="text1"/>
          <w:sz w:val="28"/>
          <w:szCs w:val="28"/>
          <w:lang w:val="uk-UA"/>
        </w:rPr>
        <w:t xml:space="preserve">активів (кредитування, обсягу високоякісних ліквідних активів, на здійснення операцій з банками-контрагентами, купівлю цінних паперів); пасивів (концентрацій джерел фінансування); ризиків (розривів ліквідності, відкритої валютної позиції); </w:t>
      </w:r>
      <w:r w:rsidRPr="00F00EB0">
        <w:rPr>
          <w:rFonts w:ascii="Times New Roman" w:eastAsia="Times New Roman" w:hAnsi="Times New Roman" w:cs="Times New Roman"/>
          <w:color w:val="000000" w:themeColor="text1"/>
          <w:sz w:val="28"/>
          <w:szCs w:val="28"/>
          <w:lang w:val="uk-UA" w:eastAsia="ar-SA"/>
        </w:rPr>
        <w:t>повноважень». За даними банку «п</w:t>
      </w:r>
      <w:r w:rsidRPr="00F00EB0">
        <w:rPr>
          <w:rFonts w:ascii="Times New Roman" w:eastAsia="Calibri" w:hAnsi="Times New Roman" w:cs="Times New Roman"/>
          <w:color w:val="000000" w:themeColor="text1"/>
          <w:sz w:val="28"/>
          <w:szCs w:val="28"/>
          <w:lang w:val="uk-UA"/>
        </w:rPr>
        <w:t>оказники ризик-апетиту та ліміти ризику було встановлено Наглядовою радою на початку листопада 2022 року, після проведення низки заходів щодо антикризового управління ризиками та отримання фактичних та прогнозних даних щодо ключових показників діяльності, що коригувались протягом року та можуть коригуватись далі».</w:t>
      </w:r>
    </w:p>
    <w:p w14:paraId="2FDF12F2" w14:textId="77777777" w:rsidR="009515BC" w:rsidRPr="00F00EB0" w:rsidRDefault="009515BC" w:rsidP="009515BC">
      <w:pPr>
        <w:widowControl w:val="0"/>
        <w:tabs>
          <w:tab w:val="left" w:pos="993"/>
        </w:tabs>
        <w:autoSpaceDE w:val="0"/>
        <w:autoSpaceDN w:val="0"/>
        <w:adjustRightInd w:val="0"/>
        <w:spacing w:after="0" w:line="360" w:lineRule="auto"/>
        <w:ind w:firstLine="708"/>
        <w:jc w:val="both"/>
        <w:rPr>
          <w:rFonts w:ascii="Times New Roman" w:eastAsia="Calibri"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Стабілізувальні (реактивні) заходи запроваджуються в разі, коли виявлено наростання кризового потенціалу. </w:t>
      </w:r>
      <w:r w:rsidRPr="00F00EB0">
        <w:rPr>
          <w:rFonts w:ascii="Times New Roman" w:eastAsia="Times New Roman" w:hAnsi="Times New Roman" w:cs="Times New Roman"/>
          <w:color w:val="000000" w:themeColor="text1"/>
          <w:sz w:val="28"/>
          <w:szCs w:val="28"/>
          <w:lang w:val="uk-UA" w:eastAsia="ar-SA"/>
        </w:rPr>
        <w:t>Для зменшення ризиків використовується «</w:t>
      </w:r>
      <w:r w:rsidRPr="00F00EB0">
        <w:rPr>
          <w:rFonts w:ascii="Times New Roman" w:eastAsia="Calibri" w:hAnsi="Times New Roman" w:cs="Times New Roman"/>
          <w:color w:val="000000" w:themeColor="text1"/>
          <w:sz w:val="28"/>
          <w:szCs w:val="28"/>
          <w:lang w:val="uk-UA"/>
        </w:rPr>
        <w:t>застава за активними операціями, її перевірка та переоцінка з встановленою періодичністю; резерви під очікувані кредитні збитки; капіталізація з внутрішніх та / або зовнішніх джерел; страхування ризиків, пов’язаних з операційною діяльністю».</w:t>
      </w:r>
    </w:p>
    <w:p w14:paraId="1BE68C09" w14:textId="77777777" w:rsidR="009515BC" w:rsidRPr="00F00EB0" w:rsidRDefault="009515BC" w:rsidP="009515BC">
      <w:pPr>
        <w:widowControl w:val="0"/>
        <w:tabs>
          <w:tab w:val="left" w:pos="993"/>
        </w:tabs>
        <w:autoSpaceDE w:val="0"/>
        <w:autoSpaceDN w:val="0"/>
        <w:adjustRightInd w:val="0"/>
        <w:spacing w:after="0" w:line="360" w:lineRule="auto"/>
        <w:ind w:firstLine="708"/>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Отже, банком сформований ефективний механізм забезпечення фінансової стійкості, що дозволяє здійснювати прибуткову діяльність попри негативний вплив операційного середовища. </w:t>
      </w:r>
    </w:p>
    <w:p w14:paraId="7696E422" w14:textId="77777777" w:rsidR="009515BC" w:rsidRPr="00F00EB0" w:rsidRDefault="009515BC" w:rsidP="009515BC">
      <w:pPr>
        <w:shd w:val="clear" w:color="auto" w:fill="FFFFFF"/>
        <w:spacing w:after="0" w:line="360" w:lineRule="auto"/>
        <w:ind w:firstLine="709"/>
        <w:jc w:val="both"/>
        <w:rPr>
          <w:rFonts w:ascii="Times New Roman" w:eastAsia="WenQuanYi Micro Hei" w:hAnsi="Times New Roman" w:cs="Times New Roman"/>
          <w:color w:val="000000" w:themeColor="text1"/>
          <w:kern w:val="3"/>
          <w:sz w:val="28"/>
          <w:szCs w:val="28"/>
          <w:lang w:val="uk-UA" w:eastAsia="zh-CN" w:bidi="hi-IN"/>
        </w:rPr>
      </w:pPr>
      <w:r w:rsidRPr="00F00EB0">
        <w:rPr>
          <w:rFonts w:ascii="Times New Roman" w:eastAsia="WenQuanYi Micro Hei" w:hAnsi="Times New Roman" w:cs="Times New Roman"/>
          <w:color w:val="000000" w:themeColor="text1"/>
          <w:kern w:val="3"/>
          <w:sz w:val="28"/>
          <w:szCs w:val="28"/>
          <w:lang w:val="uk-UA" w:eastAsia="zh-CN" w:bidi="hi-IN"/>
        </w:rPr>
        <w:lastRenderedPageBreak/>
        <w:t xml:space="preserve">Основою ФСБ є достатній рівень власного капіталу, динаміка складових якого за період аналізу представлена на рисунку 2.12. </w:t>
      </w:r>
    </w:p>
    <w:p w14:paraId="15BAF104" w14:textId="77777777" w:rsidR="009515BC" w:rsidRPr="00F00EB0" w:rsidRDefault="009515BC" w:rsidP="009515BC">
      <w:pPr>
        <w:shd w:val="clear" w:color="auto" w:fill="FFFFFF"/>
        <w:spacing w:after="0" w:line="360" w:lineRule="auto"/>
        <w:ind w:firstLine="709"/>
        <w:jc w:val="both"/>
        <w:rPr>
          <w:rFonts w:ascii="Times New Roman" w:eastAsia="WenQuanYi Micro Hei" w:hAnsi="Times New Roman" w:cs="Times New Roman"/>
          <w:color w:val="000000" w:themeColor="text1"/>
          <w:kern w:val="3"/>
          <w:sz w:val="28"/>
          <w:szCs w:val="28"/>
          <w:lang w:val="uk-UA" w:eastAsia="zh-CN" w:bidi="hi-IN"/>
        </w:rPr>
      </w:pPr>
    </w:p>
    <w:p w14:paraId="3FBCDDAD" w14:textId="77777777" w:rsidR="009515BC" w:rsidRPr="00F00EB0" w:rsidRDefault="009515BC" w:rsidP="009515BC">
      <w:pPr>
        <w:shd w:val="clear" w:color="auto" w:fill="FFFFFF"/>
        <w:spacing w:after="0" w:line="360" w:lineRule="auto"/>
        <w:jc w:val="both"/>
        <w:rPr>
          <w:rFonts w:ascii="Times New Roman" w:eastAsia="WenQuanYi Micro Hei" w:hAnsi="Times New Roman" w:cs="Times New Roman"/>
          <w:color w:val="000000" w:themeColor="text1"/>
          <w:kern w:val="3"/>
          <w:sz w:val="28"/>
          <w:szCs w:val="28"/>
          <w:lang w:val="uk-UA" w:eastAsia="zh-CN" w:bidi="hi-IN"/>
        </w:rPr>
      </w:pPr>
      <w:r w:rsidRPr="00F00EB0">
        <w:rPr>
          <w:rFonts w:ascii="Times New Roman" w:hAnsi="Times New Roman" w:cs="Times New Roman"/>
          <w:noProof/>
          <w:color w:val="000000" w:themeColor="text1"/>
          <w:lang w:eastAsia="ru-RU"/>
        </w:rPr>
        <w:drawing>
          <wp:inline distT="0" distB="0" distL="0" distR="0" wp14:anchorId="7C5CB596" wp14:editId="0BAF3DCC">
            <wp:extent cx="6299835" cy="2635250"/>
            <wp:effectExtent l="0" t="0" r="0" b="0"/>
            <wp:docPr id="835913115" name="Диаграмма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4B910AAB" w14:textId="77777777" w:rsidR="009515BC" w:rsidRPr="00F00EB0" w:rsidRDefault="009515BC" w:rsidP="009515BC">
      <w:pPr>
        <w:shd w:val="clear" w:color="auto" w:fill="FFFFFF"/>
        <w:spacing w:after="0" w:line="360" w:lineRule="auto"/>
        <w:jc w:val="center"/>
        <w:rPr>
          <w:rFonts w:ascii="Times New Roman" w:eastAsia="WenQuanYi Micro Hei" w:hAnsi="Times New Roman" w:cs="Times New Roman"/>
          <w:color w:val="000000" w:themeColor="text1"/>
          <w:kern w:val="3"/>
          <w:sz w:val="28"/>
          <w:szCs w:val="28"/>
          <w:lang w:val="uk-UA" w:eastAsia="zh-CN" w:bidi="hi-IN"/>
        </w:rPr>
      </w:pPr>
      <w:r w:rsidRPr="00F00EB0">
        <w:rPr>
          <w:rFonts w:ascii="Times New Roman" w:eastAsia="WenQuanYi Micro Hei" w:hAnsi="Times New Roman" w:cs="Times New Roman"/>
          <w:color w:val="000000" w:themeColor="text1"/>
          <w:kern w:val="3"/>
          <w:sz w:val="28"/>
          <w:szCs w:val="28"/>
          <w:lang w:val="uk-UA" w:eastAsia="zh-CN" w:bidi="hi-IN"/>
        </w:rPr>
        <w:t xml:space="preserve">Рисунок 2.12 – Динаміка капіталу </w:t>
      </w:r>
      <w:r w:rsidRPr="00F00EB0">
        <w:rPr>
          <w:rFonts w:ascii="Times New Roman" w:eastAsia="WenQuanYi Micro Hei" w:hAnsi="Times New Roman" w:cs="Times New Roman"/>
          <w:bCs/>
          <w:color w:val="000000" w:themeColor="text1"/>
          <w:kern w:val="3"/>
          <w:sz w:val="28"/>
          <w:szCs w:val="28"/>
          <w:lang w:val="uk-UA" w:eastAsia="zh-CN" w:bidi="hi-IN"/>
        </w:rPr>
        <w:t>АТ КБ «ПриватБанк» та його ключових складових</w:t>
      </w:r>
      <w:r w:rsidRPr="00F00EB0">
        <w:rPr>
          <w:rFonts w:ascii="Times New Roman" w:eastAsia="WenQuanYi Micro Hei" w:hAnsi="Times New Roman" w:cs="Times New Roman"/>
          <w:color w:val="000000" w:themeColor="text1"/>
          <w:kern w:val="3"/>
          <w:sz w:val="28"/>
          <w:szCs w:val="28"/>
          <w:lang w:val="uk-UA" w:eastAsia="zh-CN" w:bidi="hi-IN"/>
        </w:rPr>
        <w:t>, за 2014-2022 рр., млн грн [побудовано автором на основі 53-59]</w:t>
      </w:r>
    </w:p>
    <w:p w14:paraId="16530D47" w14:textId="77777777" w:rsidR="009515BC" w:rsidRPr="00F00EB0" w:rsidRDefault="009515BC" w:rsidP="009515BC">
      <w:pPr>
        <w:shd w:val="clear" w:color="auto" w:fill="FFFFFF"/>
        <w:spacing w:after="0" w:line="360" w:lineRule="auto"/>
        <w:ind w:firstLine="709"/>
        <w:jc w:val="both"/>
        <w:rPr>
          <w:rFonts w:ascii="Times New Roman" w:eastAsia="WenQuanYi Micro Hei" w:hAnsi="Times New Roman" w:cs="Times New Roman"/>
          <w:color w:val="000000" w:themeColor="text1"/>
          <w:kern w:val="3"/>
          <w:sz w:val="28"/>
          <w:szCs w:val="28"/>
          <w:lang w:val="uk-UA" w:eastAsia="zh-CN" w:bidi="hi-IN"/>
        </w:rPr>
      </w:pPr>
    </w:p>
    <w:p w14:paraId="0B311764" w14:textId="77777777" w:rsidR="009515BC" w:rsidRPr="00F00EB0" w:rsidRDefault="009515BC" w:rsidP="009515BC">
      <w:pPr>
        <w:shd w:val="clear" w:color="auto" w:fill="FFFFFF"/>
        <w:spacing w:after="0" w:line="360" w:lineRule="auto"/>
        <w:ind w:firstLine="709"/>
        <w:jc w:val="both"/>
        <w:rPr>
          <w:rFonts w:ascii="Times New Roman" w:eastAsia="WenQuanYi Micro Hei" w:hAnsi="Times New Roman" w:cs="Times New Roman"/>
          <w:color w:val="000000" w:themeColor="text1"/>
          <w:kern w:val="3"/>
          <w:sz w:val="28"/>
          <w:szCs w:val="28"/>
          <w:lang w:val="uk-UA" w:eastAsia="zh-CN" w:bidi="hi-IN"/>
        </w:rPr>
      </w:pPr>
      <w:r w:rsidRPr="00F00EB0">
        <w:rPr>
          <w:rFonts w:ascii="Times New Roman" w:eastAsia="WenQuanYi Micro Hei" w:hAnsi="Times New Roman" w:cs="Times New Roman"/>
          <w:color w:val="000000" w:themeColor="text1"/>
          <w:kern w:val="3"/>
          <w:sz w:val="28"/>
          <w:szCs w:val="28"/>
          <w:lang w:val="uk-UA" w:eastAsia="zh-CN" w:bidi="hi-IN"/>
        </w:rPr>
        <w:t>Протягом періоду аналізу на залишки капіталу банку найбільший вплив мали дві складові: статутний капітал та непокритий збиток минулих років. Статутний капітал залишався стабільним та склав 206,06 млрд грн з початку 2018 року. Він сформований з 735,93 млн акцій з номінальною вартістю 280 грн за акцію. Непокритий збиток минулих років виник у результаті діяльності попередніх власників та сформував дефіцит, покритий внесками в статутний капітал, здійсненими державою. Детальніші відомості про заходи з докапіталізації АТ КБ «ПриватБанк» наведені в додатку Е.</w:t>
      </w:r>
    </w:p>
    <w:p w14:paraId="755B0C73" w14:textId="77777777" w:rsidR="009515BC" w:rsidRPr="00F00EB0" w:rsidRDefault="009515BC" w:rsidP="009515BC">
      <w:pPr>
        <w:shd w:val="clear" w:color="auto" w:fill="FFFFFF"/>
        <w:spacing w:after="0" w:line="360" w:lineRule="auto"/>
        <w:ind w:firstLine="709"/>
        <w:jc w:val="both"/>
        <w:rPr>
          <w:rFonts w:ascii="Times New Roman" w:eastAsia="WenQuanYi Micro Hei" w:hAnsi="Times New Roman" w:cs="Times New Roman"/>
          <w:color w:val="000000" w:themeColor="text1"/>
          <w:kern w:val="3"/>
          <w:sz w:val="28"/>
          <w:szCs w:val="28"/>
          <w:lang w:val="uk-UA" w:eastAsia="zh-CN" w:bidi="hi-IN"/>
        </w:rPr>
      </w:pPr>
      <w:r w:rsidRPr="00F00EB0">
        <w:rPr>
          <w:rFonts w:ascii="Times New Roman" w:eastAsia="WenQuanYi Micro Hei" w:hAnsi="Times New Roman" w:cs="Times New Roman"/>
          <w:color w:val="000000" w:themeColor="text1"/>
          <w:kern w:val="3"/>
          <w:sz w:val="28"/>
          <w:szCs w:val="28"/>
          <w:lang w:val="uk-UA" w:eastAsia="zh-CN" w:bidi="hi-IN"/>
        </w:rPr>
        <w:t>Резервний капітал банку має незначний вплив на загальні залишки капіталу. Резерви та інші фонди формуються відповідно до вимог законодавства України та станом на останню звітну дату складали 11,229 млрд грн.</w:t>
      </w:r>
    </w:p>
    <w:p w14:paraId="40F98FAA" w14:textId="77777777" w:rsidR="009515BC" w:rsidRPr="00F00EB0" w:rsidRDefault="009515BC" w:rsidP="009515BC">
      <w:pPr>
        <w:shd w:val="clear" w:color="auto" w:fill="FFFFFF"/>
        <w:spacing w:after="0" w:line="360" w:lineRule="auto"/>
        <w:ind w:firstLine="709"/>
        <w:jc w:val="both"/>
        <w:rPr>
          <w:rFonts w:ascii="Times New Roman" w:eastAsia="WenQuanYi Micro Hei" w:hAnsi="Times New Roman" w:cs="Times New Roman"/>
          <w:color w:val="000000" w:themeColor="text1"/>
          <w:kern w:val="3"/>
          <w:sz w:val="28"/>
          <w:szCs w:val="28"/>
          <w:lang w:val="uk-UA" w:eastAsia="zh-CN" w:bidi="hi-IN"/>
        </w:rPr>
      </w:pPr>
      <w:r w:rsidRPr="00F00EB0">
        <w:rPr>
          <w:rFonts w:ascii="Times New Roman" w:eastAsia="WenQuanYi Micro Hei" w:hAnsi="Times New Roman" w:cs="Times New Roman"/>
          <w:color w:val="000000" w:themeColor="text1"/>
          <w:kern w:val="3"/>
          <w:sz w:val="28"/>
          <w:szCs w:val="28"/>
          <w:lang w:val="uk-UA" w:eastAsia="zh-CN" w:bidi="hi-IN"/>
        </w:rPr>
        <w:t>Попри зниження залишків капіталу у 2022 році всі показники достатності капіталу знаходяться в рекомендованих межах (табл. 2.3).</w:t>
      </w:r>
    </w:p>
    <w:p w14:paraId="41093836" w14:textId="77777777" w:rsidR="009515BC" w:rsidRPr="00F00EB0" w:rsidRDefault="009515BC" w:rsidP="009515BC">
      <w:pPr>
        <w:rPr>
          <w:rFonts w:ascii="Times New Roman" w:eastAsia="WenQuanYi Micro Hei" w:hAnsi="Times New Roman" w:cs="Times New Roman"/>
          <w:color w:val="000000" w:themeColor="text1"/>
          <w:kern w:val="3"/>
          <w:sz w:val="28"/>
          <w:szCs w:val="28"/>
          <w:lang w:val="uk-UA" w:eastAsia="zh-CN" w:bidi="hi-IN"/>
        </w:rPr>
      </w:pPr>
      <w:r w:rsidRPr="00F00EB0">
        <w:rPr>
          <w:rFonts w:ascii="Times New Roman" w:eastAsia="WenQuanYi Micro Hei" w:hAnsi="Times New Roman" w:cs="Times New Roman"/>
          <w:color w:val="000000" w:themeColor="text1"/>
          <w:kern w:val="3"/>
          <w:sz w:val="28"/>
          <w:szCs w:val="28"/>
          <w:lang w:val="uk-UA" w:eastAsia="zh-CN" w:bidi="hi-IN"/>
        </w:rPr>
        <w:br w:type="page"/>
      </w:r>
    </w:p>
    <w:p w14:paraId="19BE4616" w14:textId="77777777" w:rsidR="009515BC" w:rsidRPr="00F00EB0" w:rsidRDefault="009515BC" w:rsidP="009515BC">
      <w:pPr>
        <w:widowControl w:val="0"/>
        <w:suppressAutoHyphens/>
        <w:autoSpaceDN w:val="0"/>
        <w:spacing w:after="0" w:line="360" w:lineRule="auto"/>
        <w:ind w:firstLine="709"/>
        <w:contextualSpacing/>
        <w:jc w:val="both"/>
        <w:textAlignment w:val="baseline"/>
        <w:rPr>
          <w:rFonts w:ascii="Times New Roman" w:eastAsia="Calibri" w:hAnsi="Times New Roman" w:cs="Times New Roman"/>
          <w:color w:val="000000" w:themeColor="text1"/>
          <w:kern w:val="3"/>
          <w:sz w:val="28"/>
          <w:szCs w:val="28"/>
          <w:lang w:val="uk-UA" w:eastAsia="zh-CN" w:bidi="hi-IN"/>
        </w:rPr>
      </w:pPr>
      <w:r w:rsidRPr="00F00EB0">
        <w:rPr>
          <w:rFonts w:ascii="Times New Roman" w:eastAsia="Calibri" w:hAnsi="Times New Roman" w:cs="Times New Roman"/>
          <w:color w:val="000000" w:themeColor="text1"/>
          <w:kern w:val="3"/>
          <w:sz w:val="28"/>
          <w:szCs w:val="28"/>
          <w:lang w:val="uk-UA" w:eastAsia="zh-CN" w:bidi="hi-IN"/>
        </w:rPr>
        <w:lastRenderedPageBreak/>
        <w:t xml:space="preserve">Таблиця 2.3 – Динаміка показників достатності капіталу </w:t>
      </w:r>
      <w:r w:rsidRPr="00F00EB0">
        <w:rPr>
          <w:rFonts w:ascii="Times New Roman" w:eastAsia="Calibri" w:hAnsi="Times New Roman" w:cs="Times New Roman"/>
          <w:bCs/>
          <w:color w:val="000000" w:themeColor="text1"/>
          <w:kern w:val="3"/>
          <w:sz w:val="28"/>
          <w:szCs w:val="28"/>
          <w:lang w:val="uk-UA" w:eastAsia="zh-CN" w:bidi="hi-IN"/>
        </w:rPr>
        <w:t xml:space="preserve">АТ КБ «ПриватБанк» </w:t>
      </w:r>
      <w:r w:rsidRPr="00F00EB0">
        <w:rPr>
          <w:rFonts w:ascii="Times New Roman" w:eastAsia="Calibri" w:hAnsi="Times New Roman" w:cs="Times New Roman"/>
          <w:color w:val="000000" w:themeColor="text1"/>
          <w:kern w:val="3"/>
          <w:sz w:val="28"/>
          <w:szCs w:val="28"/>
          <w:lang w:val="uk-UA" w:eastAsia="zh-CN" w:bidi="hi-IN"/>
        </w:rPr>
        <w:t xml:space="preserve">за 2015-2022 рр. </w:t>
      </w:r>
      <w:r w:rsidRPr="00F00EB0">
        <w:rPr>
          <w:rFonts w:ascii="Times New Roman" w:eastAsia="WenQuanYi Micro Hei" w:hAnsi="Times New Roman" w:cs="Times New Roman"/>
          <w:color w:val="000000" w:themeColor="text1"/>
          <w:kern w:val="3"/>
          <w:sz w:val="28"/>
          <w:szCs w:val="28"/>
          <w:lang w:val="uk-UA" w:eastAsia="zh-CN" w:bidi="hi-IN"/>
        </w:rPr>
        <w:t>[побудовано автором на основі 53-59]</w:t>
      </w:r>
    </w:p>
    <w:tbl>
      <w:tblPr>
        <w:tblStyle w:val="92"/>
        <w:tblW w:w="5000" w:type="pct"/>
        <w:tblLayout w:type="fixed"/>
        <w:tblLook w:val="0420" w:firstRow="1" w:lastRow="0" w:firstColumn="0" w:lastColumn="0" w:noHBand="0" w:noVBand="1"/>
      </w:tblPr>
      <w:tblGrid>
        <w:gridCol w:w="3017"/>
        <w:gridCol w:w="969"/>
        <w:gridCol w:w="971"/>
        <w:gridCol w:w="1055"/>
        <w:gridCol w:w="773"/>
        <w:gridCol w:w="773"/>
        <w:gridCol w:w="781"/>
        <w:gridCol w:w="791"/>
        <w:gridCol w:w="781"/>
      </w:tblGrid>
      <w:tr w:rsidR="009515BC" w:rsidRPr="00F00EB0" w14:paraId="6B167E9C" w14:textId="77777777" w:rsidTr="0021593D">
        <w:trPr>
          <w:trHeight w:val="70"/>
        </w:trPr>
        <w:tc>
          <w:tcPr>
            <w:tcW w:w="1522" w:type="pct"/>
            <w:vMerge w:val="restart"/>
          </w:tcPr>
          <w:p w14:paraId="339384FF" w14:textId="77777777" w:rsidR="009515BC" w:rsidRPr="00F00EB0" w:rsidRDefault="009515BC" w:rsidP="0021593D">
            <w:pPr>
              <w:tabs>
                <w:tab w:val="left" w:pos="993"/>
              </w:tabs>
              <w:contextualSpacing/>
              <w:jc w:val="center"/>
              <w:rPr>
                <w:rFonts w:eastAsia="Times New Roman" w:cs="Times New Roman"/>
                <w:bCs/>
                <w:color w:val="000000" w:themeColor="text1"/>
                <w:sz w:val="24"/>
                <w:szCs w:val="24"/>
                <w:lang w:val="uk-UA" w:eastAsia="ru-RU"/>
              </w:rPr>
            </w:pPr>
            <w:r w:rsidRPr="00F00EB0">
              <w:rPr>
                <w:rFonts w:eastAsia="Times New Roman" w:cs="Times New Roman"/>
                <w:bCs/>
                <w:color w:val="000000" w:themeColor="text1"/>
                <w:sz w:val="24"/>
                <w:szCs w:val="24"/>
                <w:lang w:val="uk-UA" w:eastAsia="ru-RU"/>
              </w:rPr>
              <w:t>Показник</w:t>
            </w:r>
          </w:p>
        </w:tc>
        <w:tc>
          <w:tcPr>
            <w:tcW w:w="3084" w:type="pct"/>
            <w:gridSpan w:val="7"/>
          </w:tcPr>
          <w:p w14:paraId="3D61FDA8" w14:textId="77777777" w:rsidR="009515BC" w:rsidRPr="00F00EB0" w:rsidRDefault="009515BC" w:rsidP="0021593D">
            <w:pPr>
              <w:tabs>
                <w:tab w:val="left" w:pos="993"/>
              </w:tabs>
              <w:ind w:firstLine="0"/>
              <w:contextualSpacing/>
              <w:jc w:val="center"/>
              <w:rPr>
                <w:rFonts w:eastAsia="Times New Roman" w:cs="Times New Roman"/>
                <w:bCs/>
                <w:color w:val="000000" w:themeColor="text1"/>
                <w:sz w:val="24"/>
                <w:szCs w:val="24"/>
                <w:lang w:val="uk-UA" w:eastAsia="ru-RU"/>
              </w:rPr>
            </w:pPr>
            <w:r w:rsidRPr="00F00EB0">
              <w:rPr>
                <w:rFonts w:eastAsia="Times New Roman" w:cs="Times New Roman"/>
                <w:bCs/>
                <w:color w:val="000000" w:themeColor="text1"/>
                <w:sz w:val="24"/>
                <w:szCs w:val="24"/>
                <w:lang w:val="uk-UA" w:eastAsia="ru-RU"/>
              </w:rPr>
              <w:t>Станом на 01.01</w:t>
            </w:r>
          </w:p>
        </w:tc>
        <w:tc>
          <w:tcPr>
            <w:tcW w:w="394" w:type="pct"/>
          </w:tcPr>
          <w:p w14:paraId="734CF9C2" w14:textId="77777777" w:rsidR="009515BC" w:rsidRPr="00F00EB0" w:rsidRDefault="009515BC" w:rsidP="0021593D">
            <w:pPr>
              <w:tabs>
                <w:tab w:val="left" w:pos="993"/>
              </w:tabs>
              <w:contextualSpacing/>
              <w:jc w:val="center"/>
              <w:rPr>
                <w:rFonts w:eastAsia="Times New Roman" w:cs="Times New Roman"/>
                <w:bCs/>
                <w:color w:val="000000" w:themeColor="text1"/>
                <w:sz w:val="24"/>
                <w:szCs w:val="24"/>
                <w:lang w:val="uk-UA" w:eastAsia="ru-RU"/>
              </w:rPr>
            </w:pPr>
          </w:p>
        </w:tc>
      </w:tr>
      <w:tr w:rsidR="009515BC" w:rsidRPr="00F00EB0" w14:paraId="52575BFD" w14:textId="77777777" w:rsidTr="0021593D">
        <w:trPr>
          <w:trHeight w:val="290"/>
        </w:trPr>
        <w:tc>
          <w:tcPr>
            <w:tcW w:w="1522" w:type="pct"/>
            <w:vMerge/>
            <w:hideMark/>
          </w:tcPr>
          <w:p w14:paraId="59041FAE" w14:textId="77777777" w:rsidR="009515BC" w:rsidRPr="00F00EB0" w:rsidRDefault="009515BC" w:rsidP="0021593D">
            <w:pPr>
              <w:tabs>
                <w:tab w:val="left" w:pos="993"/>
              </w:tabs>
              <w:ind w:firstLine="0"/>
              <w:contextualSpacing/>
              <w:jc w:val="center"/>
              <w:rPr>
                <w:rFonts w:eastAsia="Times New Roman" w:cs="Times New Roman"/>
                <w:bCs/>
                <w:color w:val="000000" w:themeColor="text1"/>
                <w:sz w:val="24"/>
                <w:szCs w:val="24"/>
                <w:lang w:val="uk-UA" w:eastAsia="ru-RU"/>
              </w:rPr>
            </w:pPr>
          </w:p>
        </w:tc>
        <w:tc>
          <w:tcPr>
            <w:tcW w:w="489" w:type="pct"/>
            <w:vAlign w:val="center"/>
          </w:tcPr>
          <w:p w14:paraId="0E403D8A" w14:textId="77777777" w:rsidR="009515BC" w:rsidRPr="00F00EB0" w:rsidRDefault="009515BC" w:rsidP="0021593D">
            <w:pPr>
              <w:tabs>
                <w:tab w:val="left" w:pos="993"/>
              </w:tabs>
              <w:ind w:firstLine="0"/>
              <w:contextualSpacing/>
              <w:jc w:val="center"/>
              <w:rPr>
                <w:rFonts w:eastAsia="Times New Roman" w:cs="Times New Roman"/>
                <w:bCs/>
                <w:color w:val="000000" w:themeColor="text1"/>
                <w:sz w:val="24"/>
                <w:szCs w:val="24"/>
                <w:lang w:val="uk-UA" w:eastAsia="ru-RU"/>
              </w:rPr>
            </w:pPr>
            <w:r w:rsidRPr="00F00EB0">
              <w:rPr>
                <w:rFonts w:eastAsia="Times New Roman" w:cs="Times New Roman"/>
                <w:bCs/>
                <w:color w:val="000000" w:themeColor="text1"/>
                <w:sz w:val="24"/>
                <w:szCs w:val="24"/>
                <w:lang w:val="uk-UA" w:eastAsia="ru-RU"/>
              </w:rPr>
              <w:t>2016</w:t>
            </w:r>
          </w:p>
        </w:tc>
        <w:tc>
          <w:tcPr>
            <w:tcW w:w="490" w:type="pct"/>
            <w:vAlign w:val="center"/>
          </w:tcPr>
          <w:p w14:paraId="51859D1D" w14:textId="77777777" w:rsidR="009515BC" w:rsidRPr="00F00EB0" w:rsidRDefault="009515BC" w:rsidP="0021593D">
            <w:pPr>
              <w:tabs>
                <w:tab w:val="left" w:pos="993"/>
              </w:tabs>
              <w:ind w:firstLine="0"/>
              <w:contextualSpacing/>
              <w:jc w:val="center"/>
              <w:rPr>
                <w:rFonts w:eastAsia="Times New Roman" w:cs="Times New Roman"/>
                <w:bCs/>
                <w:color w:val="000000" w:themeColor="text1"/>
                <w:sz w:val="24"/>
                <w:szCs w:val="24"/>
                <w:lang w:val="uk-UA" w:eastAsia="ru-RU"/>
              </w:rPr>
            </w:pPr>
            <w:r w:rsidRPr="00F00EB0">
              <w:rPr>
                <w:rFonts w:eastAsia="Times New Roman" w:cs="Times New Roman"/>
                <w:bCs/>
                <w:color w:val="000000" w:themeColor="text1"/>
                <w:sz w:val="24"/>
                <w:szCs w:val="24"/>
                <w:lang w:val="uk-UA" w:eastAsia="ru-RU"/>
              </w:rPr>
              <w:t>2017</w:t>
            </w:r>
          </w:p>
        </w:tc>
        <w:tc>
          <w:tcPr>
            <w:tcW w:w="532" w:type="pct"/>
            <w:vAlign w:val="center"/>
          </w:tcPr>
          <w:p w14:paraId="0DE95467" w14:textId="77777777" w:rsidR="009515BC" w:rsidRPr="00F00EB0" w:rsidRDefault="009515BC" w:rsidP="0021593D">
            <w:pPr>
              <w:tabs>
                <w:tab w:val="left" w:pos="993"/>
              </w:tabs>
              <w:ind w:firstLine="0"/>
              <w:contextualSpacing/>
              <w:jc w:val="center"/>
              <w:rPr>
                <w:rFonts w:eastAsia="Times New Roman" w:cs="Times New Roman"/>
                <w:bCs/>
                <w:color w:val="000000" w:themeColor="text1"/>
                <w:sz w:val="24"/>
                <w:szCs w:val="24"/>
                <w:lang w:val="uk-UA" w:eastAsia="ru-RU"/>
              </w:rPr>
            </w:pPr>
            <w:r w:rsidRPr="00F00EB0">
              <w:rPr>
                <w:rFonts w:eastAsia="Times New Roman" w:cs="Times New Roman"/>
                <w:bCs/>
                <w:color w:val="000000" w:themeColor="text1"/>
                <w:sz w:val="24"/>
                <w:szCs w:val="24"/>
                <w:lang w:val="uk-UA" w:eastAsia="ru-RU"/>
              </w:rPr>
              <w:t>2018</w:t>
            </w:r>
          </w:p>
        </w:tc>
        <w:tc>
          <w:tcPr>
            <w:tcW w:w="390" w:type="pct"/>
            <w:vAlign w:val="center"/>
            <w:hideMark/>
          </w:tcPr>
          <w:p w14:paraId="4B57B85A" w14:textId="77777777" w:rsidR="009515BC" w:rsidRPr="00F00EB0" w:rsidRDefault="009515BC" w:rsidP="0021593D">
            <w:pPr>
              <w:tabs>
                <w:tab w:val="left" w:pos="993"/>
              </w:tabs>
              <w:ind w:firstLine="0"/>
              <w:contextualSpacing/>
              <w:jc w:val="center"/>
              <w:rPr>
                <w:rFonts w:eastAsia="Times New Roman" w:cs="Times New Roman"/>
                <w:bCs/>
                <w:color w:val="000000" w:themeColor="text1"/>
                <w:sz w:val="24"/>
                <w:szCs w:val="24"/>
                <w:lang w:val="uk-UA" w:eastAsia="ru-RU"/>
              </w:rPr>
            </w:pPr>
            <w:r w:rsidRPr="00F00EB0">
              <w:rPr>
                <w:rFonts w:eastAsia="Times New Roman" w:cs="Times New Roman"/>
                <w:bCs/>
                <w:color w:val="000000" w:themeColor="text1"/>
                <w:sz w:val="24"/>
                <w:szCs w:val="24"/>
                <w:lang w:val="uk-UA" w:eastAsia="ru-RU"/>
              </w:rPr>
              <w:t>2019</w:t>
            </w:r>
          </w:p>
        </w:tc>
        <w:tc>
          <w:tcPr>
            <w:tcW w:w="390" w:type="pct"/>
            <w:vAlign w:val="center"/>
          </w:tcPr>
          <w:p w14:paraId="7F4832BA" w14:textId="77777777" w:rsidR="009515BC" w:rsidRPr="00F00EB0" w:rsidRDefault="009515BC" w:rsidP="0021593D">
            <w:pPr>
              <w:tabs>
                <w:tab w:val="left" w:pos="993"/>
              </w:tabs>
              <w:ind w:firstLine="0"/>
              <w:contextualSpacing/>
              <w:jc w:val="center"/>
              <w:rPr>
                <w:rFonts w:eastAsia="Times New Roman" w:cs="Times New Roman"/>
                <w:bCs/>
                <w:color w:val="000000" w:themeColor="text1"/>
                <w:sz w:val="24"/>
                <w:szCs w:val="24"/>
                <w:lang w:val="uk-UA" w:eastAsia="ru-RU"/>
              </w:rPr>
            </w:pPr>
            <w:r w:rsidRPr="00F00EB0">
              <w:rPr>
                <w:rFonts w:eastAsia="Times New Roman" w:cs="Times New Roman"/>
                <w:bCs/>
                <w:color w:val="000000" w:themeColor="text1"/>
                <w:sz w:val="24"/>
                <w:szCs w:val="24"/>
                <w:lang w:val="uk-UA" w:eastAsia="ru-RU"/>
              </w:rPr>
              <w:t>2020</w:t>
            </w:r>
          </w:p>
        </w:tc>
        <w:tc>
          <w:tcPr>
            <w:tcW w:w="394" w:type="pct"/>
            <w:vAlign w:val="center"/>
          </w:tcPr>
          <w:p w14:paraId="0FCF0834" w14:textId="77777777" w:rsidR="009515BC" w:rsidRPr="00F00EB0" w:rsidRDefault="009515BC" w:rsidP="0021593D">
            <w:pPr>
              <w:tabs>
                <w:tab w:val="left" w:pos="993"/>
              </w:tabs>
              <w:ind w:firstLine="0"/>
              <w:contextualSpacing/>
              <w:jc w:val="center"/>
              <w:rPr>
                <w:rFonts w:eastAsia="Times New Roman" w:cs="Times New Roman"/>
                <w:bCs/>
                <w:color w:val="000000" w:themeColor="text1"/>
                <w:sz w:val="24"/>
                <w:szCs w:val="24"/>
                <w:lang w:val="uk-UA" w:eastAsia="ru-RU"/>
              </w:rPr>
            </w:pPr>
            <w:r w:rsidRPr="00F00EB0">
              <w:rPr>
                <w:rFonts w:eastAsia="Times New Roman" w:cs="Times New Roman"/>
                <w:bCs/>
                <w:color w:val="000000" w:themeColor="text1"/>
                <w:sz w:val="24"/>
                <w:szCs w:val="24"/>
                <w:lang w:val="uk-UA" w:eastAsia="ru-RU"/>
              </w:rPr>
              <w:t>2021</w:t>
            </w:r>
          </w:p>
        </w:tc>
        <w:tc>
          <w:tcPr>
            <w:tcW w:w="399" w:type="pct"/>
            <w:vAlign w:val="center"/>
          </w:tcPr>
          <w:p w14:paraId="147A6578" w14:textId="77777777" w:rsidR="009515BC" w:rsidRPr="00F00EB0" w:rsidRDefault="009515BC" w:rsidP="0021593D">
            <w:pPr>
              <w:tabs>
                <w:tab w:val="left" w:pos="993"/>
              </w:tabs>
              <w:ind w:firstLine="0"/>
              <w:contextualSpacing/>
              <w:jc w:val="center"/>
              <w:rPr>
                <w:rFonts w:eastAsia="Times New Roman" w:cs="Times New Roman"/>
                <w:bCs/>
                <w:color w:val="000000" w:themeColor="text1"/>
                <w:sz w:val="24"/>
                <w:szCs w:val="24"/>
                <w:lang w:val="uk-UA" w:eastAsia="ru-RU"/>
              </w:rPr>
            </w:pPr>
            <w:r w:rsidRPr="00F00EB0">
              <w:rPr>
                <w:rFonts w:eastAsia="Times New Roman" w:cs="Times New Roman"/>
                <w:bCs/>
                <w:color w:val="000000" w:themeColor="text1"/>
                <w:sz w:val="24"/>
                <w:szCs w:val="24"/>
                <w:lang w:val="uk-UA" w:eastAsia="ru-RU"/>
              </w:rPr>
              <w:t>2022</w:t>
            </w:r>
          </w:p>
        </w:tc>
        <w:tc>
          <w:tcPr>
            <w:tcW w:w="394" w:type="pct"/>
            <w:vAlign w:val="center"/>
          </w:tcPr>
          <w:p w14:paraId="36937760" w14:textId="77777777" w:rsidR="009515BC" w:rsidRPr="00F00EB0" w:rsidRDefault="009515BC" w:rsidP="0021593D">
            <w:pPr>
              <w:tabs>
                <w:tab w:val="left" w:pos="993"/>
              </w:tabs>
              <w:ind w:firstLine="0"/>
              <w:contextualSpacing/>
              <w:jc w:val="left"/>
              <w:rPr>
                <w:rFonts w:eastAsia="Times New Roman" w:cs="Times New Roman"/>
                <w:bCs/>
                <w:color w:val="000000" w:themeColor="text1"/>
                <w:sz w:val="24"/>
                <w:szCs w:val="24"/>
                <w:lang w:val="uk-UA" w:eastAsia="ru-RU"/>
              </w:rPr>
            </w:pPr>
            <w:r w:rsidRPr="00F00EB0">
              <w:rPr>
                <w:rFonts w:eastAsia="Times New Roman" w:cs="Times New Roman"/>
                <w:bCs/>
                <w:color w:val="000000" w:themeColor="text1"/>
                <w:sz w:val="24"/>
                <w:szCs w:val="24"/>
                <w:lang w:val="uk-UA" w:eastAsia="ru-RU"/>
              </w:rPr>
              <w:t>2023</w:t>
            </w:r>
          </w:p>
        </w:tc>
      </w:tr>
      <w:tr w:rsidR="009515BC" w:rsidRPr="00F00EB0" w14:paraId="42F29F3A" w14:textId="77777777" w:rsidTr="0021593D">
        <w:trPr>
          <w:trHeight w:val="70"/>
        </w:trPr>
        <w:tc>
          <w:tcPr>
            <w:tcW w:w="4606" w:type="pct"/>
            <w:gridSpan w:val="8"/>
            <w:vAlign w:val="center"/>
          </w:tcPr>
          <w:p w14:paraId="7C70E900" w14:textId="77777777" w:rsidR="009515BC" w:rsidRPr="00F00EB0" w:rsidRDefault="009515BC" w:rsidP="0021593D">
            <w:pPr>
              <w:tabs>
                <w:tab w:val="left" w:pos="993"/>
              </w:tabs>
              <w:contextualSpacing/>
              <w:jc w:val="center"/>
              <w:rPr>
                <w:rFonts w:eastAsia="Times New Roman" w:cs="Times New Roman"/>
                <w:bCs/>
                <w:color w:val="000000" w:themeColor="text1"/>
                <w:sz w:val="24"/>
                <w:szCs w:val="24"/>
                <w:lang w:val="uk-UA" w:eastAsia="ru-RU"/>
              </w:rPr>
            </w:pPr>
            <w:r w:rsidRPr="00F00EB0">
              <w:rPr>
                <w:rFonts w:eastAsia="Times New Roman" w:cs="Times New Roman"/>
                <w:bCs/>
                <w:color w:val="000000" w:themeColor="text1"/>
                <w:sz w:val="24"/>
                <w:szCs w:val="24"/>
                <w:lang w:val="uk-UA" w:eastAsia="ru-RU"/>
              </w:rPr>
              <w:t>Економічні нормативи капіталу НБУ</w:t>
            </w:r>
          </w:p>
        </w:tc>
        <w:tc>
          <w:tcPr>
            <w:tcW w:w="394" w:type="pct"/>
            <w:vAlign w:val="center"/>
          </w:tcPr>
          <w:p w14:paraId="12A79B04" w14:textId="77777777" w:rsidR="009515BC" w:rsidRPr="00F00EB0" w:rsidRDefault="009515BC" w:rsidP="0021593D">
            <w:pPr>
              <w:tabs>
                <w:tab w:val="left" w:pos="993"/>
              </w:tabs>
              <w:contextualSpacing/>
              <w:jc w:val="center"/>
              <w:rPr>
                <w:rFonts w:eastAsia="Times New Roman" w:cs="Times New Roman"/>
                <w:bCs/>
                <w:color w:val="000000" w:themeColor="text1"/>
                <w:sz w:val="24"/>
                <w:szCs w:val="24"/>
                <w:lang w:val="uk-UA" w:eastAsia="ru-RU"/>
              </w:rPr>
            </w:pPr>
          </w:p>
        </w:tc>
      </w:tr>
      <w:tr w:rsidR="009515BC" w:rsidRPr="00F00EB0" w14:paraId="1ED625B6" w14:textId="77777777" w:rsidTr="0021593D">
        <w:trPr>
          <w:trHeight w:val="70"/>
        </w:trPr>
        <w:tc>
          <w:tcPr>
            <w:tcW w:w="1522" w:type="pct"/>
            <w:vAlign w:val="center"/>
          </w:tcPr>
          <w:p w14:paraId="70D34571" w14:textId="77777777" w:rsidR="009515BC" w:rsidRPr="00F00EB0" w:rsidRDefault="009515BC" w:rsidP="0021593D">
            <w:pPr>
              <w:tabs>
                <w:tab w:val="left" w:pos="993"/>
              </w:tabs>
              <w:ind w:firstLine="0"/>
              <w:contextualSpacing/>
              <w:jc w:val="left"/>
              <w:rPr>
                <w:rFonts w:eastAsia="Times New Roman" w:cs="Times New Roman"/>
                <w:bCs/>
                <w:color w:val="000000" w:themeColor="text1"/>
                <w:sz w:val="24"/>
                <w:szCs w:val="24"/>
                <w:lang w:val="uk-UA" w:eastAsia="ru-RU"/>
              </w:rPr>
            </w:pPr>
            <w:r w:rsidRPr="00F00EB0">
              <w:rPr>
                <w:rFonts w:eastAsia="Times New Roman" w:cs="Times New Roman"/>
                <w:color w:val="000000" w:themeColor="text1"/>
                <w:sz w:val="24"/>
                <w:szCs w:val="24"/>
                <w:lang w:val="uk-UA" w:eastAsia="ru-RU"/>
              </w:rPr>
              <w:t>Н1, млрд грн</w:t>
            </w:r>
          </w:p>
        </w:tc>
        <w:tc>
          <w:tcPr>
            <w:tcW w:w="489" w:type="pct"/>
            <w:vAlign w:val="center"/>
          </w:tcPr>
          <w:p w14:paraId="741BE3ED"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25552</w:t>
            </w:r>
          </w:p>
        </w:tc>
        <w:tc>
          <w:tcPr>
            <w:tcW w:w="490" w:type="pct"/>
            <w:vAlign w:val="center"/>
          </w:tcPr>
          <w:p w14:paraId="6D04003E"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11562</w:t>
            </w:r>
          </w:p>
        </w:tc>
        <w:tc>
          <w:tcPr>
            <w:tcW w:w="532" w:type="pct"/>
            <w:vAlign w:val="center"/>
          </w:tcPr>
          <w:p w14:paraId="4D8A422F"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17569 </w:t>
            </w:r>
          </w:p>
        </w:tc>
        <w:tc>
          <w:tcPr>
            <w:tcW w:w="390" w:type="pct"/>
            <w:vAlign w:val="center"/>
          </w:tcPr>
          <w:p w14:paraId="4C19E20F"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19556</w:t>
            </w:r>
          </w:p>
        </w:tc>
        <w:tc>
          <w:tcPr>
            <w:tcW w:w="390" w:type="pct"/>
            <w:vAlign w:val="center"/>
          </w:tcPr>
          <w:p w14:paraId="18024340"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19224</w:t>
            </w:r>
          </w:p>
        </w:tc>
        <w:tc>
          <w:tcPr>
            <w:tcW w:w="394" w:type="pct"/>
            <w:vAlign w:val="center"/>
          </w:tcPr>
          <w:p w14:paraId="29DAB403"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35257</w:t>
            </w:r>
          </w:p>
        </w:tc>
        <w:tc>
          <w:tcPr>
            <w:tcW w:w="399" w:type="pct"/>
            <w:vAlign w:val="center"/>
          </w:tcPr>
          <w:p w14:paraId="46388EB0"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40843</w:t>
            </w:r>
          </w:p>
        </w:tc>
        <w:tc>
          <w:tcPr>
            <w:tcW w:w="394" w:type="pct"/>
            <w:vAlign w:val="center"/>
          </w:tcPr>
          <w:p w14:paraId="02C6C73D"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54539</w:t>
            </w:r>
          </w:p>
        </w:tc>
      </w:tr>
      <w:tr w:rsidR="009515BC" w:rsidRPr="00F00EB0" w14:paraId="222750C9" w14:textId="77777777" w:rsidTr="0021593D">
        <w:trPr>
          <w:trHeight w:val="70"/>
        </w:trPr>
        <w:tc>
          <w:tcPr>
            <w:tcW w:w="1522" w:type="pct"/>
            <w:vAlign w:val="center"/>
          </w:tcPr>
          <w:p w14:paraId="18717397" w14:textId="77777777" w:rsidR="009515BC" w:rsidRPr="00F00EB0" w:rsidRDefault="009515BC" w:rsidP="0021593D">
            <w:pPr>
              <w:tabs>
                <w:tab w:val="left" w:pos="993"/>
              </w:tabs>
              <w:ind w:firstLine="0"/>
              <w:contextualSpacing/>
              <w:rPr>
                <w:rFonts w:eastAsia="Times New Roman" w:cs="Times New Roman"/>
                <w:bCs/>
                <w:color w:val="000000" w:themeColor="text1"/>
                <w:sz w:val="24"/>
                <w:szCs w:val="24"/>
                <w:lang w:val="uk-UA" w:eastAsia="ru-RU"/>
              </w:rPr>
            </w:pPr>
            <w:r w:rsidRPr="00F00EB0">
              <w:rPr>
                <w:rFonts w:eastAsia="Times New Roman" w:cs="Times New Roman"/>
                <w:color w:val="000000" w:themeColor="text1"/>
                <w:sz w:val="24"/>
                <w:szCs w:val="24"/>
                <w:lang w:val="uk-UA" w:eastAsia="ru-RU"/>
              </w:rPr>
              <w:t>Н2 (≥10 %)</w:t>
            </w:r>
          </w:p>
        </w:tc>
        <w:tc>
          <w:tcPr>
            <w:tcW w:w="489" w:type="pct"/>
            <w:vAlign w:val="center"/>
          </w:tcPr>
          <w:p w14:paraId="536C2260"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10,7</w:t>
            </w:r>
          </w:p>
        </w:tc>
        <w:tc>
          <w:tcPr>
            <w:tcW w:w="490" w:type="pct"/>
            <w:vAlign w:val="center"/>
          </w:tcPr>
          <w:p w14:paraId="766F9164"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1,55</w:t>
            </w:r>
          </w:p>
        </w:tc>
        <w:tc>
          <w:tcPr>
            <w:tcW w:w="532" w:type="pct"/>
            <w:vAlign w:val="center"/>
          </w:tcPr>
          <w:p w14:paraId="3129A556"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10,43</w:t>
            </w:r>
          </w:p>
        </w:tc>
        <w:tc>
          <w:tcPr>
            <w:tcW w:w="390" w:type="pct"/>
            <w:vAlign w:val="center"/>
          </w:tcPr>
          <w:p w14:paraId="25B89F66"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17,46</w:t>
            </w:r>
          </w:p>
        </w:tc>
        <w:tc>
          <w:tcPr>
            <w:tcW w:w="390" w:type="pct"/>
            <w:vAlign w:val="center"/>
          </w:tcPr>
          <w:p w14:paraId="36C7C6A6"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14,15</w:t>
            </w:r>
          </w:p>
        </w:tc>
        <w:tc>
          <w:tcPr>
            <w:tcW w:w="394" w:type="pct"/>
            <w:vAlign w:val="center"/>
          </w:tcPr>
          <w:p w14:paraId="291CA9CB"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28,09</w:t>
            </w:r>
          </w:p>
        </w:tc>
        <w:tc>
          <w:tcPr>
            <w:tcW w:w="399" w:type="pct"/>
            <w:vAlign w:val="center"/>
          </w:tcPr>
          <w:p w14:paraId="4BAAA245"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18,33</w:t>
            </w:r>
          </w:p>
        </w:tc>
        <w:tc>
          <w:tcPr>
            <w:tcW w:w="394" w:type="pct"/>
            <w:vAlign w:val="center"/>
          </w:tcPr>
          <w:p w14:paraId="6C1FFC84"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eastAsia="Times New Roman" w:cs="Times New Roman"/>
                <w:color w:val="000000" w:themeColor="text1"/>
                <w:sz w:val="24"/>
                <w:szCs w:val="24"/>
                <w:lang w:val="uk-UA"/>
              </w:rPr>
              <w:t>22,93</w:t>
            </w:r>
          </w:p>
        </w:tc>
      </w:tr>
      <w:tr w:rsidR="009515BC" w:rsidRPr="00F00EB0" w14:paraId="155E24D0" w14:textId="77777777" w:rsidTr="0021593D">
        <w:trPr>
          <w:trHeight w:val="70"/>
        </w:trPr>
        <w:tc>
          <w:tcPr>
            <w:tcW w:w="1522" w:type="pct"/>
            <w:vAlign w:val="center"/>
          </w:tcPr>
          <w:p w14:paraId="5952FA2C" w14:textId="77777777" w:rsidR="009515BC" w:rsidRPr="00F00EB0" w:rsidRDefault="009515BC" w:rsidP="0021593D">
            <w:pPr>
              <w:tabs>
                <w:tab w:val="left" w:pos="993"/>
              </w:tabs>
              <w:ind w:firstLine="0"/>
              <w:contextualSpacing/>
              <w:rPr>
                <w:rFonts w:eastAsia="Times New Roman" w:cs="Times New Roman"/>
                <w:bCs/>
                <w:color w:val="000000" w:themeColor="text1"/>
                <w:sz w:val="24"/>
                <w:szCs w:val="24"/>
                <w:lang w:val="uk-UA" w:eastAsia="ru-RU"/>
              </w:rPr>
            </w:pPr>
            <w:r w:rsidRPr="00F00EB0">
              <w:rPr>
                <w:rFonts w:eastAsia="Times New Roman" w:cs="Times New Roman"/>
                <w:color w:val="000000" w:themeColor="text1"/>
                <w:sz w:val="24"/>
                <w:szCs w:val="24"/>
                <w:lang w:val="uk-UA" w:eastAsia="ru-RU"/>
              </w:rPr>
              <w:t>НЗ  (≥7%)</w:t>
            </w:r>
          </w:p>
        </w:tc>
        <w:tc>
          <w:tcPr>
            <w:tcW w:w="489" w:type="pct"/>
            <w:vAlign w:val="center"/>
          </w:tcPr>
          <w:p w14:paraId="5F544AF1" w14:textId="77777777" w:rsidR="009515BC" w:rsidRPr="00F00EB0" w:rsidRDefault="009515BC" w:rsidP="0021593D">
            <w:pPr>
              <w:ind w:firstLine="0"/>
              <w:jc w:val="center"/>
              <w:rPr>
                <w:rFonts w:cs="Times New Roman"/>
                <w:color w:val="000000" w:themeColor="text1"/>
                <w:lang w:val="uk-UA"/>
              </w:rPr>
            </w:pPr>
            <w:r w:rsidRPr="00F00EB0">
              <w:rPr>
                <w:rFonts w:cs="Times New Roman"/>
                <w:color w:val="000000" w:themeColor="text1"/>
                <w:sz w:val="24"/>
                <w:szCs w:val="24"/>
                <w:lang w:val="uk-UA"/>
              </w:rPr>
              <w:t>…</w:t>
            </w:r>
          </w:p>
        </w:tc>
        <w:tc>
          <w:tcPr>
            <w:tcW w:w="490" w:type="pct"/>
            <w:vAlign w:val="center"/>
          </w:tcPr>
          <w:p w14:paraId="3FCBDB0A" w14:textId="77777777" w:rsidR="009515BC" w:rsidRPr="00F00EB0" w:rsidRDefault="009515BC" w:rsidP="0021593D">
            <w:pPr>
              <w:ind w:firstLine="0"/>
              <w:jc w:val="center"/>
              <w:rPr>
                <w:rFonts w:cs="Times New Roman"/>
                <w:color w:val="000000" w:themeColor="text1"/>
                <w:lang w:val="uk-UA"/>
              </w:rPr>
            </w:pPr>
            <w:r w:rsidRPr="00F00EB0">
              <w:rPr>
                <w:rFonts w:cs="Times New Roman"/>
                <w:color w:val="000000" w:themeColor="text1"/>
                <w:sz w:val="24"/>
                <w:szCs w:val="24"/>
                <w:lang w:val="uk-UA"/>
              </w:rPr>
              <w:t>…</w:t>
            </w:r>
          </w:p>
        </w:tc>
        <w:tc>
          <w:tcPr>
            <w:tcW w:w="532" w:type="pct"/>
            <w:vAlign w:val="center"/>
          </w:tcPr>
          <w:p w14:paraId="0A9EE029" w14:textId="77777777" w:rsidR="009515BC" w:rsidRPr="00F00EB0" w:rsidRDefault="009515BC" w:rsidP="0021593D">
            <w:pPr>
              <w:ind w:firstLine="0"/>
              <w:jc w:val="center"/>
              <w:rPr>
                <w:rFonts w:cs="Times New Roman"/>
                <w:color w:val="000000" w:themeColor="text1"/>
                <w:lang w:val="uk-UA"/>
              </w:rPr>
            </w:pPr>
            <w:r w:rsidRPr="00F00EB0">
              <w:rPr>
                <w:rFonts w:cs="Times New Roman"/>
                <w:color w:val="000000" w:themeColor="text1"/>
                <w:sz w:val="24"/>
                <w:szCs w:val="24"/>
                <w:lang w:val="uk-UA"/>
              </w:rPr>
              <w:t>…</w:t>
            </w:r>
          </w:p>
        </w:tc>
        <w:tc>
          <w:tcPr>
            <w:tcW w:w="390" w:type="pct"/>
            <w:vAlign w:val="center"/>
          </w:tcPr>
          <w:p w14:paraId="0C0A29FD" w14:textId="77777777" w:rsidR="009515BC" w:rsidRPr="00F00EB0" w:rsidRDefault="009515BC" w:rsidP="0021593D">
            <w:pPr>
              <w:ind w:firstLine="0"/>
              <w:jc w:val="center"/>
              <w:rPr>
                <w:rFonts w:cs="Times New Roman"/>
                <w:color w:val="000000" w:themeColor="text1"/>
                <w:lang w:val="uk-UA"/>
              </w:rPr>
            </w:pPr>
            <w:r w:rsidRPr="00F00EB0">
              <w:rPr>
                <w:rFonts w:cs="Times New Roman"/>
                <w:color w:val="000000" w:themeColor="text1"/>
                <w:sz w:val="24"/>
                <w:szCs w:val="24"/>
                <w:lang w:val="uk-UA"/>
              </w:rPr>
              <w:t>…</w:t>
            </w:r>
          </w:p>
        </w:tc>
        <w:tc>
          <w:tcPr>
            <w:tcW w:w="390" w:type="pct"/>
            <w:vAlign w:val="center"/>
          </w:tcPr>
          <w:p w14:paraId="7CF97F03"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7,13</w:t>
            </w:r>
          </w:p>
        </w:tc>
        <w:tc>
          <w:tcPr>
            <w:tcW w:w="394" w:type="pct"/>
            <w:vAlign w:val="center"/>
          </w:tcPr>
          <w:p w14:paraId="0A8A8776"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14,06</w:t>
            </w:r>
          </w:p>
        </w:tc>
        <w:tc>
          <w:tcPr>
            <w:tcW w:w="399" w:type="pct"/>
            <w:vAlign w:val="center"/>
          </w:tcPr>
          <w:p w14:paraId="7F7B6699"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9,17</w:t>
            </w:r>
          </w:p>
        </w:tc>
        <w:tc>
          <w:tcPr>
            <w:tcW w:w="394" w:type="pct"/>
            <w:vAlign w:val="center"/>
          </w:tcPr>
          <w:p w14:paraId="3C1BE648"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eastAsia="Times New Roman" w:cs="Times New Roman"/>
                <w:color w:val="000000" w:themeColor="text1"/>
                <w:sz w:val="24"/>
                <w:szCs w:val="24"/>
                <w:lang w:val="uk-UA"/>
              </w:rPr>
              <w:t>11,47</w:t>
            </w:r>
          </w:p>
        </w:tc>
      </w:tr>
      <w:tr w:rsidR="009515BC" w:rsidRPr="00F00EB0" w14:paraId="3CC949E5" w14:textId="77777777" w:rsidTr="0021593D">
        <w:trPr>
          <w:trHeight w:val="70"/>
        </w:trPr>
        <w:tc>
          <w:tcPr>
            <w:tcW w:w="4606" w:type="pct"/>
            <w:gridSpan w:val="8"/>
            <w:vAlign w:val="center"/>
          </w:tcPr>
          <w:p w14:paraId="57B6EC12" w14:textId="77777777" w:rsidR="009515BC" w:rsidRPr="00F00EB0" w:rsidRDefault="009515BC" w:rsidP="0021593D">
            <w:pPr>
              <w:tabs>
                <w:tab w:val="left" w:pos="993"/>
              </w:tabs>
              <w:contextualSpacing/>
              <w:jc w:val="center"/>
              <w:rPr>
                <w:rFonts w:eastAsia="Times New Roman" w:cs="Times New Roman"/>
                <w:bCs/>
                <w:color w:val="000000" w:themeColor="text1"/>
                <w:sz w:val="24"/>
                <w:szCs w:val="24"/>
                <w:lang w:val="uk-UA" w:eastAsia="ru-RU"/>
              </w:rPr>
            </w:pPr>
            <w:r w:rsidRPr="00F00EB0">
              <w:rPr>
                <w:rFonts w:cs="Times New Roman"/>
                <w:color w:val="000000" w:themeColor="text1"/>
                <w:sz w:val="24"/>
                <w:szCs w:val="24"/>
                <w:lang w:val="uk-UA"/>
              </w:rPr>
              <w:t xml:space="preserve">Коефіцієнти </w:t>
            </w:r>
            <w:r w:rsidRPr="00F00EB0">
              <w:rPr>
                <w:rFonts w:eastAsia="Times New Roman" w:cs="Times New Roman"/>
                <w:bCs/>
                <w:color w:val="000000" w:themeColor="text1"/>
                <w:sz w:val="24"/>
                <w:szCs w:val="24"/>
                <w:lang w:val="uk-UA" w:eastAsia="ru-RU"/>
              </w:rPr>
              <w:t>капіталізації</w:t>
            </w:r>
          </w:p>
        </w:tc>
        <w:tc>
          <w:tcPr>
            <w:tcW w:w="394" w:type="pct"/>
            <w:vAlign w:val="center"/>
          </w:tcPr>
          <w:p w14:paraId="1F8B4456" w14:textId="77777777" w:rsidR="009515BC" w:rsidRPr="00F00EB0" w:rsidRDefault="009515BC" w:rsidP="0021593D">
            <w:pPr>
              <w:tabs>
                <w:tab w:val="left" w:pos="993"/>
              </w:tabs>
              <w:contextualSpacing/>
              <w:jc w:val="center"/>
              <w:rPr>
                <w:rFonts w:cs="Times New Roman"/>
                <w:color w:val="000000" w:themeColor="text1"/>
                <w:sz w:val="24"/>
                <w:szCs w:val="24"/>
                <w:lang w:val="uk-UA"/>
              </w:rPr>
            </w:pPr>
          </w:p>
        </w:tc>
      </w:tr>
      <w:tr w:rsidR="009515BC" w:rsidRPr="00F00EB0" w14:paraId="132AC53E" w14:textId="77777777" w:rsidTr="0021593D">
        <w:trPr>
          <w:trHeight w:val="70"/>
        </w:trPr>
        <w:tc>
          <w:tcPr>
            <w:tcW w:w="1522" w:type="pct"/>
            <w:vAlign w:val="bottom"/>
            <w:hideMark/>
          </w:tcPr>
          <w:p w14:paraId="1124A7F1" w14:textId="77777777" w:rsidR="009515BC" w:rsidRPr="00F00EB0" w:rsidRDefault="009515BC" w:rsidP="0021593D">
            <w:pPr>
              <w:tabs>
                <w:tab w:val="left" w:pos="993"/>
              </w:tabs>
              <w:ind w:firstLine="0"/>
              <w:contextualSpacing/>
              <w:rPr>
                <w:rFonts w:eastAsia="Times New Roman" w:cs="Times New Roman"/>
                <w:color w:val="000000" w:themeColor="text1"/>
                <w:sz w:val="24"/>
                <w:szCs w:val="24"/>
                <w:lang w:val="uk-UA" w:eastAsia="ru-RU"/>
              </w:rPr>
            </w:pPr>
            <w:r w:rsidRPr="00F00EB0">
              <w:rPr>
                <w:rFonts w:cs="Times New Roman"/>
                <w:color w:val="000000" w:themeColor="text1"/>
                <w:sz w:val="24"/>
                <w:szCs w:val="24"/>
                <w:lang w:val="uk-UA"/>
              </w:rPr>
              <w:t xml:space="preserve">Коефіцієнт надійності, % </w:t>
            </w:r>
          </w:p>
        </w:tc>
        <w:tc>
          <w:tcPr>
            <w:tcW w:w="489" w:type="pct"/>
            <w:vAlign w:val="center"/>
          </w:tcPr>
          <w:p w14:paraId="464B828C"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0,1181</w:t>
            </w:r>
          </w:p>
        </w:tc>
        <w:tc>
          <w:tcPr>
            <w:tcW w:w="490" w:type="pct"/>
            <w:vAlign w:val="center"/>
          </w:tcPr>
          <w:p w14:paraId="59DBFEF6"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-0,00043</w:t>
            </w:r>
          </w:p>
        </w:tc>
        <w:tc>
          <w:tcPr>
            <w:tcW w:w="532" w:type="pct"/>
            <w:vAlign w:val="center"/>
          </w:tcPr>
          <w:p w14:paraId="67D115DB"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0,1078</w:t>
            </w:r>
          </w:p>
        </w:tc>
        <w:tc>
          <w:tcPr>
            <w:tcW w:w="390" w:type="pct"/>
            <w:vAlign w:val="center"/>
          </w:tcPr>
          <w:p w14:paraId="5B406160"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0,1256</w:t>
            </w:r>
          </w:p>
        </w:tc>
        <w:tc>
          <w:tcPr>
            <w:tcW w:w="390" w:type="pct"/>
            <w:vAlign w:val="center"/>
          </w:tcPr>
          <w:p w14:paraId="4FE49284"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0,2101</w:t>
            </w:r>
          </w:p>
        </w:tc>
        <w:tc>
          <w:tcPr>
            <w:tcW w:w="394" w:type="pct"/>
            <w:vAlign w:val="center"/>
          </w:tcPr>
          <w:p w14:paraId="0ED5A859"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0,1652</w:t>
            </w:r>
          </w:p>
        </w:tc>
        <w:tc>
          <w:tcPr>
            <w:tcW w:w="399" w:type="pct"/>
            <w:vAlign w:val="center"/>
          </w:tcPr>
          <w:p w14:paraId="35A8225E"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0,2668</w:t>
            </w:r>
          </w:p>
        </w:tc>
        <w:tc>
          <w:tcPr>
            <w:tcW w:w="394" w:type="pct"/>
            <w:vAlign w:val="center"/>
          </w:tcPr>
          <w:p w14:paraId="0E3B474B"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0,1178</w:t>
            </w:r>
          </w:p>
        </w:tc>
      </w:tr>
      <w:tr w:rsidR="009515BC" w:rsidRPr="00F00EB0" w14:paraId="7A993410" w14:textId="77777777" w:rsidTr="0021593D">
        <w:trPr>
          <w:trHeight w:val="70"/>
        </w:trPr>
        <w:tc>
          <w:tcPr>
            <w:tcW w:w="1522" w:type="pct"/>
            <w:vAlign w:val="bottom"/>
            <w:hideMark/>
          </w:tcPr>
          <w:p w14:paraId="6ADD8974" w14:textId="77777777" w:rsidR="009515BC" w:rsidRPr="00F00EB0" w:rsidRDefault="009515BC" w:rsidP="0021593D">
            <w:pPr>
              <w:tabs>
                <w:tab w:val="left" w:pos="993"/>
              </w:tabs>
              <w:ind w:firstLine="0"/>
              <w:contextualSpacing/>
              <w:rPr>
                <w:rFonts w:eastAsia="Times New Roman" w:cs="Times New Roman"/>
                <w:color w:val="000000" w:themeColor="text1"/>
                <w:sz w:val="24"/>
                <w:szCs w:val="24"/>
                <w:lang w:val="uk-UA" w:eastAsia="ru-RU"/>
              </w:rPr>
            </w:pPr>
            <w:r w:rsidRPr="00F00EB0">
              <w:rPr>
                <w:rFonts w:cs="Times New Roman"/>
                <w:color w:val="000000" w:themeColor="text1"/>
                <w:sz w:val="24"/>
                <w:szCs w:val="24"/>
                <w:lang w:val="uk-UA"/>
              </w:rPr>
              <w:t xml:space="preserve">Фінансовий леверидж </w:t>
            </w:r>
          </w:p>
        </w:tc>
        <w:tc>
          <w:tcPr>
            <w:tcW w:w="489" w:type="pct"/>
            <w:vAlign w:val="center"/>
          </w:tcPr>
          <w:p w14:paraId="4FEF0E3E"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8,47</w:t>
            </w:r>
          </w:p>
        </w:tc>
        <w:tc>
          <w:tcPr>
            <w:tcW w:w="490" w:type="pct"/>
            <w:vAlign w:val="center"/>
            <w:hideMark/>
          </w:tcPr>
          <w:p w14:paraId="210237F8"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w:t>
            </w:r>
          </w:p>
        </w:tc>
        <w:tc>
          <w:tcPr>
            <w:tcW w:w="532" w:type="pct"/>
            <w:vAlign w:val="center"/>
          </w:tcPr>
          <w:p w14:paraId="6D29D798"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9,28</w:t>
            </w:r>
          </w:p>
        </w:tc>
        <w:tc>
          <w:tcPr>
            <w:tcW w:w="390" w:type="pct"/>
            <w:vAlign w:val="center"/>
            <w:hideMark/>
          </w:tcPr>
          <w:p w14:paraId="7940CC64"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7,96</w:t>
            </w:r>
          </w:p>
        </w:tc>
        <w:tc>
          <w:tcPr>
            <w:tcW w:w="390" w:type="pct"/>
            <w:vAlign w:val="center"/>
          </w:tcPr>
          <w:p w14:paraId="45EE0101"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4,76</w:t>
            </w:r>
          </w:p>
        </w:tc>
        <w:tc>
          <w:tcPr>
            <w:tcW w:w="394" w:type="pct"/>
            <w:vAlign w:val="center"/>
          </w:tcPr>
          <w:p w14:paraId="56A953C3"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6,05</w:t>
            </w:r>
          </w:p>
        </w:tc>
        <w:tc>
          <w:tcPr>
            <w:tcW w:w="399" w:type="pct"/>
            <w:vAlign w:val="center"/>
          </w:tcPr>
          <w:p w14:paraId="38FF35DC"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3,75</w:t>
            </w:r>
          </w:p>
        </w:tc>
        <w:tc>
          <w:tcPr>
            <w:tcW w:w="394" w:type="pct"/>
            <w:vAlign w:val="center"/>
          </w:tcPr>
          <w:p w14:paraId="31C2007B"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8,49</w:t>
            </w:r>
          </w:p>
        </w:tc>
      </w:tr>
      <w:tr w:rsidR="009515BC" w:rsidRPr="00F00EB0" w14:paraId="498436EB" w14:textId="77777777" w:rsidTr="0021593D">
        <w:trPr>
          <w:trHeight w:val="70"/>
        </w:trPr>
        <w:tc>
          <w:tcPr>
            <w:tcW w:w="1522" w:type="pct"/>
            <w:vAlign w:val="bottom"/>
            <w:hideMark/>
          </w:tcPr>
          <w:p w14:paraId="626F51A8" w14:textId="77777777" w:rsidR="009515BC" w:rsidRPr="00F00EB0" w:rsidRDefault="009515BC" w:rsidP="0021593D">
            <w:pPr>
              <w:tabs>
                <w:tab w:val="left" w:pos="993"/>
              </w:tabs>
              <w:ind w:firstLine="0"/>
              <w:contextualSpacing/>
              <w:rPr>
                <w:rFonts w:eastAsia="Times New Roman" w:cs="Times New Roman"/>
                <w:color w:val="000000" w:themeColor="text1"/>
                <w:sz w:val="24"/>
                <w:szCs w:val="24"/>
                <w:lang w:val="uk-UA" w:eastAsia="ru-RU"/>
              </w:rPr>
            </w:pPr>
            <w:r w:rsidRPr="00F00EB0">
              <w:rPr>
                <w:rFonts w:cs="Times New Roman"/>
                <w:color w:val="000000" w:themeColor="text1"/>
                <w:sz w:val="24"/>
                <w:szCs w:val="24"/>
                <w:lang w:val="uk-UA"/>
              </w:rPr>
              <w:t xml:space="preserve">Коефіцієнт участі капіталу у формуванні активів, % </w:t>
            </w:r>
          </w:p>
        </w:tc>
        <w:tc>
          <w:tcPr>
            <w:tcW w:w="489" w:type="pct"/>
            <w:vAlign w:val="center"/>
          </w:tcPr>
          <w:p w14:paraId="639C8002"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0,1056</w:t>
            </w:r>
          </w:p>
        </w:tc>
        <w:tc>
          <w:tcPr>
            <w:tcW w:w="490" w:type="pct"/>
            <w:vAlign w:val="center"/>
            <w:hideMark/>
          </w:tcPr>
          <w:p w14:paraId="05E7AEBD"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-0,00043</w:t>
            </w:r>
          </w:p>
        </w:tc>
        <w:tc>
          <w:tcPr>
            <w:tcW w:w="532" w:type="pct"/>
            <w:vAlign w:val="center"/>
          </w:tcPr>
          <w:p w14:paraId="24272C41"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1,0000</w:t>
            </w:r>
          </w:p>
        </w:tc>
        <w:tc>
          <w:tcPr>
            <w:tcW w:w="390" w:type="pct"/>
            <w:vAlign w:val="center"/>
            <w:hideMark/>
          </w:tcPr>
          <w:p w14:paraId="0DD977CF"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0,1116</w:t>
            </w:r>
          </w:p>
        </w:tc>
        <w:tc>
          <w:tcPr>
            <w:tcW w:w="390" w:type="pct"/>
            <w:vAlign w:val="center"/>
          </w:tcPr>
          <w:p w14:paraId="6AD5EA88"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0,1736</w:t>
            </w:r>
          </w:p>
        </w:tc>
        <w:tc>
          <w:tcPr>
            <w:tcW w:w="394" w:type="pct"/>
            <w:vAlign w:val="center"/>
          </w:tcPr>
          <w:p w14:paraId="2B93554C"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0,1418</w:t>
            </w:r>
          </w:p>
        </w:tc>
        <w:tc>
          <w:tcPr>
            <w:tcW w:w="399" w:type="pct"/>
            <w:vAlign w:val="center"/>
          </w:tcPr>
          <w:p w14:paraId="4E3C220B"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0,1143</w:t>
            </w:r>
          </w:p>
        </w:tc>
        <w:tc>
          <w:tcPr>
            <w:tcW w:w="394" w:type="pct"/>
            <w:vAlign w:val="center"/>
          </w:tcPr>
          <w:p w14:paraId="73F2ED3D"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0,0786</w:t>
            </w:r>
          </w:p>
        </w:tc>
      </w:tr>
      <w:tr w:rsidR="009515BC" w:rsidRPr="00F00EB0" w14:paraId="6CF3A300" w14:textId="77777777" w:rsidTr="0021593D">
        <w:trPr>
          <w:trHeight w:val="70"/>
        </w:trPr>
        <w:tc>
          <w:tcPr>
            <w:tcW w:w="1522" w:type="pct"/>
            <w:vAlign w:val="bottom"/>
            <w:hideMark/>
          </w:tcPr>
          <w:p w14:paraId="703BB5A7" w14:textId="77777777" w:rsidR="009515BC" w:rsidRPr="00F00EB0" w:rsidRDefault="009515BC" w:rsidP="0021593D">
            <w:pPr>
              <w:tabs>
                <w:tab w:val="left" w:pos="993"/>
              </w:tabs>
              <w:ind w:firstLine="0"/>
              <w:contextualSpacing/>
              <w:rPr>
                <w:rFonts w:eastAsia="Times New Roman" w:cs="Times New Roman"/>
                <w:color w:val="000000" w:themeColor="text1"/>
                <w:sz w:val="24"/>
                <w:szCs w:val="24"/>
                <w:lang w:val="uk-UA" w:eastAsia="ru-RU"/>
              </w:rPr>
            </w:pPr>
            <w:r w:rsidRPr="00F00EB0">
              <w:rPr>
                <w:rFonts w:cs="Times New Roman"/>
                <w:color w:val="000000" w:themeColor="text1"/>
                <w:sz w:val="24"/>
                <w:szCs w:val="24"/>
                <w:lang w:val="uk-UA"/>
              </w:rPr>
              <w:t xml:space="preserve">Мультиплікатор капіталу </w:t>
            </w:r>
          </w:p>
        </w:tc>
        <w:tc>
          <w:tcPr>
            <w:tcW w:w="489" w:type="pct"/>
            <w:vAlign w:val="center"/>
          </w:tcPr>
          <w:p w14:paraId="3DB4B12B"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9,47</w:t>
            </w:r>
          </w:p>
        </w:tc>
        <w:tc>
          <w:tcPr>
            <w:tcW w:w="490" w:type="pct"/>
            <w:vAlign w:val="center"/>
            <w:hideMark/>
          </w:tcPr>
          <w:p w14:paraId="57FD8EDE"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-232,63</w:t>
            </w:r>
          </w:p>
        </w:tc>
        <w:tc>
          <w:tcPr>
            <w:tcW w:w="532" w:type="pct"/>
            <w:vAlign w:val="center"/>
          </w:tcPr>
          <w:p w14:paraId="355EC918"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1,00</w:t>
            </w:r>
          </w:p>
        </w:tc>
        <w:tc>
          <w:tcPr>
            <w:tcW w:w="390" w:type="pct"/>
            <w:vAlign w:val="center"/>
            <w:hideMark/>
          </w:tcPr>
          <w:p w14:paraId="10556D85"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8,96</w:t>
            </w:r>
          </w:p>
        </w:tc>
        <w:tc>
          <w:tcPr>
            <w:tcW w:w="390" w:type="pct"/>
            <w:vAlign w:val="center"/>
          </w:tcPr>
          <w:p w14:paraId="38574BF4"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5,76</w:t>
            </w:r>
          </w:p>
        </w:tc>
        <w:tc>
          <w:tcPr>
            <w:tcW w:w="394" w:type="pct"/>
            <w:vAlign w:val="center"/>
          </w:tcPr>
          <w:p w14:paraId="080991CE"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7,05</w:t>
            </w:r>
          </w:p>
        </w:tc>
        <w:tc>
          <w:tcPr>
            <w:tcW w:w="399" w:type="pct"/>
            <w:vAlign w:val="center"/>
          </w:tcPr>
          <w:p w14:paraId="722B4E38"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8,75</w:t>
            </w:r>
          </w:p>
        </w:tc>
        <w:tc>
          <w:tcPr>
            <w:tcW w:w="394" w:type="pct"/>
            <w:vAlign w:val="center"/>
          </w:tcPr>
          <w:p w14:paraId="0264B801" w14:textId="77777777" w:rsidR="009515BC" w:rsidRPr="00F00EB0" w:rsidRDefault="009515BC" w:rsidP="0021593D">
            <w:pPr>
              <w:ind w:left="-113" w:right="-113" w:firstLine="0"/>
              <w:jc w:val="right"/>
              <w:rPr>
                <w:rFonts w:cs="Times New Roman"/>
                <w:color w:val="000000" w:themeColor="text1"/>
                <w:sz w:val="24"/>
                <w:szCs w:val="24"/>
                <w:lang w:val="uk-UA"/>
              </w:rPr>
            </w:pPr>
            <w:r w:rsidRPr="00F00EB0">
              <w:rPr>
                <w:rFonts w:cs="Times New Roman"/>
                <w:color w:val="000000" w:themeColor="text1"/>
                <w:sz w:val="24"/>
                <w:szCs w:val="24"/>
                <w:lang w:val="uk-UA"/>
              </w:rPr>
              <w:t>12,73</w:t>
            </w:r>
          </w:p>
        </w:tc>
      </w:tr>
    </w:tbl>
    <w:p w14:paraId="59C13063" w14:textId="77777777" w:rsidR="009515BC" w:rsidRPr="00F00EB0" w:rsidRDefault="009515BC" w:rsidP="009515B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ab/>
      </w:r>
    </w:p>
    <w:p w14:paraId="636A1A68" w14:textId="77777777" w:rsidR="009515BC" w:rsidRPr="00F00EB0" w:rsidRDefault="009515BC" w:rsidP="009515BC">
      <w:pPr>
        <w:shd w:val="clear" w:color="auto" w:fill="FFFFFF"/>
        <w:spacing w:after="0" w:line="360" w:lineRule="auto"/>
        <w:ind w:firstLine="709"/>
        <w:jc w:val="both"/>
        <w:rPr>
          <w:rFonts w:ascii="Times New Roman" w:eastAsia="Times New Roman" w:hAnsi="Times New Roman" w:cs="Times New Roman"/>
          <w:bCs/>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 xml:space="preserve">За аналізом даних щодо капіталізації банку протягом 2016-2022 рр. можна зробити висновок, що спостерігалась стала тенденція до нарощення капіталу та поліпшення всіх показників достатності. Зростання відносного рівня капіталу, зниження фінансового левериджу та покращення надійності свідчили про зміцнення ФСБ. Однак, у 2022 році, попри зростання значень економічних нормативів НБУ, додаткові коефіцієнти капіталізації знизились нижче рекомендованих значень та зросла схильність до ризиків через нарощення показників левериджу та мультиплікатора.  </w:t>
      </w:r>
    </w:p>
    <w:p w14:paraId="7883FCD1" w14:textId="77777777" w:rsidR="009515BC" w:rsidRPr="00F00EB0" w:rsidRDefault="009515BC" w:rsidP="009515B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У 2021 році НБУ провів реверсивне стрес-тестування та сценарний аналіз (табл. 2.4).</w:t>
      </w:r>
    </w:p>
    <w:p w14:paraId="7A86D37C" w14:textId="77777777" w:rsidR="009515BC" w:rsidRPr="00F00EB0" w:rsidRDefault="009515BC" w:rsidP="009515B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 xml:space="preserve">Таблиця 2.4 – Результати реверсивного стрес-тестування достатності капіталу </w:t>
      </w:r>
      <w:r w:rsidRPr="00F00EB0">
        <w:rPr>
          <w:rFonts w:ascii="Times New Roman" w:eastAsia="Times New Roman" w:hAnsi="Times New Roman" w:cs="Times New Roman"/>
          <w:bCs/>
          <w:color w:val="000000" w:themeColor="text1"/>
          <w:sz w:val="28"/>
          <w:szCs w:val="28"/>
          <w:lang w:val="uk-UA"/>
        </w:rPr>
        <w:t>АТ КБ «ПриватБанк», проведеного НБУ у 2021 році [64]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4A0" w:firstRow="1" w:lastRow="0" w:firstColumn="1" w:lastColumn="0" w:noHBand="0" w:noVBand="1"/>
      </w:tblPr>
      <w:tblGrid>
        <w:gridCol w:w="2974"/>
        <w:gridCol w:w="1272"/>
        <w:gridCol w:w="1275"/>
        <w:gridCol w:w="706"/>
        <w:gridCol w:w="708"/>
        <w:gridCol w:w="708"/>
        <w:gridCol w:w="708"/>
        <w:gridCol w:w="708"/>
        <w:gridCol w:w="852"/>
      </w:tblGrid>
      <w:tr w:rsidR="009515BC" w:rsidRPr="00F00EB0" w14:paraId="1CCA3256" w14:textId="77777777" w:rsidTr="0021593D">
        <w:trPr>
          <w:trHeight w:val="300"/>
        </w:trPr>
        <w:tc>
          <w:tcPr>
            <w:tcW w:w="1501" w:type="pct"/>
            <w:vMerge w:val="restart"/>
            <w:shd w:val="clear" w:color="auto" w:fill="FFFFFF" w:themeFill="background1"/>
            <w:noWrap/>
            <w:vAlign w:val="center"/>
            <w:hideMark/>
          </w:tcPr>
          <w:p w14:paraId="216C3C1A" w14:textId="77777777" w:rsidR="009515BC" w:rsidRPr="00F00EB0" w:rsidRDefault="009515BC" w:rsidP="0021593D">
            <w:pPr>
              <w:spacing w:after="0" w:line="240" w:lineRule="auto"/>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Показник</w:t>
            </w:r>
          </w:p>
        </w:tc>
        <w:tc>
          <w:tcPr>
            <w:tcW w:w="1285" w:type="pct"/>
            <w:gridSpan w:val="2"/>
            <w:shd w:val="clear" w:color="auto" w:fill="FFFFFF" w:themeFill="background1"/>
            <w:vAlign w:val="center"/>
            <w:hideMark/>
          </w:tcPr>
          <w:p w14:paraId="504A7541" w14:textId="77777777" w:rsidR="009515BC" w:rsidRPr="00F00EB0" w:rsidRDefault="009515BC" w:rsidP="0021593D">
            <w:pPr>
              <w:spacing w:after="0" w:line="240" w:lineRule="auto"/>
              <w:ind w:left="-113" w:right="-113"/>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01.01.21</w:t>
            </w:r>
          </w:p>
        </w:tc>
        <w:tc>
          <w:tcPr>
            <w:tcW w:w="2214" w:type="pct"/>
            <w:gridSpan w:val="6"/>
            <w:shd w:val="clear" w:color="auto" w:fill="FFFFFF" w:themeFill="background1"/>
            <w:vAlign w:val="center"/>
            <w:hideMark/>
          </w:tcPr>
          <w:p w14:paraId="53812736" w14:textId="77777777" w:rsidR="009515BC" w:rsidRPr="00F00EB0" w:rsidRDefault="009515BC" w:rsidP="0021593D">
            <w:pPr>
              <w:spacing w:after="0" w:line="240" w:lineRule="auto"/>
              <w:ind w:left="-113" w:right="-113"/>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 xml:space="preserve">Макроекономічний сценарій </w:t>
            </w:r>
          </w:p>
        </w:tc>
      </w:tr>
      <w:tr w:rsidR="009515BC" w:rsidRPr="00F00EB0" w14:paraId="1B25ECA5" w14:textId="77777777" w:rsidTr="0021593D">
        <w:trPr>
          <w:trHeight w:val="321"/>
        </w:trPr>
        <w:tc>
          <w:tcPr>
            <w:tcW w:w="1501" w:type="pct"/>
            <w:vMerge/>
            <w:shd w:val="clear" w:color="auto" w:fill="FFFFFF" w:themeFill="background1"/>
            <w:noWrap/>
            <w:vAlign w:val="center"/>
          </w:tcPr>
          <w:p w14:paraId="13F9E06A" w14:textId="77777777" w:rsidR="009515BC" w:rsidRPr="00F00EB0" w:rsidRDefault="009515BC" w:rsidP="0021593D">
            <w:pPr>
              <w:spacing w:after="0" w:line="240" w:lineRule="auto"/>
              <w:jc w:val="center"/>
              <w:rPr>
                <w:rFonts w:ascii="Times New Roman" w:eastAsia="Times New Roman" w:hAnsi="Times New Roman" w:cs="Times New Roman"/>
                <w:bCs/>
                <w:color w:val="000000" w:themeColor="text1"/>
                <w:sz w:val="24"/>
                <w:szCs w:val="24"/>
                <w:lang w:val="uk-UA" w:eastAsia="uk-UA"/>
              </w:rPr>
            </w:pPr>
          </w:p>
        </w:tc>
        <w:tc>
          <w:tcPr>
            <w:tcW w:w="642" w:type="pct"/>
            <w:vMerge w:val="restart"/>
            <w:shd w:val="clear" w:color="auto" w:fill="FFFFFF" w:themeFill="background1"/>
            <w:vAlign w:val="center"/>
          </w:tcPr>
          <w:p w14:paraId="74230DCF" w14:textId="77777777" w:rsidR="009515BC" w:rsidRPr="00F00EB0" w:rsidRDefault="009515BC" w:rsidP="0021593D">
            <w:pPr>
              <w:spacing w:after="0" w:line="240" w:lineRule="auto"/>
              <w:ind w:left="-57" w:right="-57"/>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Значення</w:t>
            </w:r>
          </w:p>
        </w:tc>
        <w:tc>
          <w:tcPr>
            <w:tcW w:w="642" w:type="pct"/>
            <w:vMerge w:val="restart"/>
            <w:shd w:val="clear" w:color="auto" w:fill="FFFFFF" w:themeFill="background1"/>
            <w:vAlign w:val="center"/>
          </w:tcPr>
          <w:p w14:paraId="7FD5AD17" w14:textId="77777777" w:rsidR="009515BC" w:rsidRPr="00F00EB0" w:rsidRDefault="009515BC" w:rsidP="0021593D">
            <w:pPr>
              <w:spacing w:after="0" w:line="240" w:lineRule="auto"/>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Оцінка якості активів</w:t>
            </w:r>
          </w:p>
        </w:tc>
        <w:tc>
          <w:tcPr>
            <w:tcW w:w="1070" w:type="pct"/>
            <w:gridSpan w:val="3"/>
            <w:shd w:val="clear" w:color="auto" w:fill="FFFFFF" w:themeFill="background1"/>
            <w:vAlign w:val="center"/>
          </w:tcPr>
          <w:p w14:paraId="435E44F7" w14:textId="77777777" w:rsidR="009515BC" w:rsidRPr="00F00EB0" w:rsidRDefault="009515BC" w:rsidP="0021593D">
            <w:pPr>
              <w:spacing w:after="0" w:line="240" w:lineRule="auto"/>
              <w:ind w:left="-113" w:right="-113"/>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 xml:space="preserve">Базовий </w:t>
            </w:r>
          </w:p>
        </w:tc>
        <w:tc>
          <w:tcPr>
            <w:tcW w:w="1144" w:type="pct"/>
            <w:gridSpan w:val="3"/>
            <w:shd w:val="clear" w:color="auto" w:fill="FFFFFF" w:themeFill="background1"/>
            <w:vAlign w:val="center"/>
          </w:tcPr>
          <w:p w14:paraId="12888A14" w14:textId="77777777" w:rsidR="009515BC" w:rsidRPr="00F00EB0" w:rsidRDefault="009515BC" w:rsidP="0021593D">
            <w:pPr>
              <w:spacing w:after="0" w:line="240" w:lineRule="auto"/>
              <w:ind w:left="-113" w:right="-113"/>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 xml:space="preserve">Несприятливий </w:t>
            </w:r>
          </w:p>
        </w:tc>
      </w:tr>
      <w:tr w:rsidR="009515BC" w:rsidRPr="00F00EB0" w14:paraId="5EF88FE1" w14:textId="77777777" w:rsidTr="0021593D">
        <w:trPr>
          <w:trHeight w:val="312"/>
        </w:trPr>
        <w:tc>
          <w:tcPr>
            <w:tcW w:w="1501" w:type="pct"/>
            <w:vMerge/>
            <w:shd w:val="clear" w:color="auto" w:fill="FFFFFF" w:themeFill="background1"/>
            <w:vAlign w:val="center"/>
            <w:hideMark/>
          </w:tcPr>
          <w:p w14:paraId="18F44571" w14:textId="77777777" w:rsidR="009515BC" w:rsidRPr="00F00EB0" w:rsidRDefault="009515BC" w:rsidP="0021593D">
            <w:pPr>
              <w:spacing w:after="0" w:line="240" w:lineRule="auto"/>
              <w:rPr>
                <w:rFonts w:ascii="Times New Roman" w:eastAsia="Times New Roman" w:hAnsi="Times New Roman" w:cs="Times New Roman"/>
                <w:bCs/>
                <w:color w:val="000000" w:themeColor="text1"/>
                <w:sz w:val="24"/>
                <w:szCs w:val="24"/>
                <w:lang w:val="uk-UA" w:eastAsia="uk-UA"/>
              </w:rPr>
            </w:pPr>
          </w:p>
        </w:tc>
        <w:tc>
          <w:tcPr>
            <w:tcW w:w="642" w:type="pct"/>
            <w:vMerge/>
            <w:shd w:val="clear" w:color="auto" w:fill="FFFFFF" w:themeFill="background1"/>
            <w:vAlign w:val="center"/>
            <w:hideMark/>
          </w:tcPr>
          <w:p w14:paraId="6E18CF2C" w14:textId="77777777" w:rsidR="009515BC" w:rsidRPr="00F00EB0" w:rsidRDefault="009515BC" w:rsidP="0021593D">
            <w:pPr>
              <w:spacing w:after="0" w:line="240" w:lineRule="auto"/>
              <w:rPr>
                <w:rFonts w:ascii="Times New Roman" w:eastAsia="Times New Roman" w:hAnsi="Times New Roman" w:cs="Times New Roman"/>
                <w:bCs/>
                <w:color w:val="000000" w:themeColor="text1"/>
                <w:sz w:val="24"/>
                <w:szCs w:val="24"/>
                <w:lang w:val="uk-UA" w:eastAsia="uk-UA"/>
              </w:rPr>
            </w:pPr>
          </w:p>
        </w:tc>
        <w:tc>
          <w:tcPr>
            <w:tcW w:w="642" w:type="pct"/>
            <w:vMerge/>
            <w:shd w:val="clear" w:color="auto" w:fill="FFFFFF" w:themeFill="background1"/>
            <w:vAlign w:val="center"/>
            <w:hideMark/>
          </w:tcPr>
          <w:p w14:paraId="48D0C3FE" w14:textId="77777777" w:rsidR="009515BC" w:rsidRPr="00F00EB0" w:rsidRDefault="009515BC" w:rsidP="0021593D">
            <w:pPr>
              <w:spacing w:after="0" w:line="240" w:lineRule="auto"/>
              <w:rPr>
                <w:rFonts w:ascii="Times New Roman" w:eastAsia="Times New Roman" w:hAnsi="Times New Roman" w:cs="Times New Roman"/>
                <w:bCs/>
                <w:color w:val="000000" w:themeColor="text1"/>
                <w:sz w:val="24"/>
                <w:szCs w:val="24"/>
                <w:lang w:val="uk-UA" w:eastAsia="uk-UA"/>
              </w:rPr>
            </w:pPr>
          </w:p>
        </w:tc>
        <w:tc>
          <w:tcPr>
            <w:tcW w:w="356" w:type="pct"/>
            <w:shd w:val="clear" w:color="auto" w:fill="FFFFFF" w:themeFill="background1"/>
            <w:vAlign w:val="center"/>
            <w:hideMark/>
          </w:tcPr>
          <w:p w14:paraId="0BFBCE9A" w14:textId="77777777" w:rsidR="009515BC" w:rsidRPr="00F00EB0" w:rsidRDefault="009515BC" w:rsidP="0021593D">
            <w:pPr>
              <w:spacing w:after="0" w:line="240" w:lineRule="auto"/>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1-й</w:t>
            </w:r>
          </w:p>
        </w:tc>
        <w:tc>
          <w:tcPr>
            <w:tcW w:w="357" w:type="pct"/>
            <w:shd w:val="clear" w:color="auto" w:fill="FFFFFF" w:themeFill="background1"/>
            <w:vAlign w:val="center"/>
            <w:hideMark/>
          </w:tcPr>
          <w:p w14:paraId="5631AFED" w14:textId="77777777" w:rsidR="009515BC" w:rsidRPr="00F00EB0" w:rsidRDefault="009515BC" w:rsidP="0021593D">
            <w:pPr>
              <w:spacing w:after="0" w:line="240" w:lineRule="auto"/>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2-й</w:t>
            </w:r>
          </w:p>
        </w:tc>
        <w:tc>
          <w:tcPr>
            <w:tcW w:w="357" w:type="pct"/>
            <w:shd w:val="clear" w:color="auto" w:fill="FFFFFF" w:themeFill="background1"/>
            <w:vAlign w:val="center"/>
            <w:hideMark/>
          </w:tcPr>
          <w:p w14:paraId="4B3709F6" w14:textId="77777777" w:rsidR="009515BC" w:rsidRPr="00F00EB0" w:rsidRDefault="009515BC" w:rsidP="0021593D">
            <w:pPr>
              <w:spacing w:after="0" w:line="240" w:lineRule="auto"/>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3-й</w:t>
            </w:r>
          </w:p>
        </w:tc>
        <w:tc>
          <w:tcPr>
            <w:tcW w:w="357" w:type="pct"/>
            <w:shd w:val="clear" w:color="auto" w:fill="FFFFFF" w:themeFill="background1"/>
            <w:vAlign w:val="center"/>
            <w:hideMark/>
          </w:tcPr>
          <w:p w14:paraId="19860DAB" w14:textId="77777777" w:rsidR="009515BC" w:rsidRPr="00F00EB0" w:rsidRDefault="009515BC" w:rsidP="0021593D">
            <w:pPr>
              <w:spacing w:after="0" w:line="240" w:lineRule="auto"/>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1-й</w:t>
            </w:r>
          </w:p>
        </w:tc>
        <w:tc>
          <w:tcPr>
            <w:tcW w:w="357" w:type="pct"/>
            <w:shd w:val="clear" w:color="auto" w:fill="FFFFFF" w:themeFill="background1"/>
            <w:vAlign w:val="center"/>
            <w:hideMark/>
          </w:tcPr>
          <w:p w14:paraId="46C710CB" w14:textId="77777777" w:rsidR="009515BC" w:rsidRPr="00F00EB0" w:rsidRDefault="009515BC" w:rsidP="0021593D">
            <w:pPr>
              <w:spacing w:after="0" w:line="240" w:lineRule="auto"/>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2-й</w:t>
            </w:r>
          </w:p>
        </w:tc>
        <w:tc>
          <w:tcPr>
            <w:tcW w:w="430" w:type="pct"/>
            <w:shd w:val="clear" w:color="auto" w:fill="FFFFFF" w:themeFill="background1"/>
            <w:vAlign w:val="center"/>
            <w:hideMark/>
          </w:tcPr>
          <w:p w14:paraId="5DDC1403" w14:textId="77777777" w:rsidR="009515BC" w:rsidRPr="00F00EB0" w:rsidRDefault="009515BC" w:rsidP="0021593D">
            <w:pPr>
              <w:spacing w:after="0" w:line="240" w:lineRule="auto"/>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3-й</w:t>
            </w:r>
          </w:p>
        </w:tc>
      </w:tr>
      <w:tr w:rsidR="009515BC" w:rsidRPr="00F00EB0" w14:paraId="3F97FB7A" w14:textId="77777777" w:rsidTr="0021593D">
        <w:trPr>
          <w:trHeight w:val="264"/>
        </w:trPr>
        <w:tc>
          <w:tcPr>
            <w:tcW w:w="1501" w:type="pct"/>
            <w:vMerge/>
            <w:shd w:val="clear" w:color="auto" w:fill="FFFFFF" w:themeFill="background1"/>
            <w:vAlign w:val="center"/>
            <w:hideMark/>
          </w:tcPr>
          <w:p w14:paraId="00B48DF3" w14:textId="77777777" w:rsidR="009515BC" w:rsidRPr="00F00EB0" w:rsidRDefault="009515BC" w:rsidP="0021593D">
            <w:pPr>
              <w:spacing w:after="0" w:line="240" w:lineRule="auto"/>
              <w:rPr>
                <w:rFonts w:ascii="Times New Roman" w:eastAsia="Times New Roman" w:hAnsi="Times New Roman" w:cs="Times New Roman"/>
                <w:bCs/>
                <w:color w:val="000000" w:themeColor="text1"/>
                <w:sz w:val="24"/>
                <w:szCs w:val="24"/>
                <w:lang w:val="uk-UA" w:eastAsia="uk-UA"/>
              </w:rPr>
            </w:pPr>
          </w:p>
        </w:tc>
        <w:tc>
          <w:tcPr>
            <w:tcW w:w="642" w:type="pct"/>
            <w:vMerge/>
            <w:shd w:val="clear" w:color="auto" w:fill="FFFFFF" w:themeFill="background1"/>
            <w:vAlign w:val="center"/>
            <w:hideMark/>
          </w:tcPr>
          <w:p w14:paraId="29B64346" w14:textId="77777777" w:rsidR="009515BC" w:rsidRPr="00F00EB0" w:rsidRDefault="009515BC" w:rsidP="0021593D">
            <w:pPr>
              <w:spacing w:after="0" w:line="240" w:lineRule="auto"/>
              <w:rPr>
                <w:rFonts w:ascii="Times New Roman" w:eastAsia="Times New Roman" w:hAnsi="Times New Roman" w:cs="Times New Roman"/>
                <w:bCs/>
                <w:color w:val="000000" w:themeColor="text1"/>
                <w:sz w:val="24"/>
                <w:szCs w:val="24"/>
                <w:lang w:val="uk-UA" w:eastAsia="uk-UA"/>
              </w:rPr>
            </w:pPr>
          </w:p>
        </w:tc>
        <w:tc>
          <w:tcPr>
            <w:tcW w:w="642" w:type="pct"/>
            <w:vMerge/>
            <w:shd w:val="clear" w:color="auto" w:fill="FFFFFF" w:themeFill="background1"/>
            <w:vAlign w:val="center"/>
            <w:hideMark/>
          </w:tcPr>
          <w:p w14:paraId="503F9D69" w14:textId="77777777" w:rsidR="009515BC" w:rsidRPr="00F00EB0" w:rsidRDefault="009515BC" w:rsidP="0021593D">
            <w:pPr>
              <w:spacing w:after="0" w:line="240" w:lineRule="auto"/>
              <w:rPr>
                <w:rFonts w:ascii="Times New Roman" w:eastAsia="Times New Roman" w:hAnsi="Times New Roman" w:cs="Times New Roman"/>
                <w:bCs/>
                <w:color w:val="000000" w:themeColor="text1"/>
                <w:sz w:val="24"/>
                <w:szCs w:val="24"/>
                <w:lang w:val="uk-UA" w:eastAsia="uk-UA"/>
              </w:rPr>
            </w:pPr>
          </w:p>
        </w:tc>
        <w:tc>
          <w:tcPr>
            <w:tcW w:w="1070" w:type="pct"/>
            <w:gridSpan w:val="3"/>
            <w:shd w:val="clear" w:color="auto" w:fill="FFFFFF" w:themeFill="background1"/>
            <w:vAlign w:val="center"/>
            <w:hideMark/>
          </w:tcPr>
          <w:p w14:paraId="3386A757" w14:textId="77777777" w:rsidR="009515BC" w:rsidRPr="00F00EB0" w:rsidRDefault="009515BC" w:rsidP="0021593D">
            <w:pPr>
              <w:spacing w:after="0" w:line="240" w:lineRule="auto"/>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прогнозний рік</w:t>
            </w:r>
          </w:p>
        </w:tc>
        <w:tc>
          <w:tcPr>
            <w:tcW w:w="1144" w:type="pct"/>
            <w:gridSpan w:val="3"/>
            <w:shd w:val="clear" w:color="auto" w:fill="FFFFFF" w:themeFill="background1"/>
            <w:vAlign w:val="center"/>
            <w:hideMark/>
          </w:tcPr>
          <w:p w14:paraId="4FCE7CD6" w14:textId="77777777" w:rsidR="009515BC" w:rsidRPr="00F00EB0" w:rsidRDefault="009515BC" w:rsidP="0021593D">
            <w:pPr>
              <w:spacing w:after="0" w:line="240" w:lineRule="auto"/>
              <w:jc w:val="center"/>
              <w:rPr>
                <w:rFonts w:ascii="Times New Roman" w:eastAsia="Times New Roman" w:hAnsi="Times New Roman" w:cs="Times New Roman"/>
                <w:bCs/>
                <w:color w:val="000000" w:themeColor="text1"/>
                <w:sz w:val="24"/>
                <w:szCs w:val="24"/>
                <w:lang w:val="uk-UA" w:eastAsia="uk-UA"/>
              </w:rPr>
            </w:pPr>
            <w:r w:rsidRPr="00F00EB0">
              <w:rPr>
                <w:rFonts w:ascii="Times New Roman" w:eastAsia="Times New Roman" w:hAnsi="Times New Roman" w:cs="Times New Roman"/>
                <w:bCs/>
                <w:color w:val="000000" w:themeColor="text1"/>
                <w:sz w:val="24"/>
                <w:szCs w:val="24"/>
                <w:lang w:val="uk-UA" w:eastAsia="uk-UA"/>
              </w:rPr>
              <w:t>прогнозний рік</w:t>
            </w:r>
          </w:p>
        </w:tc>
      </w:tr>
      <w:tr w:rsidR="009515BC" w:rsidRPr="00F00EB0" w14:paraId="2BE05A45" w14:textId="77777777" w:rsidTr="0021593D">
        <w:trPr>
          <w:trHeight w:val="264"/>
        </w:trPr>
        <w:tc>
          <w:tcPr>
            <w:tcW w:w="1501" w:type="pct"/>
            <w:shd w:val="clear" w:color="auto" w:fill="FFFFFF" w:themeFill="background1"/>
            <w:noWrap/>
            <w:vAlign w:val="bottom"/>
            <w:hideMark/>
          </w:tcPr>
          <w:p w14:paraId="44975A13" w14:textId="77777777" w:rsidR="009515BC" w:rsidRPr="00F00EB0" w:rsidRDefault="009515BC" w:rsidP="0021593D">
            <w:pPr>
              <w:spacing w:after="0" w:line="240" w:lineRule="auto"/>
              <w:jc w:val="both"/>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Основний капітал, млн грн</w:t>
            </w:r>
          </w:p>
        </w:tc>
        <w:tc>
          <w:tcPr>
            <w:tcW w:w="642" w:type="pct"/>
            <w:shd w:val="clear" w:color="auto" w:fill="FFFFFF" w:themeFill="background1"/>
            <w:noWrap/>
            <w:vAlign w:val="bottom"/>
            <w:hideMark/>
          </w:tcPr>
          <w:p w14:paraId="7D67742C"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17643</w:t>
            </w:r>
          </w:p>
        </w:tc>
        <w:tc>
          <w:tcPr>
            <w:tcW w:w="642" w:type="pct"/>
            <w:shd w:val="clear" w:color="auto" w:fill="FFFFFF" w:themeFill="background1"/>
            <w:noWrap/>
            <w:vAlign w:val="bottom"/>
            <w:hideMark/>
          </w:tcPr>
          <w:p w14:paraId="04E0C40F"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17643</w:t>
            </w:r>
          </w:p>
        </w:tc>
        <w:tc>
          <w:tcPr>
            <w:tcW w:w="356" w:type="pct"/>
            <w:shd w:val="clear" w:color="auto" w:fill="FFFFFF" w:themeFill="background1"/>
            <w:noWrap/>
            <w:vAlign w:val="bottom"/>
            <w:hideMark/>
          </w:tcPr>
          <w:p w14:paraId="3DCE2188"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34680</w:t>
            </w:r>
          </w:p>
        </w:tc>
        <w:tc>
          <w:tcPr>
            <w:tcW w:w="357" w:type="pct"/>
            <w:shd w:val="clear" w:color="auto" w:fill="FFFFFF" w:themeFill="background1"/>
            <w:noWrap/>
            <w:vAlign w:val="bottom"/>
            <w:hideMark/>
          </w:tcPr>
          <w:p w14:paraId="27E92D15"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50533</w:t>
            </w:r>
          </w:p>
        </w:tc>
        <w:tc>
          <w:tcPr>
            <w:tcW w:w="357" w:type="pct"/>
            <w:shd w:val="clear" w:color="auto" w:fill="FFFFFF" w:themeFill="background1"/>
            <w:noWrap/>
            <w:vAlign w:val="bottom"/>
            <w:hideMark/>
          </w:tcPr>
          <w:p w14:paraId="37734DD4"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63528</w:t>
            </w:r>
          </w:p>
        </w:tc>
        <w:tc>
          <w:tcPr>
            <w:tcW w:w="357" w:type="pct"/>
            <w:shd w:val="clear" w:color="auto" w:fill="FFFFFF" w:themeFill="background1"/>
            <w:noWrap/>
            <w:vAlign w:val="bottom"/>
            <w:hideMark/>
          </w:tcPr>
          <w:p w14:paraId="5D7D97A1"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30731</w:t>
            </w:r>
          </w:p>
        </w:tc>
        <w:tc>
          <w:tcPr>
            <w:tcW w:w="357" w:type="pct"/>
            <w:shd w:val="clear" w:color="auto" w:fill="FFFFFF" w:themeFill="background1"/>
            <w:noWrap/>
            <w:vAlign w:val="bottom"/>
            <w:hideMark/>
          </w:tcPr>
          <w:p w14:paraId="362EDE9F"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40609</w:t>
            </w:r>
          </w:p>
        </w:tc>
        <w:tc>
          <w:tcPr>
            <w:tcW w:w="430" w:type="pct"/>
            <w:shd w:val="clear" w:color="auto" w:fill="FFFFFF" w:themeFill="background1"/>
            <w:noWrap/>
            <w:vAlign w:val="bottom"/>
            <w:hideMark/>
          </w:tcPr>
          <w:p w14:paraId="3F1F3927"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48818</w:t>
            </w:r>
          </w:p>
        </w:tc>
      </w:tr>
      <w:tr w:rsidR="009515BC" w:rsidRPr="00F00EB0" w14:paraId="6C8B559C" w14:textId="77777777" w:rsidTr="0021593D">
        <w:trPr>
          <w:trHeight w:val="264"/>
        </w:trPr>
        <w:tc>
          <w:tcPr>
            <w:tcW w:w="1501" w:type="pct"/>
            <w:shd w:val="clear" w:color="auto" w:fill="FFFFFF" w:themeFill="background1"/>
            <w:noWrap/>
            <w:vAlign w:val="center"/>
            <w:hideMark/>
          </w:tcPr>
          <w:p w14:paraId="58F3DF62" w14:textId="77777777" w:rsidR="009515BC" w:rsidRPr="00F00EB0" w:rsidRDefault="009515BC" w:rsidP="0021593D">
            <w:pPr>
              <w:spacing w:after="0" w:line="240" w:lineRule="auto"/>
              <w:jc w:val="both"/>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ru-RU"/>
              </w:rPr>
              <w:t>Н1, млн грн</w:t>
            </w:r>
          </w:p>
        </w:tc>
        <w:tc>
          <w:tcPr>
            <w:tcW w:w="642" w:type="pct"/>
            <w:shd w:val="clear" w:color="auto" w:fill="FFFFFF" w:themeFill="background1"/>
            <w:noWrap/>
            <w:vAlign w:val="bottom"/>
            <w:hideMark/>
          </w:tcPr>
          <w:p w14:paraId="1ECD9609"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35256</w:t>
            </w:r>
          </w:p>
        </w:tc>
        <w:tc>
          <w:tcPr>
            <w:tcW w:w="642" w:type="pct"/>
            <w:shd w:val="clear" w:color="auto" w:fill="FFFFFF" w:themeFill="background1"/>
            <w:noWrap/>
            <w:vAlign w:val="bottom"/>
            <w:hideMark/>
          </w:tcPr>
          <w:p w14:paraId="50018C2B"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35256</w:t>
            </w:r>
          </w:p>
        </w:tc>
        <w:tc>
          <w:tcPr>
            <w:tcW w:w="356" w:type="pct"/>
            <w:shd w:val="clear" w:color="auto" w:fill="FFFFFF" w:themeFill="background1"/>
            <w:noWrap/>
            <w:vAlign w:val="bottom"/>
            <w:hideMark/>
          </w:tcPr>
          <w:p w14:paraId="666B3099"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46245</w:t>
            </w:r>
          </w:p>
        </w:tc>
        <w:tc>
          <w:tcPr>
            <w:tcW w:w="357" w:type="pct"/>
            <w:shd w:val="clear" w:color="auto" w:fill="FFFFFF" w:themeFill="background1"/>
            <w:noWrap/>
            <w:vAlign w:val="bottom"/>
            <w:hideMark/>
          </w:tcPr>
          <w:p w14:paraId="39345BC3"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62098</w:t>
            </w:r>
          </w:p>
        </w:tc>
        <w:tc>
          <w:tcPr>
            <w:tcW w:w="357" w:type="pct"/>
            <w:shd w:val="clear" w:color="auto" w:fill="FFFFFF" w:themeFill="background1"/>
            <w:noWrap/>
            <w:vAlign w:val="bottom"/>
            <w:hideMark/>
          </w:tcPr>
          <w:p w14:paraId="28B11D2F"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75092</w:t>
            </w:r>
          </w:p>
        </w:tc>
        <w:tc>
          <w:tcPr>
            <w:tcW w:w="357" w:type="pct"/>
            <w:shd w:val="clear" w:color="auto" w:fill="FFFFFF" w:themeFill="background1"/>
            <w:noWrap/>
            <w:vAlign w:val="bottom"/>
            <w:hideMark/>
          </w:tcPr>
          <w:p w14:paraId="2DB969A5"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42295</w:t>
            </w:r>
          </w:p>
        </w:tc>
        <w:tc>
          <w:tcPr>
            <w:tcW w:w="357" w:type="pct"/>
            <w:shd w:val="clear" w:color="auto" w:fill="FFFFFF" w:themeFill="background1"/>
            <w:noWrap/>
            <w:vAlign w:val="bottom"/>
            <w:hideMark/>
          </w:tcPr>
          <w:p w14:paraId="3D16A30D"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52174</w:t>
            </w:r>
          </w:p>
        </w:tc>
        <w:tc>
          <w:tcPr>
            <w:tcW w:w="430" w:type="pct"/>
            <w:shd w:val="clear" w:color="auto" w:fill="FFFFFF" w:themeFill="background1"/>
            <w:noWrap/>
            <w:vAlign w:val="bottom"/>
            <w:hideMark/>
          </w:tcPr>
          <w:p w14:paraId="287A07D6"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60383</w:t>
            </w:r>
          </w:p>
        </w:tc>
      </w:tr>
      <w:tr w:rsidR="009515BC" w:rsidRPr="00F00EB0" w14:paraId="3606BA83" w14:textId="77777777" w:rsidTr="0021593D">
        <w:trPr>
          <w:trHeight w:val="264"/>
        </w:trPr>
        <w:tc>
          <w:tcPr>
            <w:tcW w:w="1501" w:type="pct"/>
            <w:shd w:val="clear" w:color="auto" w:fill="FFFFFF" w:themeFill="background1"/>
            <w:noWrap/>
            <w:vAlign w:val="center"/>
            <w:hideMark/>
          </w:tcPr>
          <w:p w14:paraId="38603CB4" w14:textId="77777777" w:rsidR="009515BC" w:rsidRPr="00F00EB0" w:rsidRDefault="009515BC" w:rsidP="0021593D">
            <w:pPr>
              <w:spacing w:after="0" w:line="240" w:lineRule="auto"/>
              <w:jc w:val="both"/>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ru-RU"/>
              </w:rPr>
              <w:t>Н2 (≥10 %)</w:t>
            </w:r>
          </w:p>
        </w:tc>
        <w:tc>
          <w:tcPr>
            <w:tcW w:w="642" w:type="pct"/>
            <w:shd w:val="clear" w:color="auto" w:fill="FFFFFF" w:themeFill="background1"/>
            <w:noWrap/>
            <w:vAlign w:val="bottom"/>
            <w:hideMark/>
          </w:tcPr>
          <w:p w14:paraId="5F05A91E"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28,5</w:t>
            </w:r>
          </w:p>
        </w:tc>
        <w:tc>
          <w:tcPr>
            <w:tcW w:w="642" w:type="pct"/>
            <w:shd w:val="clear" w:color="auto" w:fill="FFFFFF" w:themeFill="background1"/>
            <w:noWrap/>
            <w:vAlign w:val="bottom"/>
            <w:hideMark/>
          </w:tcPr>
          <w:p w14:paraId="7735DB08"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28,5</w:t>
            </w:r>
          </w:p>
        </w:tc>
        <w:tc>
          <w:tcPr>
            <w:tcW w:w="356" w:type="pct"/>
            <w:shd w:val="clear" w:color="auto" w:fill="FFFFFF" w:themeFill="background1"/>
            <w:noWrap/>
            <w:vAlign w:val="bottom"/>
            <w:hideMark/>
          </w:tcPr>
          <w:p w14:paraId="6820BAC3"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25,6</w:t>
            </w:r>
          </w:p>
        </w:tc>
        <w:tc>
          <w:tcPr>
            <w:tcW w:w="357" w:type="pct"/>
            <w:shd w:val="clear" w:color="auto" w:fill="FFFFFF" w:themeFill="background1"/>
            <w:noWrap/>
            <w:vAlign w:val="bottom"/>
            <w:hideMark/>
          </w:tcPr>
          <w:p w14:paraId="4AA9CA98"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27,7</w:t>
            </w:r>
          </w:p>
        </w:tc>
        <w:tc>
          <w:tcPr>
            <w:tcW w:w="357" w:type="pct"/>
            <w:shd w:val="clear" w:color="auto" w:fill="FFFFFF" w:themeFill="background1"/>
            <w:noWrap/>
            <w:vAlign w:val="bottom"/>
            <w:hideMark/>
          </w:tcPr>
          <w:p w14:paraId="6ECDF771"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33,6</w:t>
            </w:r>
          </w:p>
        </w:tc>
        <w:tc>
          <w:tcPr>
            <w:tcW w:w="357" w:type="pct"/>
            <w:shd w:val="clear" w:color="auto" w:fill="FFFFFF" w:themeFill="background1"/>
            <w:noWrap/>
            <w:vAlign w:val="bottom"/>
            <w:hideMark/>
          </w:tcPr>
          <w:p w14:paraId="6E9A9C2A"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23,0</w:t>
            </w:r>
          </w:p>
        </w:tc>
        <w:tc>
          <w:tcPr>
            <w:tcW w:w="357" w:type="pct"/>
            <w:shd w:val="clear" w:color="auto" w:fill="FFFFFF" w:themeFill="background1"/>
            <w:noWrap/>
            <w:vAlign w:val="bottom"/>
            <w:hideMark/>
          </w:tcPr>
          <w:p w14:paraId="3C65E9AD"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23,2</w:t>
            </w:r>
          </w:p>
        </w:tc>
        <w:tc>
          <w:tcPr>
            <w:tcW w:w="430" w:type="pct"/>
            <w:shd w:val="clear" w:color="auto" w:fill="FFFFFF" w:themeFill="background1"/>
            <w:noWrap/>
            <w:vAlign w:val="bottom"/>
            <w:hideMark/>
          </w:tcPr>
          <w:p w14:paraId="2CC25369"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26,4</w:t>
            </w:r>
          </w:p>
        </w:tc>
      </w:tr>
      <w:tr w:rsidR="009515BC" w:rsidRPr="00F00EB0" w14:paraId="2373033E" w14:textId="77777777" w:rsidTr="0021593D">
        <w:trPr>
          <w:trHeight w:val="264"/>
        </w:trPr>
        <w:tc>
          <w:tcPr>
            <w:tcW w:w="1501" w:type="pct"/>
            <w:shd w:val="clear" w:color="auto" w:fill="FFFFFF" w:themeFill="background1"/>
            <w:noWrap/>
            <w:vAlign w:val="center"/>
            <w:hideMark/>
          </w:tcPr>
          <w:p w14:paraId="3B2E057D" w14:textId="77777777" w:rsidR="009515BC" w:rsidRPr="00F00EB0" w:rsidRDefault="009515BC" w:rsidP="0021593D">
            <w:pPr>
              <w:spacing w:after="0" w:line="240" w:lineRule="auto"/>
              <w:jc w:val="both"/>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ru-RU"/>
              </w:rPr>
              <w:t>НЗ  (≥7%)</w:t>
            </w:r>
          </w:p>
        </w:tc>
        <w:tc>
          <w:tcPr>
            <w:tcW w:w="642" w:type="pct"/>
            <w:shd w:val="clear" w:color="auto" w:fill="FFFFFF" w:themeFill="background1"/>
            <w:noWrap/>
            <w:vAlign w:val="bottom"/>
            <w:hideMark/>
          </w:tcPr>
          <w:p w14:paraId="6F955457"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14,3</w:t>
            </w:r>
          </w:p>
        </w:tc>
        <w:tc>
          <w:tcPr>
            <w:tcW w:w="642" w:type="pct"/>
            <w:shd w:val="clear" w:color="auto" w:fill="FFFFFF" w:themeFill="background1"/>
            <w:noWrap/>
            <w:vAlign w:val="bottom"/>
            <w:hideMark/>
          </w:tcPr>
          <w:p w14:paraId="4ED175D5"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14,3</w:t>
            </w:r>
          </w:p>
        </w:tc>
        <w:tc>
          <w:tcPr>
            <w:tcW w:w="356" w:type="pct"/>
            <w:shd w:val="clear" w:color="auto" w:fill="FFFFFF" w:themeFill="background1"/>
            <w:noWrap/>
            <w:vAlign w:val="bottom"/>
            <w:hideMark/>
          </w:tcPr>
          <w:p w14:paraId="54A23954"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19,2</w:t>
            </w:r>
          </w:p>
        </w:tc>
        <w:tc>
          <w:tcPr>
            <w:tcW w:w="357" w:type="pct"/>
            <w:shd w:val="clear" w:color="auto" w:fill="FFFFFF" w:themeFill="background1"/>
            <w:noWrap/>
            <w:vAlign w:val="bottom"/>
            <w:hideMark/>
          </w:tcPr>
          <w:p w14:paraId="6E7E3A42"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22,6</w:t>
            </w:r>
          </w:p>
        </w:tc>
        <w:tc>
          <w:tcPr>
            <w:tcW w:w="357" w:type="pct"/>
            <w:shd w:val="clear" w:color="auto" w:fill="FFFFFF" w:themeFill="background1"/>
            <w:noWrap/>
            <w:vAlign w:val="bottom"/>
            <w:hideMark/>
          </w:tcPr>
          <w:p w14:paraId="7B8DE1A5"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28,4</w:t>
            </w:r>
          </w:p>
        </w:tc>
        <w:tc>
          <w:tcPr>
            <w:tcW w:w="357" w:type="pct"/>
            <w:shd w:val="clear" w:color="auto" w:fill="FFFFFF" w:themeFill="background1"/>
            <w:noWrap/>
            <w:vAlign w:val="bottom"/>
            <w:hideMark/>
          </w:tcPr>
          <w:p w14:paraId="0D1677E5"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16,7</w:t>
            </w:r>
          </w:p>
        </w:tc>
        <w:tc>
          <w:tcPr>
            <w:tcW w:w="357" w:type="pct"/>
            <w:shd w:val="clear" w:color="auto" w:fill="FFFFFF" w:themeFill="background1"/>
            <w:noWrap/>
            <w:vAlign w:val="bottom"/>
            <w:hideMark/>
          </w:tcPr>
          <w:p w14:paraId="320256E5"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18,0</w:t>
            </w:r>
          </w:p>
        </w:tc>
        <w:tc>
          <w:tcPr>
            <w:tcW w:w="430" w:type="pct"/>
            <w:shd w:val="clear" w:color="auto" w:fill="FFFFFF" w:themeFill="background1"/>
            <w:noWrap/>
            <w:vAlign w:val="bottom"/>
            <w:hideMark/>
          </w:tcPr>
          <w:p w14:paraId="1ECC6CB4"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21,4</w:t>
            </w:r>
          </w:p>
        </w:tc>
      </w:tr>
      <w:tr w:rsidR="009515BC" w:rsidRPr="00F00EB0" w14:paraId="563CC9EC" w14:textId="77777777" w:rsidTr="0021593D">
        <w:trPr>
          <w:trHeight w:val="264"/>
        </w:trPr>
        <w:tc>
          <w:tcPr>
            <w:tcW w:w="1501" w:type="pct"/>
            <w:shd w:val="clear" w:color="auto" w:fill="FFFFFF" w:themeFill="background1"/>
            <w:vAlign w:val="bottom"/>
            <w:hideMark/>
          </w:tcPr>
          <w:p w14:paraId="0E5030CD" w14:textId="77777777" w:rsidR="009515BC" w:rsidRPr="00F00EB0" w:rsidRDefault="009515BC" w:rsidP="0021593D">
            <w:pPr>
              <w:spacing w:after="0" w:line="240" w:lineRule="auto"/>
              <w:jc w:val="both"/>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Граничне значення Н3,%</w:t>
            </w:r>
          </w:p>
        </w:tc>
        <w:tc>
          <w:tcPr>
            <w:tcW w:w="642" w:type="pct"/>
            <w:shd w:val="clear" w:color="auto" w:fill="FFFFFF" w:themeFill="background1"/>
            <w:noWrap/>
            <w:vAlign w:val="bottom"/>
            <w:hideMark/>
          </w:tcPr>
          <w:p w14:paraId="356CE2B1"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7,0</w:t>
            </w:r>
          </w:p>
        </w:tc>
        <w:tc>
          <w:tcPr>
            <w:tcW w:w="642" w:type="pct"/>
            <w:shd w:val="clear" w:color="auto" w:fill="FFFFFF" w:themeFill="background1"/>
            <w:noWrap/>
            <w:vAlign w:val="bottom"/>
            <w:hideMark/>
          </w:tcPr>
          <w:p w14:paraId="2D417F50"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7,0</w:t>
            </w:r>
          </w:p>
        </w:tc>
        <w:tc>
          <w:tcPr>
            <w:tcW w:w="356" w:type="pct"/>
            <w:shd w:val="clear" w:color="auto" w:fill="FFFFFF" w:themeFill="background1"/>
            <w:noWrap/>
            <w:vAlign w:val="bottom"/>
            <w:hideMark/>
          </w:tcPr>
          <w:p w14:paraId="44BDDFD4"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7,0</w:t>
            </w:r>
          </w:p>
        </w:tc>
        <w:tc>
          <w:tcPr>
            <w:tcW w:w="357" w:type="pct"/>
            <w:shd w:val="clear" w:color="auto" w:fill="FFFFFF" w:themeFill="background1"/>
            <w:noWrap/>
            <w:vAlign w:val="bottom"/>
            <w:hideMark/>
          </w:tcPr>
          <w:p w14:paraId="43409198"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7,0</w:t>
            </w:r>
          </w:p>
        </w:tc>
        <w:tc>
          <w:tcPr>
            <w:tcW w:w="357" w:type="pct"/>
            <w:shd w:val="clear" w:color="auto" w:fill="FFFFFF" w:themeFill="background1"/>
            <w:noWrap/>
            <w:vAlign w:val="bottom"/>
            <w:hideMark/>
          </w:tcPr>
          <w:p w14:paraId="1F1E5C4C"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7,0</w:t>
            </w:r>
          </w:p>
        </w:tc>
        <w:tc>
          <w:tcPr>
            <w:tcW w:w="357" w:type="pct"/>
            <w:shd w:val="clear" w:color="auto" w:fill="FFFFFF" w:themeFill="background1"/>
            <w:noWrap/>
            <w:vAlign w:val="bottom"/>
            <w:hideMark/>
          </w:tcPr>
          <w:p w14:paraId="6AC78E8C"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3,5</w:t>
            </w:r>
          </w:p>
        </w:tc>
        <w:tc>
          <w:tcPr>
            <w:tcW w:w="357" w:type="pct"/>
            <w:shd w:val="clear" w:color="auto" w:fill="FFFFFF" w:themeFill="background1"/>
            <w:noWrap/>
            <w:vAlign w:val="bottom"/>
            <w:hideMark/>
          </w:tcPr>
          <w:p w14:paraId="04B480E2"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3,5</w:t>
            </w:r>
          </w:p>
        </w:tc>
        <w:tc>
          <w:tcPr>
            <w:tcW w:w="430" w:type="pct"/>
            <w:shd w:val="clear" w:color="auto" w:fill="FFFFFF" w:themeFill="background1"/>
            <w:noWrap/>
            <w:vAlign w:val="bottom"/>
            <w:hideMark/>
          </w:tcPr>
          <w:p w14:paraId="1BC1007F"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3,5</w:t>
            </w:r>
          </w:p>
        </w:tc>
      </w:tr>
      <w:tr w:rsidR="009515BC" w:rsidRPr="00F00EB0" w14:paraId="51F63337" w14:textId="77777777" w:rsidTr="0021593D">
        <w:trPr>
          <w:trHeight w:val="504"/>
        </w:trPr>
        <w:tc>
          <w:tcPr>
            <w:tcW w:w="1501" w:type="pct"/>
            <w:tcBorders>
              <w:bottom w:val="single" w:sz="4" w:space="0" w:color="auto"/>
            </w:tcBorders>
            <w:shd w:val="clear" w:color="auto" w:fill="FFFFFF" w:themeFill="background1"/>
            <w:vAlign w:val="center"/>
            <w:hideMark/>
          </w:tcPr>
          <w:p w14:paraId="751B4F01" w14:textId="77777777" w:rsidR="009515BC" w:rsidRPr="00F00EB0" w:rsidRDefault="009515BC" w:rsidP="0021593D">
            <w:pPr>
              <w:spacing w:after="0" w:line="240" w:lineRule="auto"/>
              <w:jc w:val="both"/>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Зміна Н3, в.п.</w:t>
            </w:r>
          </w:p>
        </w:tc>
        <w:tc>
          <w:tcPr>
            <w:tcW w:w="642" w:type="pct"/>
            <w:tcBorders>
              <w:bottom w:val="single" w:sz="4" w:space="0" w:color="auto"/>
            </w:tcBorders>
            <w:shd w:val="clear" w:color="auto" w:fill="FFFFFF" w:themeFill="background1"/>
            <w:noWrap/>
            <w:vAlign w:val="center"/>
            <w:hideMark/>
          </w:tcPr>
          <w:p w14:paraId="33B2C543"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0,0</w:t>
            </w:r>
          </w:p>
        </w:tc>
        <w:tc>
          <w:tcPr>
            <w:tcW w:w="642" w:type="pct"/>
            <w:tcBorders>
              <w:bottom w:val="single" w:sz="4" w:space="0" w:color="auto"/>
            </w:tcBorders>
            <w:shd w:val="clear" w:color="auto" w:fill="FFFFFF" w:themeFill="background1"/>
            <w:noWrap/>
            <w:vAlign w:val="center"/>
            <w:hideMark/>
          </w:tcPr>
          <w:p w14:paraId="6C466464"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0,0</w:t>
            </w:r>
          </w:p>
        </w:tc>
        <w:tc>
          <w:tcPr>
            <w:tcW w:w="356" w:type="pct"/>
            <w:tcBorders>
              <w:bottom w:val="single" w:sz="4" w:space="0" w:color="auto"/>
            </w:tcBorders>
            <w:shd w:val="clear" w:color="auto" w:fill="FFFFFF" w:themeFill="background1"/>
            <w:noWrap/>
            <w:vAlign w:val="center"/>
            <w:hideMark/>
          </w:tcPr>
          <w:p w14:paraId="6386545A"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4,9</w:t>
            </w:r>
          </w:p>
        </w:tc>
        <w:tc>
          <w:tcPr>
            <w:tcW w:w="357" w:type="pct"/>
            <w:tcBorders>
              <w:bottom w:val="single" w:sz="4" w:space="0" w:color="auto"/>
            </w:tcBorders>
            <w:shd w:val="clear" w:color="auto" w:fill="FFFFFF" w:themeFill="background1"/>
            <w:noWrap/>
            <w:vAlign w:val="center"/>
            <w:hideMark/>
          </w:tcPr>
          <w:p w14:paraId="335EDCA2"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8,3</w:t>
            </w:r>
          </w:p>
        </w:tc>
        <w:tc>
          <w:tcPr>
            <w:tcW w:w="357" w:type="pct"/>
            <w:tcBorders>
              <w:bottom w:val="single" w:sz="4" w:space="0" w:color="auto"/>
            </w:tcBorders>
            <w:shd w:val="clear" w:color="auto" w:fill="FFFFFF" w:themeFill="background1"/>
            <w:noWrap/>
            <w:vAlign w:val="center"/>
            <w:hideMark/>
          </w:tcPr>
          <w:p w14:paraId="594307D2"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14,2</w:t>
            </w:r>
          </w:p>
        </w:tc>
        <w:tc>
          <w:tcPr>
            <w:tcW w:w="357" w:type="pct"/>
            <w:tcBorders>
              <w:bottom w:val="single" w:sz="4" w:space="0" w:color="auto"/>
            </w:tcBorders>
            <w:shd w:val="clear" w:color="auto" w:fill="FFFFFF" w:themeFill="background1"/>
            <w:noWrap/>
            <w:vAlign w:val="center"/>
            <w:hideMark/>
          </w:tcPr>
          <w:p w14:paraId="7B8FDC60"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2,4</w:t>
            </w:r>
          </w:p>
        </w:tc>
        <w:tc>
          <w:tcPr>
            <w:tcW w:w="357" w:type="pct"/>
            <w:tcBorders>
              <w:bottom w:val="single" w:sz="4" w:space="0" w:color="auto"/>
            </w:tcBorders>
            <w:shd w:val="clear" w:color="auto" w:fill="FFFFFF" w:themeFill="background1"/>
            <w:noWrap/>
            <w:vAlign w:val="center"/>
            <w:hideMark/>
          </w:tcPr>
          <w:p w14:paraId="59064DF4"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3,8</w:t>
            </w:r>
          </w:p>
        </w:tc>
        <w:tc>
          <w:tcPr>
            <w:tcW w:w="430" w:type="pct"/>
            <w:tcBorders>
              <w:bottom w:val="single" w:sz="4" w:space="0" w:color="auto"/>
            </w:tcBorders>
            <w:shd w:val="clear" w:color="auto" w:fill="FFFFFF" w:themeFill="background1"/>
            <w:noWrap/>
            <w:vAlign w:val="center"/>
            <w:hideMark/>
          </w:tcPr>
          <w:p w14:paraId="61E965E0" w14:textId="77777777" w:rsidR="009515BC" w:rsidRPr="00F00EB0" w:rsidRDefault="009515BC" w:rsidP="0021593D">
            <w:pPr>
              <w:spacing w:after="0" w:line="240" w:lineRule="auto"/>
              <w:jc w:val="right"/>
              <w:rPr>
                <w:rFonts w:ascii="Times New Roman" w:eastAsia="Times New Roman" w:hAnsi="Times New Roman" w:cs="Times New Roman"/>
                <w:color w:val="000000" w:themeColor="text1"/>
                <w:sz w:val="24"/>
                <w:szCs w:val="24"/>
                <w:lang w:val="uk-UA" w:eastAsia="uk-UA"/>
              </w:rPr>
            </w:pPr>
            <w:r w:rsidRPr="00F00EB0">
              <w:rPr>
                <w:rFonts w:ascii="Times New Roman" w:eastAsia="Times New Roman" w:hAnsi="Times New Roman" w:cs="Times New Roman"/>
                <w:color w:val="000000" w:themeColor="text1"/>
                <w:sz w:val="24"/>
                <w:szCs w:val="24"/>
                <w:lang w:val="uk-UA" w:eastAsia="uk-UA"/>
              </w:rPr>
              <w:t>7,1</w:t>
            </w:r>
          </w:p>
        </w:tc>
      </w:tr>
    </w:tbl>
    <w:p w14:paraId="6D17B3F2" w14:textId="77777777" w:rsidR="009515BC" w:rsidRPr="00F00EB0" w:rsidRDefault="009515BC" w:rsidP="009515BC">
      <w:pPr>
        <w:shd w:val="clear" w:color="auto" w:fill="FFFFFF"/>
        <w:spacing w:after="0" w:line="360" w:lineRule="auto"/>
        <w:jc w:val="both"/>
        <w:rPr>
          <w:rFonts w:ascii="Times New Roman" w:eastAsia="Times New Roman" w:hAnsi="Times New Roman" w:cs="Times New Roman"/>
          <w:color w:val="000000" w:themeColor="text1"/>
          <w:sz w:val="24"/>
          <w:szCs w:val="24"/>
          <w:lang w:val="uk-UA"/>
        </w:rPr>
      </w:pPr>
      <w:r w:rsidRPr="00F00EB0">
        <w:rPr>
          <w:rFonts w:ascii="Times New Roman" w:eastAsia="Times New Roman" w:hAnsi="Times New Roman" w:cs="Times New Roman"/>
          <w:color w:val="000000" w:themeColor="text1"/>
          <w:sz w:val="24"/>
          <w:szCs w:val="24"/>
          <w:lang w:val="uk-UA"/>
        </w:rPr>
        <w:t xml:space="preserve"> </w:t>
      </w:r>
    </w:p>
    <w:p w14:paraId="415F4B7E" w14:textId="77777777" w:rsidR="009515BC" w:rsidRPr="00F00EB0" w:rsidRDefault="009515BC" w:rsidP="009515B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lastRenderedPageBreak/>
        <w:t xml:space="preserve">Модель стрес-тестування, застосована НБУ, визначає, що </w:t>
      </w:r>
      <w:r w:rsidRPr="00F00EB0">
        <w:rPr>
          <w:rFonts w:ascii="Times New Roman" w:eastAsia="Times New Roman" w:hAnsi="Times New Roman" w:cs="Times New Roman"/>
          <w:bCs/>
          <w:color w:val="000000" w:themeColor="text1"/>
          <w:sz w:val="28"/>
          <w:szCs w:val="28"/>
          <w:lang w:val="uk-UA"/>
        </w:rPr>
        <w:t xml:space="preserve">АТ КБ «ПриватБанк» </w:t>
      </w:r>
      <w:r w:rsidRPr="00F00EB0">
        <w:rPr>
          <w:rFonts w:ascii="Times New Roman" w:eastAsia="Times New Roman" w:hAnsi="Times New Roman" w:cs="Times New Roman"/>
          <w:color w:val="000000" w:themeColor="text1"/>
          <w:sz w:val="28"/>
          <w:szCs w:val="28"/>
          <w:lang w:val="uk-UA"/>
        </w:rPr>
        <w:t xml:space="preserve">залишається достатньо капіталізованим навіть у несприятливих економічних сценаріях. Проте порівняно з результатами стрес-тестування, проведеного у 2019 році, ФСБ знизилась </w:t>
      </w:r>
      <w:r w:rsidRPr="00F00EB0">
        <w:rPr>
          <w:rFonts w:ascii="Times New Roman" w:eastAsia="WenQuanYi Micro Hei" w:hAnsi="Times New Roman" w:cs="Times New Roman"/>
          <w:color w:val="000000" w:themeColor="text1"/>
          <w:kern w:val="3"/>
          <w:sz w:val="28"/>
          <w:szCs w:val="28"/>
          <w:lang w:val="uk-UA" w:eastAsia="zh-CN" w:bidi="hi-IN"/>
        </w:rPr>
        <w:t>[64]</w:t>
      </w:r>
      <w:r w:rsidRPr="00F00EB0">
        <w:rPr>
          <w:rFonts w:ascii="Times New Roman" w:eastAsia="Times New Roman" w:hAnsi="Times New Roman" w:cs="Times New Roman"/>
          <w:color w:val="000000" w:themeColor="text1"/>
          <w:sz w:val="28"/>
          <w:szCs w:val="28"/>
          <w:lang w:val="uk-UA"/>
        </w:rPr>
        <w:t xml:space="preserve">. </w:t>
      </w:r>
    </w:p>
    <w:p w14:paraId="7FDFEEEC" w14:textId="77777777" w:rsidR="009515BC" w:rsidRPr="00F00EB0" w:rsidRDefault="009515BC" w:rsidP="009515B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Відповідно до зазначеного можна зробити висновок, що попри негативний вплив зовнішнього середовища банк має достатній рівень капітальної стійкості. Негативною тенденцією є зниження показників достатності у 2022 році.</w:t>
      </w:r>
    </w:p>
    <w:p w14:paraId="4CDDBEE2" w14:textId="77777777" w:rsidR="009515BC" w:rsidRPr="00F00EB0" w:rsidRDefault="009515BC" w:rsidP="009515BC">
      <w:pPr>
        <w:shd w:val="clear" w:color="auto" w:fill="FFFFFF"/>
        <w:spacing w:after="0" w:line="360" w:lineRule="auto"/>
        <w:ind w:firstLine="709"/>
        <w:jc w:val="both"/>
        <w:rPr>
          <w:rFonts w:ascii="Times New Roman" w:eastAsia="WenQuanYi Micro Hei" w:hAnsi="Times New Roman" w:cs="Times New Roman"/>
          <w:color w:val="000000" w:themeColor="text1"/>
          <w:kern w:val="3"/>
          <w:sz w:val="28"/>
          <w:szCs w:val="28"/>
          <w:lang w:val="uk-UA" w:eastAsia="zh-CN" w:bidi="hi-IN"/>
        </w:rPr>
      </w:pPr>
      <w:r w:rsidRPr="00F00EB0">
        <w:rPr>
          <w:rFonts w:ascii="Times New Roman" w:eastAsia="Times New Roman" w:hAnsi="Times New Roman" w:cs="Times New Roman"/>
          <w:color w:val="000000" w:themeColor="text1"/>
          <w:sz w:val="28"/>
          <w:szCs w:val="28"/>
          <w:lang w:val="uk-UA"/>
        </w:rPr>
        <w:t xml:space="preserve">Оскільки ми визначили, що найбільш вагомим негативним фактором, що впливає на рівень ФСБ, є рівень кредитного ризику </w:t>
      </w:r>
      <w:r w:rsidRPr="00F00EB0">
        <w:rPr>
          <w:rFonts w:ascii="Times New Roman" w:eastAsia="WenQuanYi Micro Hei" w:hAnsi="Times New Roman" w:cs="Times New Roman"/>
          <w:color w:val="000000" w:themeColor="text1"/>
          <w:kern w:val="3"/>
          <w:sz w:val="28"/>
          <w:szCs w:val="28"/>
          <w:lang w:val="uk-UA" w:eastAsia="zh-CN" w:bidi="hi-IN"/>
        </w:rPr>
        <w:t xml:space="preserve">та частка недіючих кредитів, проведемо аналіз цього об’єкта. </w:t>
      </w:r>
    </w:p>
    <w:p w14:paraId="71F0B459" w14:textId="77777777" w:rsidR="009515BC" w:rsidRPr="00F00EB0" w:rsidRDefault="009515BC" w:rsidP="009515BC">
      <w:pPr>
        <w:shd w:val="clear" w:color="auto" w:fill="FFFFFF"/>
        <w:spacing w:after="0" w:line="360" w:lineRule="auto"/>
        <w:ind w:firstLine="709"/>
        <w:jc w:val="both"/>
        <w:rPr>
          <w:rFonts w:ascii="Times New Roman" w:eastAsia="WenQuanYi Micro Hei" w:hAnsi="Times New Roman" w:cs="Times New Roman"/>
          <w:color w:val="000000" w:themeColor="text1"/>
          <w:kern w:val="3"/>
          <w:sz w:val="28"/>
          <w:szCs w:val="28"/>
          <w:lang w:val="uk-UA" w:eastAsia="zh-CN" w:bidi="hi-IN"/>
        </w:rPr>
      </w:pPr>
      <w:r w:rsidRPr="00F00EB0">
        <w:rPr>
          <w:rFonts w:ascii="Times New Roman" w:hAnsi="Times New Roman" w:cs="Times New Roman"/>
          <w:color w:val="000000" w:themeColor="text1"/>
          <w:sz w:val="28"/>
          <w:szCs w:val="28"/>
          <w:lang w:val="uk-UA"/>
        </w:rPr>
        <w:t>Якість кредитного портфеля фізичних осіб проведемо на основі даних таблиці К.1. Представлені дані свідчать, що протягом періоду дослідження якість кредитного портфеля фізичних осіб банку покращилась. Це підтверджується тим, що частка боржників позичальників 1-го класу за період аналізу зросла з 57 % до 82 %. Оскільки фінансовий стан позичальників цієї групи є високим, вони генерують відносно низький рівень кредитного ризику. Позитивним є те, що частка кредитів боржників 5-го класу протягом періоду скорочувалась – з 52 % станом на початок 2019 року до 16 % станом на початок 2023 року. Оскільки фінансовий стан цих боржників критичний, під ці кредити сформовані резерви, що зменшить їх негативний вплив на фінансовий стан банку. Отже, якість кредитного портфеля фізичних осіб банку можемо визначити як задовільну.</w:t>
      </w:r>
    </w:p>
    <w:p w14:paraId="3A43A8C7" w14:textId="77777777" w:rsidR="009515BC" w:rsidRPr="00F00EB0" w:rsidRDefault="009515BC" w:rsidP="009515BC">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Вагомою складовою кредитного портфеля є корпоративні кредити, аналіз яких проведемо на основі даних, наведених в таблиці К.2. На відміну від кредитного портфеля фізичних осіб, якість цього портфеля є низькою. Протягом всього періоду, що аналізується, в кредитному портфелі домінують кредити, надані боржниками, що віднесені до 10-го класу, та класифікуються як недіючі. </w:t>
      </w:r>
    </w:p>
    <w:p w14:paraId="50AEAA3E" w14:textId="77777777" w:rsidR="009515BC" w:rsidRPr="00F00EB0" w:rsidRDefault="009515BC" w:rsidP="009515BC">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Позитивно. є тенденція до поступового скорочення частки недіючих кредитів з 2018 року, коли їх обсяг зменшився на майже 46326587 тис. грн, частка в кредитному портфелі скоротилася з 96,3 % до 67,7 % станом на 1 січня 2023 року (рис. 2.13). </w:t>
      </w:r>
    </w:p>
    <w:p w14:paraId="57C5DF18" w14:textId="77777777" w:rsidR="009515BC" w:rsidRPr="00F00EB0" w:rsidRDefault="009515BC" w:rsidP="009515BC">
      <w:p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F00EB0">
        <w:rPr>
          <w:noProof/>
          <w:color w:val="000000" w:themeColor="text1"/>
          <w:lang w:eastAsia="ru-RU"/>
        </w:rPr>
        <w:lastRenderedPageBreak/>
        <w:drawing>
          <wp:inline distT="0" distB="0" distL="0" distR="0" wp14:anchorId="5CE269CA" wp14:editId="75014A70">
            <wp:extent cx="6299835" cy="4629873"/>
            <wp:effectExtent l="0" t="0" r="0" b="0"/>
            <wp:docPr id="1711110053" name="Диаграмма 1">
              <a:extLst xmlns:a="http://schemas.openxmlformats.org/drawingml/2006/main">
                <a:ext uri="{FF2B5EF4-FFF2-40B4-BE49-F238E27FC236}">
                  <a16:creationId xmlns:a16="http://schemas.microsoft.com/office/drawing/2014/main" id="{AF0E1E44-B30F-7A9F-CCAD-BAFE33F611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14:paraId="5D0C7C00" w14:textId="77777777" w:rsidR="009515BC" w:rsidRPr="00F00EB0" w:rsidRDefault="009515BC" w:rsidP="009515BC">
      <w:pPr>
        <w:autoSpaceDE w:val="0"/>
        <w:autoSpaceDN w:val="0"/>
        <w:adjustRightInd w:val="0"/>
        <w:spacing w:after="0" w:line="360" w:lineRule="auto"/>
        <w:jc w:val="center"/>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Рисунок 2.13  – Динаміка показників якості кредитного портфеля АТ КБ «ПриватБанк» з 01.01.2018 по 01.01.2023 </w:t>
      </w:r>
      <w:r w:rsidRPr="00F00EB0">
        <w:rPr>
          <w:rFonts w:ascii="Times New Roman" w:eastAsia="WenQuanYi Micro Hei" w:hAnsi="Times New Roman" w:cs="Times New Roman"/>
          <w:color w:val="000000" w:themeColor="text1"/>
          <w:kern w:val="3"/>
          <w:sz w:val="28"/>
          <w:szCs w:val="28"/>
          <w:lang w:val="uk-UA" w:eastAsia="zh-CN" w:bidi="hi-IN"/>
        </w:rPr>
        <w:t>[побудовано автором на основі 63]</w:t>
      </w:r>
    </w:p>
    <w:p w14:paraId="42FDF580" w14:textId="77777777" w:rsidR="009515BC" w:rsidRPr="00F00EB0" w:rsidRDefault="009515BC" w:rsidP="009515BC">
      <w:pPr>
        <w:tabs>
          <w:tab w:val="left" w:pos="1134"/>
        </w:tabs>
        <w:spacing w:after="0" w:line="360" w:lineRule="auto"/>
        <w:ind w:firstLine="709"/>
        <w:contextualSpacing/>
        <w:jc w:val="both"/>
        <w:rPr>
          <w:rFonts w:ascii="Times New Roman" w:hAnsi="Times New Roman" w:cs="Times New Roman"/>
          <w:color w:val="000000" w:themeColor="text1"/>
          <w:kern w:val="1"/>
          <w:sz w:val="28"/>
          <w:lang w:val="uk-UA" w:eastAsia="uk-UA"/>
        </w:rPr>
      </w:pPr>
    </w:p>
    <w:p w14:paraId="23BFFFC0" w14:textId="77777777" w:rsidR="009515BC" w:rsidRPr="00F00EB0" w:rsidRDefault="009515BC" w:rsidP="009515BC">
      <w:pPr>
        <w:tabs>
          <w:tab w:val="left" w:pos="1134"/>
        </w:tabs>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kern w:val="1"/>
          <w:sz w:val="28"/>
          <w:lang w:val="uk-UA" w:eastAsia="uk-UA"/>
        </w:rPr>
        <w:t>Недіючі кредити є результатом</w:t>
      </w:r>
      <w:r w:rsidRPr="00F00EB0">
        <w:rPr>
          <w:rFonts w:ascii="Times New Roman" w:hAnsi="Times New Roman" w:cs="Times New Roman"/>
          <w:color w:val="000000" w:themeColor="text1"/>
          <w:sz w:val="28"/>
          <w:szCs w:val="28"/>
          <w:lang w:val="uk-UA"/>
        </w:rPr>
        <w:t xml:space="preserve"> ризикової кредитної політики попередніх власників та причиною його націоналізації, та</w:t>
      </w:r>
      <w:r w:rsidRPr="00F00EB0">
        <w:rPr>
          <w:rFonts w:ascii="Times New Roman" w:hAnsi="Times New Roman" w:cs="Times New Roman"/>
          <w:color w:val="000000" w:themeColor="text1"/>
          <w:kern w:val="1"/>
          <w:sz w:val="28"/>
          <w:lang w:val="uk-UA" w:eastAsia="uk-UA"/>
        </w:rPr>
        <w:t xml:space="preserve"> управляються АТ КБ «ПриватБанк» як єдиний портфель через ідентичні характеристики. </w:t>
      </w:r>
    </w:p>
    <w:p w14:paraId="17C330D5" w14:textId="77777777" w:rsidR="009515BC" w:rsidRPr="00F00EB0" w:rsidRDefault="009515BC" w:rsidP="009515BC">
      <w:pPr>
        <w:tabs>
          <w:tab w:val="left" w:pos="1134"/>
        </w:tabs>
        <w:spacing w:after="0" w:line="360" w:lineRule="auto"/>
        <w:ind w:firstLine="709"/>
        <w:contextualSpacing/>
        <w:jc w:val="both"/>
        <w:rPr>
          <w:rFonts w:ascii="Times New Roman" w:hAnsi="Times New Roman" w:cs="Times New Roman"/>
          <w:color w:val="000000" w:themeColor="text1"/>
          <w:kern w:val="1"/>
          <w:sz w:val="28"/>
          <w:lang w:val="uk-UA" w:eastAsia="uk-UA"/>
        </w:rPr>
      </w:pPr>
      <w:r w:rsidRPr="00F00EB0">
        <w:rPr>
          <w:rFonts w:ascii="Times New Roman" w:hAnsi="Times New Roman" w:cs="Times New Roman"/>
          <w:color w:val="000000" w:themeColor="text1"/>
          <w:sz w:val="28"/>
          <w:szCs w:val="28"/>
          <w:lang w:val="uk-UA"/>
        </w:rPr>
        <w:t xml:space="preserve">Для аналізу </w:t>
      </w:r>
      <w:r w:rsidRPr="00F00EB0">
        <w:rPr>
          <w:rFonts w:ascii="Times New Roman" w:hAnsi="Times New Roman" w:cs="Times New Roman"/>
          <w:color w:val="000000" w:themeColor="text1"/>
          <w:kern w:val="3"/>
          <w:sz w:val="28"/>
          <w:szCs w:val="28"/>
          <w:lang w:val="uk-UA" w:eastAsia="zh-CN" w:bidi="hi-IN"/>
        </w:rPr>
        <w:t xml:space="preserve">якості кредитного портфеля </w:t>
      </w:r>
      <w:r w:rsidRPr="00F00EB0">
        <w:rPr>
          <w:rFonts w:ascii="Times New Roman" w:hAnsi="Times New Roman" w:cs="Times New Roman"/>
          <w:color w:val="000000" w:themeColor="text1"/>
          <w:kern w:val="1"/>
          <w:sz w:val="28"/>
          <w:lang w:val="uk-UA" w:eastAsia="uk-UA"/>
        </w:rPr>
        <w:t>АТ КБ «ПриватБанк» проведемо аналіз обов’язкових та додаткових коефіцієнтів, представлені в таблиці 2.5.</w:t>
      </w:r>
    </w:p>
    <w:p w14:paraId="36352B2E" w14:textId="77777777" w:rsidR="009515BC" w:rsidRPr="00F00EB0" w:rsidRDefault="009515BC" w:rsidP="009515BC">
      <w:pPr>
        <w:tabs>
          <w:tab w:val="left" w:pos="1134"/>
        </w:tabs>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Наведені в таблиці 2.5 дані свідчать, що протягом періоду дослідження банком виконували всі обов’язкові нормативи кредитного ризику НБУ. </w:t>
      </w:r>
    </w:p>
    <w:p w14:paraId="30C64859" w14:textId="77777777" w:rsidR="009515BC" w:rsidRPr="00F00EB0" w:rsidRDefault="009515BC" w:rsidP="009515BC">
      <w:pPr>
        <w:tabs>
          <w:tab w:val="left" w:pos="1134"/>
        </w:tabs>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Показник якості кредитного портфеля характеризує його якість з позиції ризиковості та показує частку негативно класифікованих кредитів за рівнем ризику в загальній сумі кредитного портфеля банку. </w:t>
      </w:r>
    </w:p>
    <w:p w14:paraId="41D2407E" w14:textId="77777777" w:rsidR="009515BC" w:rsidRPr="00F00EB0" w:rsidRDefault="009515BC" w:rsidP="009515BC">
      <w:pPr>
        <w:suppressAutoHyphens/>
        <w:autoSpaceDN w:val="0"/>
        <w:spacing w:after="0" w:line="360" w:lineRule="auto"/>
        <w:ind w:firstLine="709"/>
        <w:contextualSpacing/>
        <w:jc w:val="both"/>
        <w:textAlignment w:val="baseline"/>
        <w:rPr>
          <w:rFonts w:ascii="Times New Roman" w:hAnsi="Times New Roman" w:cs="Times New Roman"/>
          <w:color w:val="000000" w:themeColor="text1"/>
          <w:kern w:val="3"/>
          <w:sz w:val="28"/>
          <w:szCs w:val="28"/>
          <w:lang w:val="uk-UA" w:eastAsia="zh-CN" w:bidi="hi-IN"/>
        </w:rPr>
      </w:pPr>
      <w:r w:rsidRPr="00F00EB0">
        <w:rPr>
          <w:rFonts w:ascii="Times New Roman" w:hAnsi="Times New Roman" w:cs="Times New Roman"/>
          <w:color w:val="000000" w:themeColor="text1"/>
          <w:kern w:val="3"/>
          <w:sz w:val="28"/>
          <w:szCs w:val="28"/>
          <w:lang w:val="uk-UA" w:eastAsia="zh-CN" w:bidi="hi-IN"/>
        </w:rPr>
        <w:lastRenderedPageBreak/>
        <w:t xml:space="preserve">Таблиця 2.5 – Динаміка показників якості кредитного портфеля </w:t>
      </w:r>
      <w:r w:rsidRPr="00F00EB0">
        <w:rPr>
          <w:rFonts w:ascii="Times New Roman" w:hAnsi="Times New Roman" w:cs="Times New Roman"/>
          <w:bCs/>
          <w:color w:val="000000" w:themeColor="text1"/>
          <w:kern w:val="3"/>
          <w:sz w:val="28"/>
          <w:szCs w:val="28"/>
          <w:lang w:val="uk-UA" w:eastAsia="zh-CN" w:bidi="hi-IN"/>
        </w:rPr>
        <w:t xml:space="preserve">АТ КБ «ПриватБанк» </w:t>
      </w:r>
      <w:r w:rsidRPr="00F00EB0">
        <w:rPr>
          <w:rFonts w:ascii="Times New Roman" w:hAnsi="Times New Roman" w:cs="Times New Roman"/>
          <w:color w:val="000000" w:themeColor="text1"/>
          <w:kern w:val="3"/>
          <w:sz w:val="28"/>
          <w:szCs w:val="28"/>
          <w:lang w:val="uk-UA" w:eastAsia="zh-CN" w:bidi="hi-IN"/>
        </w:rPr>
        <w:t xml:space="preserve">за 2018-2022 рр., % </w:t>
      </w:r>
      <w:r w:rsidRPr="00F00EB0">
        <w:rPr>
          <w:rFonts w:ascii="Times New Roman" w:eastAsia="WenQuanYi Micro Hei" w:hAnsi="Times New Roman" w:cs="Times New Roman"/>
          <w:color w:val="000000" w:themeColor="text1"/>
          <w:kern w:val="3"/>
          <w:sz w:val="28"/>
          <w:szCs w:val="28"/>
          <w:lang w:val="uk-UA" w:eastAsia="zh-CN" w:bidi="hi-IN"/>
        </w:rPr>
        <w:t>[складено автором на основі 53-59]</w:t>
      </w:r>
    </w:p>
    <w:tbl>
      <w:tblPr>
        <w:tblW w:w="5000" w:type="pct"/>
        <w:tblLook w:val="04A0" w:firstRow="1" w:lastRow="0" w:firstColumn="1" w:lastColumn="0" w:noHBand="0" w:noVBand="1"/>
      </w:tblPr>
      <w:tblGrid>
        <w:gridCol w:w="1334"/>
        <w:gridCol w:w="1861"/>
        <w:gridCol w:w="1771"/>
        <w:gridCol w:w="1745"/>
        <w:gridCol w:w="1931"/>
        <w:gridCol w:w="1269"/>
      </w:tblGrid>
      <w:tr w:rsidR="009515BC" w:rsidRPr="00F00EB0" w14:paraId="240D8951" w14:textId="77777777" w:rsidTr="0021593D">
        <w:trPr>
          <w:trHeight w:val="20"/>
        </w:trPr>
        <w:tc>
          <w:tcPr>
            <w:tcW w:w="698" w:type="pct"/>
            <w:tcBorders>
              <w:top w:val="single" w:sz="4" w:space="0" w:color="auto"/>
              <w:left w:val="single" w:sz="4" w:space="0" w:color="auto"/>
              <w:bottom w:val="single" w:sz="4" w:space="0" w:color="auto"/>
              <w:right w:val="single" w:sz="4" w:space="0" w:color="auto"/>
            </w:tcBorders>
            <w:noWrap/>
            <w:vAlign w:val="center"/>
            <w:hideMark/>
          </w:tcPr>
          <w:p w14:paraId="3A010A86" w14:textId="77777777" w:rsidR="009515BC" w:rsidRPr="00F00EB0" w:rsidRDefault="009515BC" w:rsidP="0021593D">
            <w:pPr>
              <w:spacing w:after="0"/>
              <w:ind w:left="-57" w:right="-57"/>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Дата</w:t>
            </w:r>
          </w:p>
        </w:tc>
        <w:tc>
          <w:tcPr>
            <w:tcW w:w="964" w:type="pct"/>
            <w:tcBorders>
              <w:top w:val="single" w:sz="4" w:space="0" w:color="auto"/>
              <w:left w:val="nil"/>
              <w:bottom w:val="single" w:sz="4" w:space="0" w:color="auto"/>
              <w:right w:val="single" w:sz="4" w:space="0" w:color="auto"/>
            </w:tcBorders>
            <w:shd w:val="clear" w:color="000000" w:fill="FFFFFF"/>
            <w:vAlign w:val="center"/>
            <w:hideMark/>
          </w:tcPr>
          <w:p w14:paraId="54FD8DF8" w14:textId="77777777" w:rsidR="009515BC" w:rsidRPr="00F00EB0" w:rsidRDefault="009515BC" w:rsidP="0021593D">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Н7 (для спеціалізованих ощадних банків - </w:t>
            </w:r>
            <w:r w:rsidRPr="00F00EB0">
              <w:rPr>
                <w:rFonts w:ascii="Segoe UI" w:hAnsi="Segoe UI" w:cs="Segoe UI"/>
                <w:color w:val="000000" w:themeColor="text1"/>
                <w:shd w:val="clear" w:color="auto" w:fill="F7F7F8"/>
                <w:lang w:val="uk-UA"/>
              </w:rPr>
              <w:t>≤</w:t>
            </w:r>
            <w:r w:rsidRPr="00F00EB0">
              <w:rPr>
                <w:rFonts w:ascii="Times New Roman" w:hAnsi="Times New Roman" w:cs="Times New Roman"/>
                <w:color w:val="000000" w:themeColor="text1"/>
                <w:sz w:val="24"/>
                <w:szCs w:val="24"/>
                <w:lang w:val="uk-UA"/>
              </w:rPr>
              <w:t>20%)</w:t>
            </w:r>
          </w:p>
        </w:tc>
        <w:tc>
          <w:tcPr>
            <w:tcW w:w="918" w:type="pct"/>
            <w:tcBorders>
              <w:top w:val="single" w:sz="4" w:space="0" w:color="auto"/>
              <w:left w:val="nil"/>
              <w:bottom w:val="single" w:sz="4" w:space="0" w:color="auto"/>
              <w:right w:val="single" w:sz="4" w:space="0" w:color="auto"/>
            </w:tcBorders>
            <w:shd w:val="clear" w:color="000000" w:fill="FFFFFF"/>
            <w:vAlign w:val="center"/>
            <w:hideMark/>
          </w:tcPr>
          <w:p w14:paraId="1E3C5463" w14:textId="77777777" w:rsidR="009515BC" w:rsidRPr="00F00EB0" w:rsidRDefault="009515BC" w:rsidP="0021593D">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Н8 (</w:t>
            </w:r>
            <w:r w:rsidRPr="00F00EB0">
              <w:rPr>
                <w:rFonts w:ascii="Segoe UI" w:hAnsi="Segoe UI" w:cs="Segoe UI"/>
                <w:color w:val="000000" w:themeColor="text1"/>
                <w:shd w:val="clear" w:color="auto" w:fill="F7F7F8"/>
                <w:lang w:val="uk-UA"/>
              </w:rPr>
              <w:t>≤</w:t>
            </w:r>
            <w:r w:rsidRPr="00F00EB0">
              <w:rPr>
                <w:rFonts w:ascii="Times New Roman" w:hAnsi="Times New Roman" w:cs="Times New Roman"/>
                <w:color w:val="000000" w:themeColor="text1"/>
                <w:sz w:val="24"/>
                <w:szCs w:val="24"/>
                <w:lang w:val="uk-UA"/>
              </w:rPr>
              <w:t>8-кратного розміру регулятивного капіталу)</w:t>
            </w:r>
          </w:p>
        </w:tc>
        <w:tc>
          <w:tcPr>
            <w:tcW w:w="760" w:type="pct"/>
            <w:tcBorders>
              <w:top w:val="single" w:sz="4" w:space="0" w:color="auto"/>
              <w:left w:val="nil"/>
              <w:bottom w:val="single" w:sz="4" w:space="0" w:color="auto"/>
              <w:right w:val="single" w:sz="4" w:space="0" w:color="auto"/>
            </w:tcBorders>
            <w:shd w:val="clear" w:color="000000" w:fill="FFFFFF"/>
            <w:vAlign w:val="center"/>
            <w:hideMark/>
          </w:tcPr>
          <w:p w14:paraId="0B7E2605" w14:textId="77777777" w:rsidR="009515BC" w:rsidRPr="00F00EB0" w:rsidRDefault="009515BC" w:rsidP="0021593D">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Н9 (для спеціалізованих ощадних банків - </w:t>
            </w:r>
            <w:r w:rsidRPr="00F00EB0">
              <w:rPr>
                <w:rFonts w:ascii="Segoe UI" w:hAnsi="Segoe UI" w:cs="Segoe UI"/>
                <w:color w:val="000000" w:themeColor="text1"/>
                <w:shd w:val="clear" w:color="auto" w:fill="F7F7F8"/>
                <w:lang w:val="uk-UA"/>
              </w:rPr>
              <w:t>≤</w:t>
            </w:r>
            <w:r w:rsidRPr="00F00EB0">
              <w:rPr>
                <w:rFonts w:ascii="Times New Roman" w:hAnsi="Times New Roman" w:cs="Times New Roman"/>
                <w:color w:val="000000" w:themeColor="text1"/>
                <w:sz w:val="24"/>
                <w:szCs w:val="24"/>
                <w:lang w:val="uk-UA"/>
              </w:rPr>
              <w:t>20%)</w:t>
            </w:r>
          </w:p>
        </w:tc>
        <w:tc>
          <w:tcPr>
            <w:tcW w:w="999" w:type="pct"/>
            <w:tcBorders>
              <w:top w:val="single" w:sz="4" w:space="0" w:color="auto"/>
              <w:left w:val="nil"/>
              <w:bottom w:val="single" w:sz="4" w:space="0" w:color="auto"/>
              <w:right w:val="single" w:sz="4" w:space="0" w:color="auto"/>
            </w:tcBorders>
            <w:shd w:val="clear" w:color="000000" w:fill="FFFFFF"/>
            <w:vAlign w:val="center"/>
            <w:hideMark/>
          </w:tcPr>
          <w:p w14:paraId="01854F4F" w14:textId="77777777" w:rsidR="009515BC" w:rsidRPr="00F00EB0" w:rsidRDefault="009515BC" w:rsidP="0021593D">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Показник покриття кредитного портфеля власним капіталом</w:t>
            </w:r>
          </w:p>
        </w:tc>
        <w:tc>
          <w:tcPr>
            <w:tcW w:w="661" w:type="pct"/>
            <w:tcBorders>
              <w:top w:val="single" w:sz="4" w:space="0" w:color="auto"/>
              <w:left w:val="nil"/>
              <w:bottom w:val="single" w:sz="4" w:space="0" w:color="auto"/>
              <w:right w:val="single" w:sz="4" w:space="0" w:color="auto"/>
            </w:tcBorders>
            <w:shd w:val="clear" w:color="000000" w:fill="FFFFFF"/>
            <w:vAlign w:val="center"/>
            <w:hideMark/>
          </w:tcPr>
          <w:p w14:paraId="724033BB" w14:textId="77777777" w:rsidR="009515BC" w:rsidRPr="00F00EB0" w:rsidRDefault="009515BC" w:rsidP="0021593D">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Показник якості кредитного портфеля</w:t>
            </w:r>
          </w:p>
        </w:tc>
      </w:tr>
      <w:tr w:rsidR="009515BC" w:rsidRPr="00F00EB0" w14:paraId="4076B2FC" w14:textId="77777777" w:rsidTr="0021593D">
        <w:trPr>
          <w:trHeight w:val="20"/>
        </w:trPr>
        <w:tc>
          <w:tcPr>
            <w:tcW w:w="698" w:type="pct"/>
            <w:tcBorders>
              <w:top w:val="nil"/>
              <w:left w:val="single" w:sz="4" w:space="0" w:color="auto"/>
              <w:bottom w:val="single" w:sz="4" w:space="0" w:color="auto"/>
              <w:right w:val="single" w:sz="4" w:space="0" w:color="auto"/>
            </w:tcBorders>
            <w:noWrap/>
            <w:vAlign w:val="bottom"/>
            <w:hideMark/>
          </w:tcPr>
          <w:p w14:paraId="3659BB86" w14:textId="77777777" w:rsidR="009515BC" w:rsidRPr="00F00EB0" w:rsidRDefault="009515BC" w:rsidP="0021593D">
            <w:pPr>
              <w:spacing w:after="0"/>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01.01.2023</w:t>
            </w:r>
          </w:p>
        </w:tc>
        <w:tc>
          <w:tcPr>
            <w:tcW w:w="964" w:type="pct"/>
            <w:tcBorders>
              <w:top w:val="nil"/>
              <w:left w:val="nil"/>
              <w:bottom w:val="single" w:sz="4" w:space="0" w:color="auto"/>
              <w:right w:val="single" w:sz="4" w:space="0" w:color="auto"/>
            </w:tcBorders>
            <w:noWrap/>
            <w:vAlign w:val="center"/>
            <w:hideMark/>
          </w:tcPr>
          <w:p w14:paraId="2B7BC804"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6,37</w:t>
            </w:r>
          </w:p>
        </w:tc>
        <w:tc>
          <w:tcPr>
            <w:tcW w:w="918" w:type="pct"/>
            <w:tcBorders>
              <w:top w:val="nil"/>
              <w:left w:val="nil"/>
              <w:bottom w:val="single" w:sz="4" w:space="0" w:color="auto"/>
              <w:right w:val="single" w:sz="4" w:space="0" w:color="auto"/>
            </w:tcBorders>
            <w:noWrap/>
            <w:vAlign w:val="center"/>
            <w:hideMark/>
          </w:tcPr>
          <w:p w14:paraId="46B50E1B"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0,00</w:t>
            </w:r>
          </w:p>
        </w:tc>
        <w:tc>
          <w:tcPr>
            <w:tcW w:w="760" w:type="pct"/>
            <w:tcBorders>
              <w:top w:val="nil"/>
              <w:left w:val="nil"/>
              <w:bottom w:val="single" w:sz="4" w:space="0" w:color="auto"/>
              <w:right w:val="single" w:sz="4" w:space="0" w:color="auto"/>
            </w:tcBorders>
            <w:noWrap/>
            <w:vAlign w:val="center"/>
            <w:hideMark/>
          </w:tcPr>
          <w:p w14:paraId="2AEAF4AE"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0,00</w:t>
            </w:r>
          </w:p>
        </w:tc>
        <w:tc>
          <w:tcPr>
            <w:tcW w:w="999" w:type="pct"/>
            <w:tcBorders>
              <w:top w:val="nil"/>
              <w:left w:val="nil"/>
              <w:bottom w:val="single" w:sz="4" w:space="0" w:color="auto"/>
              <w:right w:val="single" w:sz="4" w:space="0" w:color="auto"/>
            </w:tcBorders>
            <w:noWrap/>
            <w:hideMark/>
          </w:tcPr>
          <w:p w14:paraId="12B98D02"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22,78</w:t>
            </w:r>
          </w:p>
        </w:tc>
        <w:tc>
          <w:tcPr>
            <w:tcW w:w="661" w:type="pct"/>
            <w:tcBorders>
              <w:top w:val="nil"/>
              <w:left w:val="nil"/>
              <w:bottom w:val="single" w:sz="4" w:space="0" w:color="auto"/>
              <w:right w:val="single" w:sz="4" w:space="0" w:color="auto"/>
            </w:tcBorders>
            <w:noWrap/>
            <w:vAlign w:val="bottom"/>
            <w:hideMark/>
          </w:tcPr>
          <w:p w14:paraId="73633860"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71,87</w:t>
            </w:r>
          </w:p>
        </w:tc>
      </w:tr>
      <w:tr w:rsidR="009515BC" w:rsidRPr="00F00EB0" w14:paraId="55E07EA8" w14:textId="77777777" w:rsidTr="0021593D">
        <w:trPr>
          <w:trHeight w:val="20"/>
        </w:trPr>
        <w:tc>
          <w:tcPr>
            <w:tcW w:w="698" w:type="pct"/>
            <w:tcBorders>
              <w:top w:val="nil"/>
              <w:left w:val="single" w:sz="4" w:space="0" w:color="auto"/>
              <w:bottom w:val="single" w:sz="4" w:space="0" w:color="auto"/>
              <w:right w:val="single" w:sz="4" w:space="0" w:color="auto"/>
            </w:tcBorders>
            <w:noWrap/>
            <w:vAlign w:val="bottom"/>
            <w:hideMark/>
          </w:tcPr>
          <w:p w14:paraId="24BD4DFB" w14:textId="77777777" w:rsidR="009515BC" w:rsidRPr="00F00EB0" w:rsidRDefault="009515BC" w:rsidP="0021593D">
            <w:pPr>
              <w:spacing w:after="0"/>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01.01.2022</w:t>
            </w:r>
          </w:p>
        </w:tc>
        <w:tc>
          <w:tcPr>
            <w:tcW w:w="964" w:type="pct"/>
            <w:tcBorders>
              <w:top w:val="nil"/>
              <w:left w:val="nil"/>
              <w:bottom w:val="single" w:sz="4" w:space="0" w:color="auto"/>
              <w:right w:val="single" w:sz="4" w:space="0" w:color="auto"/>
            </w:tcBorders>
            <w:shd w:val="clear" w:color="000000" w:fill="FFFFFF"/>
            <w:noWrap/>
            <w:vAlign w:val="center"/>
            <w:hideMark/>
          </w:tcPr>
          <w:p w14:paraId="0D656742"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8,01</w:t>
            </w:r>
          </w:p>
        </w:tc>
        <w:tc>
          <w:tcPr>
            <w:tcW w:w="918" w:type="pct"/>
            <w:tcBorders>
              <w:top w:val="nil"/>
              <w:left w:val="nil"/>
              <w:bottom w:val="single" w:sz="4" w:space="0" w:color="auto"/>
              <w:right w:val="single" w:sz="4" w:space="0" w:color="auto"/>
            </w:tcBorders>
            <w:shd w:val="clear" w:color="000000" w:fill="FFFFFF"/>
            <w:noWrap/>
            <w:vAlign w:val="center"/>
            <w:hideMark/>
          </w:tcPr>
          <w:p w14:paraId="063716FD"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0,00</w:t>
            </w:r>
          </w:p>
        </w:tc>
        <w:tc>
          <w:tcPr>
            <w:tcW w:w="760" w:type="pct"/>
            <w:tcBorders>
              <w:top w:val="nil"/>
              <w:left w:val="nil"/>
              <w:bottom w:val="single" w:sz="4" w:space="0" w:color="auto"/>
              <w:right w:val="single" w:sz="4" w:space="0" w:color="auto"/>
            </w:tcBorders>
            <w:shd w:val="clear" w:color="000000" w:fill="FFFFFF"/>
            <w:noWrap/>
            <w:vAlign w:val="center"/>
            <w:hideMark/>
          </w:tcPr>
          <w:p w14:paraId="0A798A61"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0,08</w:t>
            </w:r>
          </w:p>
        </w:tc>
        <w:tc>
          <w:tcPr>
            <w:tcW w:w="999" w:type="pct"/>
            <w:tcBorders>
              <w:top w:val="nil"/>
              <w:left w:val="nil"/>
              <w:bottom w:val="single" w:sz="4" w:space="0" w:color="auto"/>
              <w:right w:val="single" w:sz="4" w:space="0" w:color="auto"/>
            </w:tcBorders>
            <w:noWrap/>
            <w:hideMark/>
          </w:tcPr>
          <w:p w14:paraId="73BE73FE"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27,24</w:t>
            </w:r>
          </w:p>
        </w:tc>
        <w:tc>
          <w:tcPr>
            <w:tcW w:w="661" w:type="pct"/>
            <w:tcBorders>
              <w:top w:val="nil"/>
              <w:left w:val="nil"/>
              <w:bottom w:val="single" w:sz="4" w:space="0" w:color="auto"/>
              <w:right w:val="single" w:sz="4" w:space="0" w:color="auto"/>
            </w:tcBorders>
            <w:noWrap/>
            <w:vAlign w:val="bottom"/>
            <w:hideMark/>
          </w:tcPr>
          <w:p w14:paraId="6C74BF6C"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71,30</w:t>
            </w:r>
          </w:p>
        </w:tc>
      </w:tr>
      <w:tr w:rsidR="009515BC" w:rsidRPr="00F00EB0" w14:paraId="6D772D0C" w14:textId="77777777" w:rsidTr="0021593D">
        <w:trPr>
          <w:trHeight w:val="20"/>
        </w:trPr>
        <w:tc>
          <w:tcPr>
            <w:tcW w:w="698" w:type="pct"/>
            <w:tcBorders>
              <w:top w:val="nil"/>
              <w:left w:val="single" w:sz="4" w:space="0" w:color="auto"/>
              <w:bottom w:val="single" w:sz="4" w:space="0" w:color="auto"/>
              <w:right w:val="single" w:sz="4" w:space="0" w:color="auto"/>
            </w:tcBorders>
            <w:noWrap/>
            <w:vAlign w:val="bottom"/>
            <w:hideMark/>
          </w:tcPr>
          <w:p w14:paraId="2067C694" w14:textId="77777777" w:rsidR="009515BC" w:rsidRPr="00F00EB0" w:rsidRDefault="009515BC" w:rsidP="0021593D">
            <w:pPr>
              <w:spacing w:after="0"/>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01.01.2021</w:t>
            </w:r>
          </w:p>
        </w:tc>
        <w:tc>
          <w:tcPr>
            <w:tcW w:w="964" w:type="pct"/>
            <w:tcBorders>
              <w:top w:val="nil"/>
              <w:left w:val="nil"/>
              <w:bottom w:val="single" w:sz="4" w:space="0" w:color="auto"/>
              <w:right w:val="single" w:sz="4" w:space="0" w:color="auto"/>
            </w:tcBorders>
            <w:shd w:val="clear" w:color="000000" w:fill="FFFFFF"/>
            <w:noWrap/>
            <w:vAlign w:val="center"/>
            <w:hideMark/>
          </w:tcPr>
          <w:p w14:paraId="4839E38C"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9,62</w:t>
            </w:r>
          </w:p>
        </w:tc>
        <w:tc>
          <w:tcPr>
            <w:tcW w:w="918" w:type="pct"/>
            <w:tcBorders>
              <w:top w:val="nil"/>
              <w:left w:val="nil"/>
              <w:bottom w:val="single" w:sz="4" w:space="0" w:color="auto"/>
              <w:right w:val="single" w:sz="4" w:space="0" w:color="auto"/>
            </w:tcBorders>
            <w:shd w:val="clear" w:color="000000" w:fill="FFFFFF"/>
            <w:noWrap/>
            <w:vAlign w:val="center"/>
            <w:hideMark/>
          </w:tcPr>
          <w:p w14:paraId="6FDB4C25"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0,00</w:t>
            </w:r>
          </w:p>
        </w:tc>
        <w:tc>
          <w:tcPr>
            <w:tcW w:w="760" w:type="pct"/>
            <w:tcBorders>
              <w:top w:val="nil"/>
              <w:left w:val="nil"/>
              <w:bottom w:val="single" w:sz="4" w:space="0" w:color="auto"/>
              <w:right w:val="single" w:sz="4" w:space="0" w:color="auto"/>
            </w:tcBorders>
            <w:shd w:val="clear" w:color="000000" w:fill="FFFFFF"/>
            <w:noWrap/>
            <w:vAlign w:val="center"/>
            <w:hideMark/>
          </w:tcPr>
          <w:p w14:paraId="4B0522EC"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0,16</w:t>
            </w:r>
          </w:p>
        </w:tc>
        <w:tc>
          <w:tcPr>
            <w:tcW w:w="999" w:type="pct"/>
            <w:tcBorders>
              <w:top w:val="nil"/>
              <w:left w:val="nil"/>
              <w:bottom w:val="single" w:sz="4" w:space="0" w:color="auto"/>
              <w:right w:val="single" w:sz="4" w:space="0" w:color="auto"/>
            </w:tcBorders>
            <w:noWrap/>
            <w:hideMark/>
          </w:tcPr>
          <w:p w14:paraId="1F199EC3"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21,30</w:t>
            </w:r>
          </w:p>
        </w:tc>
        <w:tc>
          <w:tcPr>
            <w:tcW w:w="661" w:type="pct"/>
            <w:tcBorders>
              <w:top w:val="nil"/>
              <w:left w:val="nil"/>
              <w:bottom w:val="single" w:sz="4" w:space="0" w:color="auto"/>
              <w:right w:val="single" w:sz="4" w:space="0" w:color="auto"/>
            </w:tcBorders>
            <w:noWrap/>
            <w:vAlign w:val="bottom"/>
            <w:hideMark/>
          </w:tcPr>
          <w:p w14:paraId="34EC6F50"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71,70</w:t>
            </w:r>
          </w:p>
        </w:tc>
      </w:tr>
      <w:tr w:rsidR="009515BC" w:rsidRPr="00F00EB0" w14:paraId="4BFDAF04" w14:textId="77777777" w:rsidTr="0021593D">
        <w:trPr>
          <w:trHeight w:val="20"/>
        </w:trPr>
        <w:tc>
          <w:tcPr>
            <w:tcW w:w="698" w:type="pct"/>
            <w:tcBorders>
              <w:top w:val="nil"/>
              <w:left w:val="single" w:sz="4" w:space="0" w:color="auto"/>
              <w:bottom w:val="single" w:sz="4" w:space="0" w:color="auto"/>
              <w:right w:val="single" w:sz="4" w:space="0" w:color="auto"/>
            </w:tcBorders>
            <w:noWrap/>
            <w:vAlign w:val="bottom"/>
            <w:hideMark/>
          </w:tcPr>
          <w:p w14:paraId="10080F29" w14:textId="77777777" w:rsidR="009515BC" w:rsidRPr="00F00EB0" w:rsidRDefault="009515BC" w:rsidP="0021593D">
            <w:pPr>
              <w:spacing w:after="0"/>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01.01.2020</w:t>
            </w:r>
          </w:p>
        </w:tc>
        <w:tc>
          <w:tcPr>
            <w:tcW w:w="964" w:type="pct"/>
            <w:tcBorders>
              <w:top w:val="nil"/>
              <w:left w:val="nil"/>
              <w:bottom w:val="single" w:sz="4" w:space="0" w:color="auto"/>
              <w:right w:val="single" w:sz="4" w:space="0" w:color="auto"/>
            </w:tcBorders>
            <w:shd w:val="clear" w:color="000000" w:fill="FFFFFF"/>
            <w:noWrap/>
            <w:vAlign w:val="center"/>
            <w:hideMark/>
          </w:tcPr>
          <w:p w14:paraId="203A5DA8"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16,64</w:t>
            </w:r>
          </w:p>
        </w:tc>
        <w:tc>
          <w:tcPr>
            <w:tcW w:w="918" w:type="pct"/>
            <w:tcBorders>
              <w:top w:val="nil"/>
              <w:left w:val="nil"/>
              <w:bottom w:val="single" w:sz="4" w:space="0" w:color="auto"/>
              <w:right w:val="single" w:sz="4" w:space="0" w:color="auto"/>
            </w:tcBorders>
            <w:shd w:val="clear" w:color="000000" w:fill="FFFFFF"/>
            <w:noWrap/>
            <w:vAlign w:val="center"/>
            <w:hideMark/>
          </w:tcPr>
          <w:p w14:paraId="7A27ADA0"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32,04</w:t>
            </w:r>
          </w:p>
        </w:tc>
        <w:tc>
          <w:tcPr>
            <w:tcW w:w="760" w:type="pct"/>
            <w:tcBorders>
              <w:top w:val="nil"/>
              <w:left w:val="nil"/>
              <w:bottom w:val="single" w:sz="4" w:space="0" w:color="auto"/>
              <w:right w:val="single" w:sz="4" w:space="0" w:color="auto"/>
            </w:tcBorders>
            <w:shd w:val="clear" w:color="000000" w:fill="FFFFFF"/>
            <w:noWrap/>
            <w:vAlign w:val="center"/>
            <w:hideMark/>
          </w:tcPr>
          <w:p w14:paraId="5F3CCAC9"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0,43</w:t>
            </w:r>
          </w:p>
        </w:tc>
        <w:tc>
          <w:tcPr>
            <w:tcW w:w="999" w:type="pct"/>
            <w:tcBorders>
              <w:top w:val="nil"/>
              <w:left w:val="nil"/>
              <w:bottom w:val="single" w:sz="4" w:space="0" w:color="auto"/>
              <w:right w:val="single" w:sz="4" w:space="0" w:color="auto"/>
            </w:tcBorders>
            <w:noWrap/>
            <w:hideMark/>
          </w:tcPr>
          <w:p w14:paraId="3A3C5E02"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18,32</w:t>
            </w:r>
          </w:p>
        </w:tc>
        <w:tc>
          <w:tcPr>
            <w:tcW w:w="661" w:type="pct"/>
            <w:tcBorders>
              <w:top w:val="nil"/>
              <w:left w:val="nil"/>
              <w:bottom w:val="single" w:sz="4" w:space="0" w:color="auto"/>
              <w:right w:val="single" w:sz="4" w:space="0" w:color="auto"/>
            </w:tcBorders>
            <w:noWrap/>
            <w:vAlign w:val="bottom"/>
            <w:hideMark/>
          </w:tcPr>
          <w:p w14:paraId="38EF362A"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79,49</w:t>
            </w:r>
          </w:p>
        </w:tc>
      </w:tr>
      <w:tr w:rsidR="009515BC" w:rsidRPr="00F00EB0" w14:paraId="5E0CDE10" w14:textId="77777777" w:rsidTr="0021593D">
        <w:trPr>
          <w:trHeight w:val="20"/>
        </w:trPr>
        <w:tc>
          <w:tcPr>
            <w:tcW w:w="698" w:type="pct"/>
            <w:tcBorders>
              <w:top w:val="nil"/>
              <w:left w:val="single" w:sz="4" w:space="0" w:color="auto"/>
              <w:bottom w:val="single" w:sz="4" w:space="0" w:color="auto"/>
              <w:right w:val="single" w:sz="4" w:space="0" w:color="auto"/>
            </w:tcBorders>
            <w:noWrap/>
            <w:vAlign w:val="bottom"/>
            <w:hideMark/>
          </w:tcPr>
          <w:p w14:paraId="5E300A69" w14:textId="77777777" w:rsidR="009515BC" w:rsidRPr="00F00EB0" w:rsidRDefault="009515BC" w:rsidP="0021593D">
            <w:pPr>
              <w:spacing w:after="0"/>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01.01.2019</w:t>
            </w:r>
          </w:p>
        </w:tc>
        <w:tc>
          <w:tcPr>
            <w:tcW w:w="964" w:type="pct"/>
            <w:tcBorders>
              <w:top w:val="nil"/>
              <w:left w:val="nil"/>
              <w:bottom w:val="single" w:sz="4" w:space="0" w:color="auto"/>
              <w:right w:val="single" w:sz="4" w:space="0" w:color="auto"/>
            </w:tcBorders>
            <w:shd w:val="clear" w:color="000000" w:fill="FFFFFF"/>
            <w:noWrap/>
            <w:vAlign w:val="center"/>
            <w:hideMark/>
          </w:tcPr>
          <w:p w14:paraId="740C55CD"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6,26</w:t>
            </w:r>
          </w:p>
        </w:tc>
        <w:tc>
          <w:tcPr>
            <w:tcW w:w="918" w:type="pct"/>
            <w:tcBorders>
              <w:top w:val="nil"/>
              <w:left w:val="nil"/>
              <w:bottom w:val="single" w:sz="4" w:space="0" w:color="auto"/>
              <w:right w:val="single" w:sz="4" w:space="0" w:color="auto"/>
            </w:tcBorders>
            <w:shd w:val="clear" w:color="000000" w:fill="FFFFFF"/>
            <w:noWrap/>
            <w:vAlign w:val="center"/>
            <w:hideMark/>
          </w:tcPr>
          <w:p w14:paraId="18449CC0"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0,00</w:t>
            </w:r>
          </w:p>
        </w:tc>
        <w:tc>
          <w:tcPr>
            <w:tcW w:w="760" w:type="pct"/>
            <w:tcBorders>
              <w:top w:val="nil"/>
              <w:left w:val="nil"/>
              <w:bottom w:val="single" w:sz="4" w:space="0" w:color="auto"/>
              <w:right w:val="single" w:sz="4" w:space="0" w:color="auto"/>
            </w:tcBorders>
            <w:shd w:val="clear" w:color="000000" w:fill="FFFFFF"/>
            <w:noWrap/>
            <w:vAlign w:val="center"/>
            <w:hideMark/>
          </w:tcPr>
          <w:p w14:paraId="1B3E2E38"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0,19</w:t>
            </w:r>
          </w:p>
        </w:tc>
        <w:tc>
          <w:tcPr>
            <w:tcW w:w="999" w:type="pct"/>
            <w:tcBorders>
              <w:top w:val="nil"/>
              <w:left w:val="nil"/>
              <w:bottom w:val="single" w:sz="4" w:space="0" w:color="auto"/>
              <w:right w:val="single" w:sz="4" w:space="0" w:color="auto"/>
            </w:tcBorders>
            <w:noWrap/>
            <w:hideMark/>
          </w:tcPr>
          <w:p w14:paraId="3B7FE439"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10,71</w:t>
            </w:r>
          </w:p>
        </w:tc>
        <w:tc>
          <w:tcPr>
            <w:tcW w:w="661" w:type="pct"/>
            <w:tcBorders>
              <w:top w:val="nil"/>
              <w:left w:val="nil"/>
              <w:bottom w:val="single" w:sz="4" w:space="0" w:color="auto"/>
              <w:right w:val="single" w:sz="4" w:space="0" w:color="auto"/>
            </w:tcBorders>
            <w:noWrap/>
            <w:vAlign w:val="bottom"/>
            <w:hideMark/>
          </w:tcPr>
          <w:p w14:paraId="34633C4B" w14:textId="77777777" w:rsidR="009515BC" w:rsidRPr="00F00EB0" w:rsidRDefault="009515BC" w:rsidP="0021593D">
            <w:pPr>
              <w:spacing w:after="0"/>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82,30</w:t>
            </w:r>
          </w:p>
        </w:tc>
      </w:tr>
    </w:tbl>
    <w:p w14:paraId="2EAFFD55" w14:textId="77777777" w:rsidR="009515BC" w:rsidRPr="00F00EB0" w:rsidRDefault="009515BC" w:rsidP="009515BC">
      <w:pPr>
        <w:tabs>
          <w:tab w:val="left" w:pos="1134"/>
        </w:tabs>
        <w:spacing w:after="0" w:line="360" w:lineRule="auto"/>
        <w:ind w:firstLine="709"/>
        <w:contextualSpacing/>
        <w:jc w:val="both"/>
        <w:rPr>
          <w:rFonts w:ascii="Times New Roman" w:hAnsi="Times New Roman" w:cs="Times New Roman"/>
          <w:color w:val="000000" w:themeColor="text1"/>
          <w:sz w:val="28"/>
          <w:szCs w:val="28"/>
          <w:lang w:val="uk-UA"/>
        </w:rPr>
      </w:pPr>
    </w:p>
    <w:p w14:paraId="30966079" w14:textId="77777777" w:rsidR="009515BC" w:rsidRPr="00F00EB0" w:rsidRDefault="009515BC" w:rsidP="009515BC">
      <w:pPr>
        <w:tabs>
          <w:tab w:val="left" w:pos="1134"/>
        </w:tabs>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Розрахункові дані підтверджують попередні висновки про високий рівень ризику кредитного портфеля, попри певне покращення протягом періоду аналізу. </w:t>
      </w:r>
    </w:p>
    <w:p w14:paraId="13FFDD73" w14:textId="77777777" w:rsidR="009515BC" w:rsidRPr="00F00EB0" w:rsidRDefault="009515BC" w:rsidP="009515BC">
      <w:pPr>
        <w:tabs>
          <w:tab w:val="left" w:pos="1134"/>
        </w:tabs>
        <w:spacing w:after="0" w:line="360" w:lineRule="auto"/>
        <w:ind w:firstLine="709"/>
        <w:contextualSpacing/>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Зважаючи на значну частину недіючих кредитів та те, що в умовах повномасштабної військової агресії росії кредитоспроможність позичальників буде знижуватись, АТ КБ «ПриватБанк» має адекватно оцінювати рівень кредитного ризику, формувати резерви на належному рівні та, в разі потреби, формувати ефективну політику реструктуризації кредитного портфеля. </w:t>
      </w:r>
    </w:p>
    <w:p w14:paraId="59DF2FEF" w14:textId="77777777" w:rsidR="009515BC" w:rsidRPr="00F00EB0" w:rsidRDefault="009515BC" w:rsidP="009515BC">
      <w:pPr>
        <w:autoSpaceDE w:val="0"/>
        <w:autoSpaceDN w:val="0"/>
        <w:adjustRightInd w:val="0"/>
        <w:spacing w:after="0" w:line="360" w:lineRule="auto"/>
        <w:ind w:firstLine="709"/>
        <w:contextualSpacing/>
        <w:jc w:val="both"/>
        <w:rPr>
          <w:rFonts w:ascii="Times New Roman" w:hAnsi="Times New Roman" w:cs="Times New Roman"/>
          <w:color w:val="000000" w:themeColor="text1"/>
          <w:kern w:val="3"/>
          <w:sz w:val="28"/>
          <w:szCs w:val="28"/>
          <w:lang w:val="uk-UA" w:eastAsia="zh-CN" w:bidi="hi-IN"/>
        </w:rPr>
      </w:pPr>
      <w:r w:rsidRPr="00F00EB0">
        <w:rPr>
          <w:rFonts w:ascii="Times New Roman" w:hAnsi="Times New Roman" w:cs="Times New Roman"/>
          <w:color w:val="000000" w:themeColor="text1"/>
          <w:kern w:val="3"/>
          <w:sz w:val="28"/>
          <w:szCs w:val="28"/>
          <w:lang w:val="uk-UA" w:eastAsia="zh-CN" w:bidi="hi-IN"/>
        </w:rPr>
        <w:t>Показник покриття кредитного портфеля власним капіталом характеризує якість кредитного портфеля з погляду його захищеності власним капіталом і показує, скільки власних коштів припадає на одну гривню виданих кредитів.</w:t>
      </w:r>
    </w:p>
    <w:p w14:paraId="623ED5A3" w14:textId="77777777" w:rsidR="009515BC" w:rsidRPr="00F00EB0" w:rsidRDefault="009515BC" w:rsidP="009515BC">
      <w:pPr>
        <w:autoSpaceDE w:val="0"/>
        <w:autoSpaceDN w:val="0"/>
        <w:adjustRightInd w:val="0"/>
        <w:spacing w:after="0" w:line="360" w:lineRule="auto"/>
        <w:ind w:firstLine="709"/>
        <w:contextualSpacing/>
        <w:jc w:val="both"/>
        <w:rPr>
          <w:rFonts w:ascii="Times New Roman" w:hAnsi="Times New Roman" w:cs="Times New Roman"/>
          <w:color w:val="000000" w:themeColor="text1"/>
          <w:kern w:val="3"/>
          <w:sz w:val="28"/>
          <w:szCs w:val="28"/>
          <w:lang w:val="uk-UA" w:eastAsia="zh-CN" w:bidi="hi-IN"/>
        </w:rPr>
      </w:pPr>
      <w:r w:rsidRPr="00F00EB0">
        <w:rPr>
          <w:rFonts w:ascii="Times New Roman" w:hAnsi="Times New Roman" w:cs="Times New Roman"/>
          <w:color w:val="000000" w:themeColor="text1"/>
          <w:kern w:val="3"/>
          <w:sz w:val="28"/>
          <w:szCs w:val="28"/>
          <w:lang w:val="uk-UA" w:eastAsia="zh-CN" w:bidi="hi-IN"/>
        </w:rPr>
        <w:t xml:space="preserve">Позитивним з точки зору кредитного ризику банку є зростання рівня захищеності кредитного портфеля банку як спеціальними резервами, так і власним капіталом за період аналізу. </w:t>
      </w:r>
    </w:p>
    <w:p w14:paraId="1F96CB0C" w14:textId="77777777" w:rsidR="009515BC" w:rsidRPr="00F00EB0" w:rsidRDefault="009515BC" w:rsidP="009515BC">
      <w:pPr>
        <w:autoSpaceDE w:val="0"/>
        <w:autoSpaceDN w:val="0"/>
        <w:adjustRightInd w:val="0"/>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F00EB0">
        <w:rPr>
          <w:rFonts w:ascii="Times New Roman" w:eastAsia="WenQuanYi Micro Hei" w:hAnsi="Times New Roman" w:cs="Times New Roman"/>
          <w:color w:val="000000" w:themeColor="text1"/>
          <w:kern w:val="3"/>
          <w:sz w:val="28"/>
          <w:szCs w:val="28"/>
          <w:lang w:val="uk-UA" w:eastAsia="zh-CN" w:bidi="hi-IN"/>
        </w:rPr>
        <w:t xml:space="preserve">Як було визначено, </w:t>
      </w:r>
      <w:r w:rsidRPr="00F00EB0">
        <w:rPr>
          <w:rFonts w:ascii="Times New Roman" w:eastAsia="Times New Roman" w:hAnsi="Times New Roman" w:cs="Times New Roman"/>
          <w:color w:val="000000" w:themeColor="text1"/>
          <w:sz w:val="28"/>
          <w:szCs w:val="28"/>
          <w:lang w:val="uk-UA"/>
        </w:rPr>
        <w:t>ФСБ</w:t>
      </w:r>
      <w:r w:rsidRPr="00F00EB0">
        <w:rPr>
          <w:rFonts w:ascii="Times New Roman" w:hAnsi="Times New Roman" w:cs="Times New Roman"/>
          <w:color w:val="000000" w:themeColor="text1"/>
          <w:sz w:val="28"/>
          <w:szCs w:val="28"/>
          <w:lang w:val="uk-UA"/>
        </w:rPr>
        <w:t xml:space="preserve"> </w:t>
      </w:r>
      <w:r w:rsidRPr="00F00EB0">
        <w:rPr>
          <w:rFonts w:ascii="Times New Roman" w:eastAsia="Times New Roman" w:hAnsi="Times New Roman" w:cs="Times New Roman"/>
          <w:color w:val="000000" w:themeColor="text1"/>
          <w:sz w:val="28"/>
          <w:szCs w:val="28"/>
          <w:lang w:val="uk-UA"/>
        </w:rPr>
        <w:t>у короткостроковій перспективі значною мірою визначається здатністю генерувати прибуток (рис. 2.14).</w:t>
      </w:r>
    </w:p>
    <w:p w14:paraId="76F8565C" w14:textId="77777777" w:rsidR="009515BC" w:rsidRPr="00F00EB0" w:rsidRDefault="009515BC" w:rsidP="009515BC">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 xml:space="preserve">Наведені дані дозволяють зробити висновок про достатню життєздатність бізнес-моделі банку та його спроможність генерувати прибуток у довгостроковому періоді. Попри зростання кредитних ризиків та умови воєнного стану, </w:t>
      </w:r>
      <w:r w:rsidRPr="00F00EB0">
        <w:rPr>
          <w:rFonts w:ascii="Times New Roman" w:eastAsia="WenQuanYi Micro Hei" w:hAnsi="Times New Roman" w:cs="Times New Roman"/>
          <w:color w:val="000000" w:themeColor="text1"/>
          <w:kern w:val="3"/>
          <w:sz w:val="28"/>
          <w:szCs w:val="28"/>
          <w:lang w:val="uk-UA" w:eastAsia="zh-CN" w:bidi="hi-IN"/>
        </w:rPr>
        <w:t xml:space="preserve">АТ КБ «ПриватБанк» </w:t>
      </w:r>
      <w:r w:rsidRPr="00F00EB0">
        <w:rPr>
          <w:rFonts w:ascii="Times New Roman" w:eastAsia="Times New Roman" w:hAnsi="Times New Roman" w:cs="Times New Roman"/>
          <w:color w:val="000000" w:themeColor="text1"/>
          <w:sz w:val="28"/>
          <w:szCs w:val="28"/>
          <w:lang w:val="uk-UA"/>
        </w:rPr>
        <w:t xml:space="preserve">успішно протистояв цим загрозам та забезпечив прибуткову діяльність у 2022 році. </w:t>
      </w:r>
    </w:p>
    <w:p w14:paraId="301600CF" w14:textId="77777777" w:rsidR="009515BC" w:rsidRPr="00F00EB0" w:rsidRDefault="009515BC" w:rsidP="009515BC">
      <w:pPr>
        <w:autoSpaceDE w:val="0"/>
        <w:autoSpaceDN w:val="0"/>
        <w:adjustRightInd w:val="0"/>
        <w:spacing w:after="0" w:line="360" w:lineRule="auto"/>
        <w:ind w:firstLine="709"/>
        <w:contextualSpacing/>
        <w:jc w:val="both"/>
        <w:rPr>
          <w:rFonts w:ascii="Times New Roman" w:eastAsia="WenQuanYi Micro Hei" w:hAnsi="Times New Roman" w:cs="Times New Roman"/>
          <w:color w:val="000000" w:themeColor="text1"/>
          <w:kern w:val="3"/>
          <w:sz w:val="28"/>
          <w:szCs w:val="28"/>
          <w:lang w:val="uk-UA" w:eastAsia="zh-CN" w:bidi="hi-IN"/>
        </w:rPr>
      </w:pPr>
    </w:p>
    <w:p w14:paraId="5729C290" w14:textId="77777777" w:rsidR="009515BC" w:rsidRPr="00F00EB0" w:rsidRDefault="009515BC" w:rsidP="009515BC">
      <w:pPr>
        <w:spacing w:after="0" w:line="360" w:lineRule="auto"/>
        <w:contextualSpacing/>
        <w:jc w:val="both"/>
        <w:rPr>
          <w:rFonts w:ascii="Times New Roman" w:eastAsia="Times New Roman" w:hAnsi="Times New Roman" w:cs="Times New Roman"/>
          <w:b/>
          <w:i/>
          <w:color w:val="000000" w:themeColor="text1"/>
          <w:kern w:val="1"/>
          <w:sz w:val="28"/>
          <w:szCs w:val="24"/>
          <w:lang w:val="uk-UA" w:eastAsia="ru-RU" w:bidi="hi-IN"/>
        </w:rPr>
      </w:pPr>
      <w:r w:rsidRPr="00F00EB0">
        <w:rPr>
          <w:noProof/>
          <w:color w:val="000000" w:themeColor="text1"/>
          <w:lang w:eastAsia="ru-RU"/>
        </w:rPr>
        <w:lastRenderedPageBreak/>
        <w:drawing>
          <wp:inline distT="0" distB="0" distL="0" distR="0" wp14:anchorId="4D91A5A5" wp14:editId="678C87A0">
            <wp:extent cx="6299835" cy="3414532"/>
            <wp:effectExtent l="0" t="0" r="0" b="0"/>
            <wp:docPr id="1523659502" name="Диаграмма 1">
              <a:extLst xmlns:a="http://schemas.openxmlformats.org/drawingml/2006/main">
                <a:ext uri="{FF2B5EF4-FFF2-40B4-BE49-F238E27FC236}">
                  <a16:creationId xmlns:a16="http://schemas.microsoft.com/office/drawing/2014/main" id="{62BAB10A-47C6-F778-924F-7BF71D261B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781A0572" w14:textId="77777777" w:rsidR="009515BC" w:rsidRPr="00F00EB0" w:rsidRDefault="009515BC" w:rsidP="009515BC">
      <w:pPr>
        <w:tabs>
          <w:tab w:val="left" w:pos="1134"/>
        </w:tabs>
        <w:spacing w:after="0" w:line="360" w:lineRule="auto"/>
        <w:contextualSpacing/>
        <w:jc w:val="center"/>
        <w:rPr>
          <w:rFonts w:ascii="Times New Roman" w:eastAsia="WenQuanYi Micro Hei" w:hAnsi="Times New Roman" w:cs="Times New Roman"/>
          <w:color w:val="000000" w:themeColor="text1"/>
          <w:kern w:val="3"/>
          <w:sz w:val="28"/>
          <w:szCs w:val="28"/>
          <w:lang w:val="uk-UA" w:eastAsia="zh-CN" w:bidi="hi-IN"/>
        </w:rPr>
      </w:pPr>
      <w:r w:rsidRPr="00F00EB0">
        <w:rPr>
          <w:rFonts w:ascii="Times New Roman" w:eastAsia="WenQuanYi Micro Hei" w:hAnsi="Times New Roman" w:cs="Times New Roman"/>
          <w:color w:val="000000" w:themeColor="text1"/>
          <w:kern w:val="3"/>
          <w:sz w:val="28"/>
          <w:szCs w:val="28"/>
          <w:lang w:val="uk-UA" w:eastAsia="zh-CN" w:bidi="hi-IN"/>
        </w:rPr>
        <w:t>Рисунок 2.14 – Динаміка показників ефективності АТ КБ «ПриватБанк» за 2014-2022 рр. [побудовано автором на основі 53-59]</w:t>
      </w:r>
    </w:p>
    <w:p w14:paraId="194FDF47" w14:textId="77777777" w:rsidR="009515BC" w:rsidRPr="00F00EB0" w:rsidRDefault="009515BC" w:rsidP="009515BC">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p>
    <w:p w14:paraId="283559D2" w14:textId="77777777" w:rsidR="009515BC" w:rsidRPr="00F00EB0" w:rsidRDefault="009515BC" w:rsidP="009515BC">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Попри те, що чистий прибуток за 2022 рік скоротився на 4,99 млрд грн або 14,2 % порівняно з 2021 роком, він залишився найвищим (30,25 млрд грн) серед усіх банків України. Це свідчить про ефективне управління ризиками та гнучкість банку в адаптації до складних умов.</w:t>
      </w:r>
    </w:p>
    <w:p w14:paraId="21C39B84" w14:textId="77777777" w:rsidR="009515BC" w:rsidRPr="00F00EB0" w:rsidRDefault="009515BC" w:rsidP="009515BC">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 xml:space="preserve">Основні фактори, що позитивно вплинули на формування фінансового результату банку у 2022 році, включають зміну зростання транзакційних операцій клієнтів (як внутрішніх, так і міжнародних), зниження вартості ресурсної бази через її формування бази переважно з залишків коштів клієнтів на поточних рахунках; позитивна переоцінка ОВДП в портфелі банків; скорочення неопераційних витрат. Негативно на фінансові результати діяльності банку вплинуло зростання витрат на формування резервів для покриття кредитних та операційних ризиків, витрати на забезпечення кібербезпеки банку та безпеки працівників; збитки від переоцінки валютної позиції </w:t>
      </w:r>
      <w:r w:rsidRPr="00F00EB0">
        <w:rPr>
          <w:rFonts w:ascii="Times New Roman" w:eastAsia="WenQuanYi Micro Hei" w:hAnsi="Times New Roman" w:cs="Times New Roman"/>
          <w:color w:val="000000" w:themeColor="text1"/>
          <w:kern w:val="3"/>
          <w:sz w:val="28"/>
          <w:szCs w:val="28"/>
          <w:lang w:val="uk-UA" w:eastAsia="zh-CN" w:bidi="hi-IN"/>
        </w:rPr>
        <w:t>[59].</w:t>
      </w:r>
    </w:p>
    <w:p w14:paraId="6831E2B4" w14:textId="77777777" w:rsidR="009515BC" w:rsidRPr="00F00EB0" w:rsidRDefault="009515BC" w:rsidP="009515BC">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 xml:space="preserve">Отже, на підставі проведеного дослідження можна зробити висновок, що в цілому банк має достатній потенціал в покритті ризиків за рахунок операційної ефективності, але наявні значні залежності в отриманні прибутку від впливу </w:t>
      </w:r>
      <w:r w:rsidRPr="00F00EB0">
        <w:rPr>
          <w:rFonts w:ascii="Times New Roman" w:eastAsia="Times New Roman" w:hAnsi="Times New Roman" w:cs="Times New Roman"/>
          <w:color w:val="000000" w:themeColor="text1"/>
          <w:sz w:val="28"/>
          <w:szCs w:val="28"/>
          <w:lang w:val="uk-UA"/>
        </w:rPr>
        <w:lastRenderedPageBreak/>
        <w:t xml:space="preserve">зовнішніх факторів (зміни валютних курсів та ринкових умов). Зважаючи на те, що 80 % прибутку спрямовується на виплату дивідендів державі, внутрішнє капіталоутворення є частково обмеженим. </w:t>
      </w:r>
    </w:p>
    <w:p w14:paraId="5CD305BB" w14:textId="77777777" w:rsidR="009515BC" w:rsidRPr="00F00EB0" w:rsidRDefault="009515BC" w:rsidP="009515BC">
      <w:pPr>
        <w:widowControl w:val="0"/>
        <w:tabs>
          <w:tab w:val="left" w:pos="709"/>
        </w:tabs>
        <w:autoSpaceDE w:val="0"/>
        <w:autoSpaceDN w:val="0"/>
        <w:adjustRightInd w:val="0"/>
        <w:spacing w:after="0" w:line="360" w:lineRule="auto"/>
        <w:ind w:firstLine="709"/>
        <w:contextualSpacing/>
        <w:jc w:val="both"/>
        <w:rPr>
          <w:rFonts w:ascii="Times New Roman" w:eastAsia="Times New Roman" w:hAnsi="Times New Roman" w:cs="Times New Roman"/>
          <w:color w:val="000000" w:themeColor="text1"/>
          <w:kern w:val="1"/>
          <w:sz w:val="28"/>
          <w:szCs w:val="24"/>
          <w:lang w:val="uk-UA" w:eastAsia="ru-RU"/>
        </w:rPr>
      </w:pPr>
      <w:r w:rsidRPr="00F00EB0">
        <w:rPr>
          <w:rFonts w:ascii="Times New Roman" w:eastAsia="Times New Roman" w:hAnsi="Times New Roman" w:cs="Times New Roman"/>
          <w:color w:val="000000" w:themeColor="text1"/>
          <w:kern w:val="1"/>
          <w:sz w:val="28"/>
          <w:szCs w:val="24"/>
          <w:lang w:val="uk-UA" w:eastAsia="ru-RU"/>
        </w:rPr>
        <w:t>Для забезпечення ФСБ необхідно сформувати достатній рівень ліквідності.</w:t>
      </w:r>
    </w:p>
    <w:p w14:paraId="268FB7D1" w14:textId="77777777" w:rsidR="009515BC" w:rsidRPr="00F00EB0" w:rsidRDefault="009515BC" w:rsidP="009515BC">
      <w:pPr>
        <w:widowControl w:val="0"/>
        <w:tabs>
          <w:tab w:val="left" w:pos="709"/>
        </w:tabs>
        <w:autoSpaceDE w:val="0"/>
        <w:autoSpaceDN w:val="0"/>
        <w:adjustRightInd w:val="0"/>
        <w:spacing w:after="0" w:line="360" w:lineRule="auto"/>
        <w:ind w:firstLine="709"/>
        <w:contextualSpacing/>
        <w:jc w:val="both"/>
        <w:rPr>
          <w:rFonts w:ascii="Times New Roman" w:eastAsia="Times New Roman" w:hAnsi="Times New Roman" w:cs="Times New Roman"/>
          <w:color w:val="000000" w:themeColor="text1"/>
          <w:kern w:val="1"/>
          <w:sz w:val="28"/>
          <w:szCs w:val="24"/>
          <w:lang w:val="uk-UA" w:eastAsia="ru-RU"/>
        </w:rPr>
      </w:pPr>
      <w:r w:rsidRPr="00F00EB0">
        <w:rPr>
          <w:rFonts w:ascii="Times New Roman" w:eastAsia="Times New Roman" w:hAnsi="Times New Roman" w:cs="Times New Roman"/>
          <w:color w:val="000000" w:themeColor="text1"/>
          <w:kern w:val="1"/>
          <w:sz w:val="28"/>
          <w:szCs w:val="24"/>
          <w:lang w:val="uk-UA" w:eastAsia="ru-RU"/>
        </w:rPr>
        <w:t>Як було визначено, на її рівень значною мірою впливає стабільність ресурсної бази (рис. 2.15).</w:t>
      </w:r>
    </w:p>
    <w:p w14:paraId="728BA171" w14:textId="77777777" w:rsidR="009515BC" w:rsidRPr="00F00EB0" w:rsidRDefault="009515BC" w:rsidP="009515B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p>
    <w:p w14:paraId="71BD680E" w14:textId="77777777" w:rsidR="009515BC" w:rsidRPr="00F00EB0" w:rsidRDefault="009515BC" w:rsidP="009515BC">
      <w:pPr>
        <w:shd w:val="clear" w:color="auto" w:fill="FFFFFF"/>
        <w:spacing w:after="0" w:line="360" w:lineRule="auto"/>
        <w:jc w:val="both"/>
        <w:rPr>
          <w:rFonts w:ascii="Times New Roman" w:eastAsia="WenQuanYi Micro Hei" w:hAnsi="Times New Roman" w:cs="Times New Roman"/>
          <w:color w:val="000000" w:themeColor="text1"/>
          <w:kern w:val="3"/>
          <w:sz w:val="28"/>
          <w:szCs w:val="28"/>
          <w:lang w:val="uk-UA" w:eastAsia="zh-CN" w:bidi="hi-IN"/>
        </w:rPr>
      </w:pPr>
      <w:r w:rsidRPr="00F00EB0">
        <w:rPr>
          <w:rFonts w:ascii="Times New Roman" w:hAnsi="Times New Roman" w:cs="Times New Roman"/>
          <w:noProof/>
          <w:color w:val="000000" w:themeColor="text1"/>
          <w:lang w:eastAsia="ru-RU"/>
        </w:rPr>
        <w:drawing>
          <wp:inline distT="0" distB="0" distL="0" distR="0" wp14:anchorId="153BF96B" wp14:editId="38DC2DC0">
            <wp:extent cx="6299835" cy="5162308"/>
            <wp:effectExtent l="0" t="0" r="0" b="0"/>
            <wp:docPr id="1994407870" name="Диаграмма 1">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r w:rsidRPr="00F00EB0">
        <w:rPr>
          <w:rFonts w:ascii="Times New Roman" w:eastAsia="WenQuanYi Micro Hei" w:hAnsi="Times New Roman" w:cs="Times New Roman"/>
          <w:color w:val="000000" w:themeColor="text1"/>
          <w:kern w:val="3"/>
          <w:sz w:val="28"/>
          <w:szCs w:val="28"/>
          <w:lang w:val="uk-UA" w:eastAsia="zh-CN" w:bidi="hi-IN"/>
        </w:rPr>
        <w:t xml:space="preserve"> </w:t>
      </w:r>
    </w:p>
    <w:p w14:paraId="0A4DD29B" w14:textId="77777777" w:rsidR="009515BC" w:rsidRPr="00F00EB0" w:rsidRDefault="009515BC" w:rsidP="009515BC">
      <w:pPr>
        <w:tabs>
          <w:tab w:val="left" w:pos="1134"/>
        </w:tabs>
        <w:spacing w:after="0" w:line="360" w:lineRule="auto"/>
        <w:jc w:val="center"/>
        <w:rPr>
          <w:rFonts w:ascii="Times New Roman" w:eastAsia="WenQuanYi Micro Hei" w:hAnsi="Times New Roman" w:cs="Times New Roman"/>
          <w:color w:val="000000" w:themeColor="text1"/>
          <w:kern w:val="3"/>
          <w:sz w:val="28"/>
          <w:szCs w:val="28"/>
          <w:lang w:val="uk-UA" w:eastAsia="zh-CN" w:bidi="hi-IN"/>
        </w:rPr>
      </w:pPr>
      <w:r w:rsidRPr="00F00EB0">
        <w:rPr>
          <w:rFonts w:ascii="Times New Roman" w:eastAsia="Times New Roman" w:hAnsi="Times New Roman" w:cs="Times New Roman"/>
          <w:color w:val="000000" w:themeColor="text1"/>
          <w:sz w:val="28"/>
          <w:szCs w:val="28"/>
          <w:lang w:val="uk-UA" w:eastAsia="ru-RU"/>
        </w:rPr>
        <w:t xml:space="preserve">Рисунок 2.15 – Динаміка основних складових зобов’язань АТ КБ «ПриватБанк» (розподіл за строками погашення) за 2014-2022 рр., млн грн </w:t>
      </w:r>
      <w:r w:rsidRPr="00F00EB0">
        <w:rPr>
          <w:rFonts w:ascii="Times New Roman" w:eastAsia="WenQuanYi Micro Hei" w:hAnsi="Times New Roman" w:cs="Times New Roman"/>
          <w:color w:val="000000" w:themeColor="text1"/>
          <w:kern w:val="3"/>
          <w:sz w:val="28"/>
          <w:szCs w:val="28"/>
          <w:lang w:val="uk-UA" w:eastAsia="zh-CN" w:bidi="hi-IN"/>
        </w:rPr>
        <w:t>[побудовано автором на основі 53-59]</w:t>
      </w:r>
    </w:p>
    <w:p w14:paraId="66953EFA" w14:textId="77777777" w:rsidR="009515BC" w:rsidRPr="00F00EB0" w:rsidRDefault="009515BC" w:rsidP="009515BC">
      <w:pPr>
        <w:tabs>
          <w:tab w:val="left" w:pos="1134"/>
        </w:tabs>
        <w:spacing w:after="0" w:line="360" w:lineRule="auto"/>
        <w:jc w:val="center"/>
        <w:rPr>
          <w:rFonts w:ascii="Times New Roman" w:eastAsia="Times New Roman" w:hAnsi="Times New Roman" w:cs="Times New Roman"/>
          <w:color w:val="000000" w:themeColor="text1"/>
          <w:sz w:val="28"/>
          <w:szCs w:val="28"/>
          <w:lang w:val="uk-UA" w:eastAsia="ru-RU"/>
        </w:rPr>
      </w:pPr>
    </w:p>
    <w:p w14:paraId="069DDF48" w14:textId="77777777" w:rsidR="009515BC" w:rsidRPr="00F00EB0" w:rsidRDefault="009515BC" w:rsidP="009515BC">
      <w:pPr>
        <w:tabs>
          <w:tab w:val="left" w:pos="1134"/>
        </w:tabs>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 xml:space="preserve">Результати аналізу дозволили зробити висновок, що ресурсна база банку сформована переважно коштами клієнтів, частка яких за період дослідження </w:t>
      </w:r>
      <w:r w:rsidRPr="00F00EB0">
        <w:rPr>
          <w:rFonts w:ascii="Times New Roman" w:eastAsia="Times New Roman" w:hAnsi="Times New Roman" w:cs="Times New Roman"/>
          <w:color w:val="000000" w:themeColor="text1"/>
          <w:sz w:val="28"/>
          <w:szCs w:val="28"/>
          <w:lang w:val="uk-UA" w:eastAsia="ru-RU"/>
        </w:rPr>
        <w:lastRenderedPageBreak/>
        <w:t xml:space="preserve">збільшилась з 69 % на початок 2015 року до 99 % на початок 2023 року, з яких більше ніж 75 %  – поточні рахунки, переважно фізичних осіб. На нашу думку, це має негативний вплив з точки зору ФСБ, оскільки вони мають волатильний характер та мають заміщуватись коштами визначеної строковості. </w:t>
      </w:r>
    </w:p>
    <w:p w14:paraId="718B7431" w14:textId="77777777" w:rsidR="009515BC" w:rsidRPr="00F00EB0" w:rsidRDefault="009515BC" w:rsidP="009515BC">
      <w:pPr>
        <w:widowControl w:val="0"/>
        <w:tabs>
          <w:tab w:val="left" w:pos="709"/>
        </w:tabs>
        <w:autoSpaceDE w:val="0"/>
        <w:autoSpaceDN w:val="0"/>
        <w:adjustRightInd w:val="0"/>
        <w:spacing w:after="0" w:line="360" w:lineRule="auto"/>
        <w:ind w:firstLine="709"/>
        <w:contextualSpacing/>
        <w:jc w:val="both"/>
        <w:rPr>
          <w:rFonts w:ascii="Times New Roman" w:eastAsia="Times New Roman" w:hAnsi="Times New Roman" w:cs="Times New Roman"/>
          <w:color w:val="000000" w:themeColor="text1"/>
          <w:kern w:val="1"/>
          <w:sz w:val="28"/>
          <w:szCs w:val="24"/>
          <w:lang w:val="uk-UA" w:eastAsia="ru-RU"/>
        </w:rPr>
      </w:pPr>
      <w:r w:rsidRPr="00F00EB0">
        <w:rPr>
          <w:rFonts w:ascii="Times New Roman" w:eastAsia="Times New Roman" w:hAnsi="Times New Roman" w:cs="Times New Roman"/>
          <w:color w:val="000000" w:themeColor="text1"/>
          <w:kern w:val="1"/>
          <w:sz w:val="28"/>
          <w:szCs w:val="24"/>
          <w:lang w:val="uk-UA" w:eastAsia="ru-RU"/>
        </w:rPr>
        <w:t>Мінливий характер ресурсної бази компенсується достатністю первинних та вторинних резервів ліквідності, частка яких на початок 2023 року склала майже 20 %. Достатність буферів ліквідності також підтверджується значеннями нормативів ліквідності: станом на 01.01.2023 LCR</w:t>
      </w:r>
      <w:r w:rsidRPr="00F00EB0">
        <w:rPr>
          <w:rFonts w:ascii="Times New Roman" w:eastAsia="Times New Roman" w:hAnsi="Times New Roman" w:cs="Times New Roman"/>
          <w:color w:val="000000" w:themeColor="text1"/>
          <w:kern w:val="1"/>
          <w:sz w:val="28"/>
          <w:szCs w:val="24"/>
          <w:vertAlign w:val="subscript"/>
          <w:lang w:val="uk-UA" w:eastAsia="ru-RU"/>
        </w:rPr>
        <w:t>BB</w:t>
      </w:r>
      <w:r w:rsidRPr="00F00EB0">
        <w:rPr>
          <w:rFonts w:ascii="Times New Roman" w:eastAsia="Times New Roman" w:hAnsi="Times New Roman" w:cs="Times New Roman"/>
          <w:color w:val="000000" w:themeColor="text1"/>
          <w:kern w:val="1"/>
          <w:sz w:val="28"/>
          <w:szCs w:val="24"/>
          <w:lang w:val="uk-UA" w:eastAsia="ru-RU"/>
        </w:rPr>
        <w:t xml:space="preserve"> становив 311,01 % (норматив </w:t>
      </w:r>
      <w:r w:rsidRPr="00F00EB0">
        <w:rPr>
          <w:rFonts w:ascii="Times New Roman" w:eastAsia="Times New Roman" w:hAnsi="Times New Roman" w:cs="Times New Roman"/>
          <w:color w:val="000000" w:themeColor="text1"/>
          <w:sz w:val="24"/>
          <w:szCs w:val="24"/>
          <w:lang w:val="uk-UA" w:eastAsia="ru-RU"/>
        </w:rPr>
        <w:t>≥</w:t>
      </w:r>
      <w:r w:rsidRPr="00F00EB0">
        <w:rPr>
          <w:rFonts w:ascii="Times New Roman" w:eastAsia="Times New Roman" w:hAnsi="Times New Roman" w:cs="Times New Roman"/>
          <w:color w:val="000000" w:themeColor="text1"/>
          <w:kern w:val="1"/>
          <w:sz w:val="28"/>
          <w:szCs w:val="24"/>
          <w:lang w:val="uk-UA" w:eastAsia="ru-RU"/>
        </w:rPr>
        <w:t>100 %), LCR</w:t>
      </w:r>
      <w:r w:rsidRPr="00F00EB0">
        <w:rPr>
          <w:rFonts w:ascii="Times New Roman" w:eastAsia="Times New Roman" w:hAnsi="Times New Roman" w:cs="Times New Roman"/>
          <w:color w:val="000000" w:themeColor="text1"/>
          <w:kern w:val="1"/>
          <w:sz w:val="28"/>
          <w:szCs w:val="24"/>
          <w:vertAlign w:val="subscript"/>
          <w:lang w:val="uk-UA" w:eastAsia="ru-RU"/>
        </w:rPr>
        <w:t>IB</w:t>
      </w:r>
      <w:r w:rsidRPr="00F00EB0">
        <w:rPr>
          <w:rFonts w:ascii="Times New Roman" w:eastAsia="Times New Roman" w:hAnsi="Times New Roman" w:cs="Times New Roman"/>
          <w:color w:val="000000" w:themeColor="text1"/>
          <w:kern w:val="1"/>
          <w:sz w:val="28"/>
          <w:szCs w:val="24"/>
          <w:lang w:val="uk-UA" w:eastAsia="ru-RU"/>
        </w:rPr>
        <w:t xml:space="preserve"> становив 260,14 % (норматив </w:t>
      </w:r>
      <w:r w:rsidRPr="00F00EB0">
        <w:rPr>
          <w:rFonts w:ascii="Times New Roman" w:eastAsia="Times New Roman" w:hAnsi="Times New Roman" w:cs="Times New Roman"/>
          <w:color w:val="000000" w:themeColor="text1"/>
          <w:sz w:val="24"/>
          <w:szCs w:val="24"/>
          <w:lang w:val="uk-UA" w:eastAsia="ru-RU"/>
        </w:rPr>
        <w:t>≥</w:t>
      </w:r>
      <w:r w:rsidRPr="00F00EB0">
        <w:rPr>
          <w:rFonts w:ascii="Times New Roman" w:eastAsia="Times New Roman" w:hAnsi="Times New Roman" w:cs="Times New Roman"/>
          <w:color w:val="000000" w:themeColor="text1"/>
          <w:kern w:val="1"/>
          <w:sz w:val="28"/>
          <w:szCs w:val="24"/>
          <w:lang w:val="uk-UA" w:eastAsia="ru-RU"/>
        </w:rPr>
        <w:t xml:space="preserve">100 %); NSFR становив 182,24 % (норматив </w:t>
      </w:r>
      <w:r w:rsidRPr="00F00EB0">
        <w:rPr>
          <w:rFonts w:ascii="Times New Roman" w:eastAsia="Times New Roman" w:hAnsi="Times New Roman" w:cs="Times New Roman"/>
          <w:color w:val="000000" w:themeColor="text1"/>
          <w:sz w:val="24"/>
          <w:szCs w:val="24"/>
          <w:lang w:val="uk-UA" w:eastAsia="ru-RU"/>
        </w:rPr>
        <w:t>≥</w:t>
      </w:r>
      <w:r w:rsidRPr="00F00EB0">
        <w:rPr>
          <w:rFonts w:ascii="Times New Roman" w:eastAsia="Times New Roman" w:hAnsi="Times New Roman" w:cs="Times New Roman"/>
          <w:color w:val="000000" w:themeColor="text1"/>
          <w:kern w:val="1"/>
          <w:sz w:val="28"/>
          <w:szCs w:val="24"/>
          <w:lang w:val="uk-UA" w:eastAsia="ru-RU"/>
        </w:rPr>
        <w:t xml:space="preserve">90 %) </w:t>
      </w:r>
      <w:r w:rsidRPr="00F00EB0">
        <w:rPr>
          <w:rFonts w:ascii="Times New Roman" w:eastAsia="WenQuanYi Micro Hei" w:hAnsi="Times New Roman" w:cs="Times New Roman"/>
          <w:color w:val="000000" w:themeColor="text1"/>
          <w:kern w:val="3"/>
          <w:sz w:val="28"/>
          <w:szCs w:val="28"/>
          <w:lang w:val="uk-UA" w:eastAsia="zh-CN" w:bidi="hi-IN"/>
        </w:rPr>
        <w:t>[59].</w:t>
      </w:r>
    </w:p>
    <w:p w14:paraId="0DF56DFF" w14:textId="77777777" w:rsidR="009515BC" w:rsidRPr="00F00EB0" w:rsidRDefault="009515BC" w:rsidP="009515BC">
      <w:pPr>
        <w:widowControl w:val="0"/>
        <w:tabs>
          <w:tab w:val="left" w:pos="709"/>
        </w:tabs>
        <w:autoSpaceDE w:val="0"/>
        <w:autoSpaceDN w:val="0"/>
        <w:adjustRightInd w:val="0"/>
        <w:spacing w:after="0" w:line="360" w:lineRule="auto"/>
        <w:ind w:firstLine="709"/>
        <w:contextualSpacing/>
        <w:jc w:val="both"/>
        <w:rPr>
          <w:rFonts w:ascii="Times New Roman" w:eastAsia="Times New Roman" w:hAnsi="Times New Roman" w:cs="Times New Roman"/>
          <w:color w:val="000000" w:themeColor="text1"/>
          <w:kern w:val="1"/>
          <w:sz w:val="28"/>
          <w:szCs w:val="24"/>
          <w:lang w:val="uk-UA" w:eastAsia="ru-RU"/>
        </w:rPr>
      </w:pPr>
      <w:r w:rsidRPr="00F00EB0">
        <w:rPr>
          <w:rFonts w:ascii="Times New Roman" w:eastAsia="Times New Roman" w:hAnsi="Times New Roman" w:cs="Times New Roman"/>
          <w:color w:val="000000" w:themeColor="text1"/>
          <w:kern w:val="1"/>
          <w:sz w:val="28"/>
          <w:szCs w:val="24"/>
          <w:lang w:val="uk-UA" w:eastAsia="ru-RU"/>
        </w:rPr>
        <w:t>Попри зазначене, негативним з точки зору забезпечення ФСБ є наявність розривів ліквідності між активами та пасивами, структурованими за строками погашення (рис. 2.16).</w:t>
      </w:r>
    </w:p>
    <w:p w14:paraId="1B897C39" w14:textId="77777777" w:rsidR="009515BC" w:rsidRPr="00F00EB0" w:rsidRDefault="009515BC" w:rsidP="009515BC">
      <w:pPr>
        <w:widowControl w:val="0"/>
        <w:tabs>
          <w:tab w:val="left" w:pos="709"/>
        </w:tabs>
        <w:autoSpaceDE w:val="0"/>
        <w:autoSpaceDN w:val="0"/>
        <w:adjustRightInd w:val="0"/>
        <w:spacing w:after="0" w:line="360" w:lineRule="auto"/>
        <w:ind w:firstLine="709"/>
        <w:contextualSpacing/>
        <w:jc w:val="both"/>
        <w:rPr>
          <w:rFonts w:ascii="Times New Roman" w:eastAsia="Times New Roman" w:hAnsi="Times New Roman" w:cs="Times New Roman"/>
          <w:color w:val="000000" w:themeColor="text1"/>
          <w:kern w:val="1"/>
          <w:sz w:val="28"/>
          <w:szCs w:val="24"/>
          <w:lang w:val="uk-UA" w:eastAsia="ru-RU"/>
        </w:rPr>
      </w:pPr>
    </w:p>
    <w:p w14:paraId="046F4D1C" w14:textId="77777777" w:rsidR="009515BC" w:rsidRPr="00F00EB0" w:rsidRDefault="009515BC" w:rsidP="009515BC">
      <w:pPr>
        <w:widowControl w:val="0"/>
        <w:tabs>
          <w:tab w:val="left" w:pos="709"/>
        </w:tabs>
        <w:autoSpaceDE w:val="0"/>
        <w:autoSpaceDN w:val="0"/>
        <w:adjustRightInd w:val="0"/>
        <w:spacing w:after="0" w:line="360" w:lineRule="auto"/>
        <w:contextualSpacing/>
        <w:jc w:val="both"/>
        <w:rPr>
          <w:rFonts w:ascii="Times New Roman" w:eastAsia="Times New Roman" w:hAnsi="Times New Roman" w:cs="Times New Roman"/>
          <w:color w:val="000000" w:themeColor="text1"/>
          <w:kern w:val="1"/>
          <w:sz w:val="28"/>
          <w:szCs w:val="24"/>
          <w:lang w:val="uk-UA" w:eastAsia="ru-RU"/>
        </w:rPr>
      </w:pPr>
      <w:r w:rsidRPr="00F00EB0">
        <w:rPr>
          <w:noProof/>
          <w:color w:val="000000" w:themeColor="text1"/>
          <w:lang w:eastAsia="ru-RU"/>
        </w:rPr>
        <w:drawing>
          <wp:inline distT="0" distB="0" distL="0" distR="0" wp14:anchorId="71D3FB35" wp14:editId="6C592600">
            <wp:extent cx="6299835" cy="2940685"/>
            <wp:effectExtent l="0" t="0" r="0" b="0"/>
            <wp:docPr id="1741115024" name="Диаграмма 1">
              <a:extLst xmlns:a="http://schemas.openxmlformats.org/drawingml/2006/main">
                <a:ext uri="{FF2B5EF4-FFF2-40B4-BE49-F238E27FC236}">
                  <a16:creationId xmlns:a16="http://schemas.microsoft.com/office/drawing/2014/main" id="{35D5173E-F35D-2BA1-5EEA-CF548BC101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3CEDD9B4" w14:textId="77777777" w:rsidR="009515BC" w:rsidRPr="00F00EB0" w:rsidRDefault="009515BC" w:rsidP="009515BC">
      <w:pPr>
        <w:widowControl w:val="0"/>
        <w:tabs>
          <w:tab w:val="left" w:pos="709"/>
        </w:tabs>
        <w:autoSpaceDE w:val="0"/>
        <w:autoSpaceDN w:val="0"/>
        <w:adjustRightInd w:val="0"/>
        <w:spacing w:after="0" w:line="360" w:lineRule="auto"/>
        <w:contextualSpacing/>
        <w:jc w:val="center"/>
        <w:rPr>
          <w:rFonts w:ascii="Times New Roman" w:eastAsia="Times New Roman" w:hAnsi="Times New Roman" w:cs="Times New Roman"/>
          <w:color w:val="000000" w:themeColor="text1"/>
          <w:sz w:val="28"/>
          <w:szCs w:val="24"/>
          <w:lang w:val="uk-UA"/>
        </w:rPr>
      </w:pPr>
      <w:r w:rsidRPr="00F00EB0">
        <w:rPr>
          <w:rFonts w:ascii="Times New Roman" w:eastAsia="Times New Roman" w:hAnsi="Times New Roman" w:cs="Times New Roman"/>
          <w:color w:val="000000" w:themeColor="text1"/>
          <w:sz w:val="28"/>
          <w:szCs w:val="24"/>
          <w:lang w:val="uk-UA"/>
        </w:rPr>
        <w:t>Рисунок 2.16 – Розриви ліквідності АТ КБ «ПриватБанк» станом на 01.01.2023, млн грн [складено автором на основі 59]</w:t>
      </w:r>
    </w:p>
    <w:p w14:paraId="0BC5A084" w14:textId="77777777" w:rsidR="009515BC" w:rsidRPr="00F00EB0" w:rsidRDefault="009515BC" w:rsidP="009515BC">
      <w:pPr>
        <w:spacing w:after="0" w:line="360" w:lineRule="auto"/>
        <w:ind w:firstLine="709"/>
        <w:jc w:val="both"/>
        <w:rPr>
          <w:rFonts w:ascii="Times New Roman" w:eastAsia="Times New Roman" w:hAnsi="Times New Roman" w:cs="Times New Roman"/>
          <w:color w:val="000000" w:themeColor="text1"/>
          <w:sz w:val="28"/>
          <w:szCs w:val="24"/>
          <w:lang w:val="uk-UA"/>
        </w:rPr>
      </w:pPr>
    </w:p>
    <w:p w14:paraId="37AB9E6D" w14:textId="77777777" w:rsidR="009515BC" w:rsidRPr="00F00EB0" w:rsidRDefault="009515BC" w:rsidP="009515BC">
      <w:pPr>
        <w:spacing w:after="0" w:line="360" w:lineRule="auto"/>
        <w:ind w:firstLine="709"/>
        <w:jc w:val="both"/>
        <w:rPr>
          <w:rFonts w:ascii="Times New Roman" w:eastAsia="Times New Roman" w:hAnsi="Times New Roman" w:cs="Times New Roman"/>
          <w:color w:val="000000" w:themeColor="text1"/>
          <w:sz w:val="28"/>
          <w:szCs w:val="24"/>
          <w:lang w:val="uk-UA"/>
        </w:rPr>
      </w:pPr>
      <w:r w:rsidRPr="00F00EB0">
        <w:rPr>
          <w:rFonts w:ascii="Times New Roman" w:eastAsia="Times New Roman" w:hAnsi="Times New Roman" w:cs="Times New Roman"/>
          <w:color w:val="000000" w:themeColor="text1"/>
          <w:sz w:val="28"/>
          <w:szCs w:val="24"/>
          <w:lang w:val="uk-UA"/>
        </w:rPr>
        <w:t xml:space="preserve">Представлені дані підтверджують негативний вплив характеристик балансу банку на рівень ліквідності, оскільки наявні значні періодичні GAPи ліквідності особливо за строком погашення до 1 місяця та понад 5 років. Відповідно </w:t>
      </w:r>
      <w:r w:rsidRPr="00F00EB0">
        <w:rPr>
          <w:rFonts w:ascii="Times New Roman" w:eastAsia="Times New Roman" w:hAnsi="Times New Roman" w:cs="Times New Roman"/>
          <w:color w:val="000000" w:themeColor="text1"/>
          <w:sz w:val="28"/>
          <w:szCs w:val="24"/>
          <w:lang w:val="uk-UA"/>
        </w:rPr>
        <w:lastRenderedPageBreak/>
        <w:t>менеджменту банку необхідно розробити комплекс заходів щодо зниження ризику ліквідності.</w:t>
      </w:r>
    </w:p>
    <w:p w14:paraId="4DE99776" w14:textId="77777777" w:rsidR="009515BC" w:rsidRPr="00F00EB0" w:rsidRDefault="009515BC" w:rsidP="009515BC">
      <w:pPr>
        <w:widowControl w:val="0"/>
        <w:tabs>
          <w:tab w:val="left" w:pos="709"/>
        </w:tabs>
        <w:autoSpaceDE w:val="0"/>
        <w:autoSpaceDN w:val="0"/>
        <w:adjustRightInd w:val="0"/>
        <w:spacing w:after="0" w:line="360" w:lineRule="auto"/>
        <w:ind w:firstLine="709"/>
        <w:contextualSpacing/>
        <w:jc w:val="both"/>
        <w:rPr>
          <w:rFonts w:ascii="Times New Roman" w:eastAsia="Times New Roman" w:hAnsi="Times New Roman" w:cs="Times New Roman"/>
          <w:color w:val="000000" w:themeColor="text1"/>
          <w:kern w:val="1"/>
          <w:sz w:val="28"/>
          <w:szCs w:val="24"/>
          <w:lang w:val="uk-UA" w:eastAsia="ru-RU"/>
        </w:rPr>
      </w:pPr>
      <w:r w:rsidRPr="00F00EB0">
        <w:rPr>
          <w:rFonts w:ascii="Times New Roman" w:eastAsia="Times New Roman" w:hAnsi="Times New Roman" w:cs="Times New Roman"/>
          <w:color w:val="000000" w:themeColor="text1"/>
          <w:kern w:val="1"/>
          <w:sz w:val="28"/>
          <w:szCs w:val="24"/>
          <w:lang w:val="uk-UA" w:eastAsia="ru-RU"/>
        </w:rPr>
        <w:t>Значний вплив на ФСБ в поточний момент та в перспективі має валютний ризик, чутливість до якого визначається динамікою валютної позиції, зміни якої за період аналізу наведені на рисунку 2.17.</w:t>
      </w:r>
    </w:p>
    <w:p w14:paraId="156457DF" w14:textId="77777777" w:rsidR="009515BC" w:rsidRPr="00F00EB0" w:rsidRDefault="009515BC" w:rsidP="009515BC">
      <w:pPr>
        <w:widowControl w:val="0"/>
        <w:tabs>
          <w:tab w:val="left" w:pos="709"/>
        </w:tabs>
        <w:autoSpaceDE w:val="0"/>
        <w:autoSpaceDN w:val="0"/>
        <w:adjustRightInd w:val="0"/>
        <w:spacing w:after="0" w:line="360" w:lineRule="auto"/>
        <w:ind w:firstLine="709"/>
        <w:contextualSpacing/>
        <w:jc w:val="both"/>
        <w:rPr>
          <w:rFonts w:ascii="Times New Roman" w:eastAsia="Times New Roman" w:hAnsi="Times New Roman" w:cs="Times New Roman"/>
          <w:color w:val="000000" w:themeColor="text1"/>
          <w:kern w:val="1"/>
          <w:sz w:val="28"/>
          <w:szCs w:val="24"/>
          <w:lang w:val="uk-UA" w:eastAsia="ru-RU"/>
        </w:rPr>
      </w:pPr>
    </w:p>
    <w:p w14:paraId="458BBCDC" w14:textId="77777777" w:rsidR="009515BC" w:rsidRPr="00F00EB0" w:rsidRDefault="009515BC" w:rsidP="009515BC">
      <w:pPr>
        <w:widowControl w:val="0"/>
        <w:tabs>
          <w:tab w:val="left" w:pos="709"/>
        </w:tabs>
        <w:autoSpaceDE w:val="0"/>
        <w:autoSpaceDN w:val="0"/>
        <w:adjustRightInd w:val="0"/>
        <w:spacing w:after="0" w:line="360" w:lineRule="auto"/>
        <w:contextualSpacing/>
        <w:jc w:val="both"/>
        <w:rPr>
          <w:rFonts w:ascii="Times New Roman" w:eastAsia="Times New Roman" w:hAnsi="Times New Roman" w:cs="Times New Roman"/>
          <w:color w:val="000000" w:themeColor="text1"/>
          <w:kern w:val="1"/>
          <w:sz w:val="28"/>
          <w:szCs w:val="24"/>
          <w:lang w:val="uk-UA" w:eastAsia="ru-RU"/>
        </w:rPr>
      </w:pPr>
      <w:r w:rsidRPr="00F00EB0">
        <w:rPr>
          <w:noProof/>
          <w:color w:val="000000" w:themeColor="text1"/>
          <w:lang w:eastAsia="ru-RU"/>
        </w:rPr>
        <w:drawing>
          <wp:inline distT="0" distB="0" distL="0" distR="0" wp14:anchorId="3313B0AF" wp14:editId="156DE598">
            <wp:extent cx="6204031" cy="3518704"/>
            <wp:effectExtent l="0" t="0" r="0" b="0"/>
            <wp:docPr id="1884644849" name="Диаграмма 1">
              <a:extLst xmlns:a="http://schemas.openxmlformats.org/drawingml/2006/main">
                <a:ext uri="{FF2B5EF4-FFF2-40B4-BE49-F238E27FC236}">
                  <a16:creationId xmlns:a16="http://schemas.microsoft.com/office/drawing/2014/main" id="{D041AC03-2CF8-BA02-5020-031434D928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1CD91C44" w14:textId="77777777" w:rsidR="009515BC" w:rsidRPr="00F00EB0" w:rsidRDefault="009515BC" w:rsidP="009515BC">
      <w:pPr>
        <w:spacing w:after="0" w:line="360" w:lineRule="auto"/>
        <w:jc w:val="center"/>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4"/>
          <w:lang w:val="uk-UA"/>
        </w:rPr>
        <w:t>Рисунок 2.17 – Динаміка валютної позиції АТ КБ «ПриватБанк» в розрізі основних валют за 2014-2022 роки</w:t>
      </w:r>
      <w:r w:rsidRPr="00F00EB0">
        <w:rPr>
          <w:rFonts w:ascii="Times New Roman" w:eastAsia="Times New Roman" w:hAnsi="Times New Roman" w:cs="Times New Roman"/>
          <w:color w:val="000000" w:themeColor="text1"/>
          <w:sz w:val="28"/>
          <w:szCs w:val="28"/>
          <w:lang w:val="uk-UA"/>
        </w:rPr>
        <w:t xml:space="preserve">, млн грн </w:t>
      </w:r>
      <w:r w:rsidRPr="00F00EB0">
        <w:rPr>
          <w:rFonts w:ascii="Times New Roman" w:eastAsia="WenQuanYi Micro Hei" w:hAnsi="Times New Roman" w:cs="Times New Roman"/>
          <w:color w:val="000000" w:themeColor="text1"/>
          <w:kern w:val="3"/>
          <w:sz w:val="28"/>
          <w:szCs w:val="28"/>
          <w:lang w:val="uk-UA" w:eastAsia="zh-CN" w:bidi="hi-IN"/>
        </w:rPr>
        <w:t>[побудовано автором на основі 53-59]</w:t>
      </w:r>
    </w:p>
    <w:p w14:paraId="501E1619" w14:textId="77777777" w:rsidR="009515BC" w:rsidRPr="00F00EB0" w:rsidRDefault="009515BC" w:rsidP="009515BC">
      <w:pPr>
        <w:spacing w:after="0" w:line="360" w:lineRule="auto"/>
        <w:ind w:firstLine="709"/>
        <w:jc w:val="both"/>
        <w:rPr>
          <w:rFonts w:ascii="Times New Roman" w:eastAsia="Times New Roman" w:hAnsi="Times New Roman" w:cs="Times New Roman"/>
          <w:color w:val="000000" w:themeColor="text1"/>
          <w:sz w:val="28"/>
          <w:szCs w:val="24"/>
          <w:lang w:val="uk-UA"/>
        </w:rPr>
      </w:pPr>
    </w:p>
    <w:p w14:paraId="2D429C2B" w14:textId="77777777" w:rsidR="009515BC" w:rsidRPr="00F00EB0" w:rsidRDefault="009515BC" w:rsidP="009515BC">
      <w:pPr>
        <w:spacing w:after="0" w:line="360" w:lineRule="auto"/>
        <w:ind w:firstLine="709"/>
        <w:jc w:val="both"/>
        <w:rPr>
          <w:rFonts w:ascii="Times New Roman" w:eastAsia="Times New Roman" w:hAnsi="Times New Roman" w:cs="Times New Roman"/>
          <w:color w:val="000000" w:themeColor="text1"/>
          <w:sz w:val="28"/>
          <w:szCs w:val="24"/>
          <w:lang w:val="uk-UA"/>
        </w:rPr>
      </w:pPr>
      <w:r w:rsidRPr="00F00EB0">
        <w:rPr>
          <w:rFonts w:ascii="Times New Roman" w:eastAsia="Times New Roman" w:hAnsi="Times New Roman" w:cs="Times New Roman"/>
          <w:color w:val="000000" w:themeColor="text1"/>
          <w:sz w:val="28"/>
          <w:szCs w:val="24"/>
          <w:lang w:val="uk-UA"/>
        </w:rPr>
        <w:t xml:space="preserve">Наведені дані свідчать, що, попри скорочення в абсолютному розмір валютних позицій за всіма валютами, чутливість банку до валютного ризику лишається значною (найбільша чутливість – за доларом США). Всі відкриті валютні позиції є короткими, що призводить до втрат внаслідок девальвації національної валюти. Як було визначено вище, це має негативний вплив на фінансовий результат діяльності банку (табл. 2.6). </w:t>
      </w:r>
    </w:p>
    <w:p w14:paraId="6F6DE45A" w14:textId="77777777" w:rsidR="009515BC" w:rsidRPr="00F00EB0" w:rsidRDefault="009515BC" w:rsidP="009515BC">
      <w:pPr>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br w:type="page"/>
      </w:r>
    </w:p>
    <w:p w14:paraId="65DE3C84" w14:textId="77777777" w:rsidR="009515BC" w:rsidRPr="00F00EB0" w:rsidRDefault="009515BC" w:rsidP="009515BC">
      <w:pPr>
        <w:spacing w:after="0" w:line="360" w:lineRule="auto"/>
        <w:ind w:firstLine="709"/>
        <w:jc w:val="both"/>
        <w:rPr>
          <w:rFonts w:ascii="Times New Roman" w:eastAsia="Times New Roman" w:hAnsi="Times New Roman" w:cs="Times New Roman"/>
          <w:bCs/>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lastRenderedPageBreak/>
        <w:t xml:space="preserve">Таблиця 2.6 – </w:t>
      </w:r>
      <w:r w:rsidRPr="00F00EB0">
        <w:rPr>
          <w:rFonts w:ascii="Times New Roman" w:eastAsia="Times New Roman" w:hAnsi="Times New Roman" w:cs="Times New Roman"/>
          <w:bCs/>
          <w:color w:val="000000" w:themeColor="text1"/>
          <w:sz w:val="28"/>
          <w:szCs w:val="28"/>
          <w:lang w:val="uk-UA"/>
        </w:rPr>
        <w:t xml:space="preserve">Чутливість фінансової стійкості АТ КБ «ПриватБанк» за період з 01.01.2015 по 01.01.2023 до валютного ризику, млн грн </w:t>
      </w:r>
      <w:r w:rsidRPr="00F00EB0">
        <w:rPr>
          <w:rFonts w:ascii="Times New Roman" w:eastAsia="WenQuanYi Micro Hei" w:hAnsi="Times New Roman" w:cs="Times New Roman"/>
          <w:color w:val="000000" w:themeColor="text1"/>
          <w:kern w:val="3"/>
          <w:sz w:val="28"/>
          <w:szCs w:val="28"/>
          <w:lang w:val="uk-UA" w:eastAsia="zh-CN" w:bidi="hi-IN"/>
        </w:rPr>
        <w:t>[складено автором на основі 53-59]</w:t>
      </w:r>
    </w:p>
    <w:tbl>
      <w:tblPr>
        <w:tblW w:w="5000" w:type="pct"/>
        <w:tblLook w:val="04A0" w:firstRow="1" w:lastRow="0" w:firstColumn="1" w:lastColumn="0" w:noHBand="0" w:noVBand="1"/>
      </w:tblPr>
      <w:tblGrid>
        <w:gridCol w:w="994"/>
        <w:gridCol w:w="977"/>
        <w:gridCol w:w="977"/>
        <w:gridCol w:w="977"/>
        <w:gridCol w:w="1036"/>
        <w:gridCol w:w="1036"/>
        <w:gridCol w:w="977"/>
        <w:gridCol w:w="977"/>
        <w:gridCol w:w="978"/>
        <w:gridCol w:w="982"/>
      </w:tblGrid>
      <w:tr w:rsidR="009515BC" w:rsidRPr="00F00EB0" w14:paraId="657BB2D4" w14:textId="77777777" w:rsidTr="0021593D">
        <w:trPr>
          <w:trHeight w:val="20"/>
        </w:trPr>
        <w:tc>
          <w:tcPr>
            <w:tcW w:w="497" w:type="pct"/>
            <w:vMerge w:val="restart"/>
            <w:tcBorders>
              <w:top w:val="single" w:sz="4" w:space="0" w:color="auto"/>
              <w:left w:val="single" w:sz="4" w:space="0" w:color="auto"/>
              <w:right w:val="single" w:sz="4" w:space="0" w:color="auto"/>
            </w:tcBorders>
            <w:vAlign w:val="center"/>
          </w:tcPr>
          <w:p w14:paraId="19C47C7B"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Валюта</w:t>
            </w:r>
          </w:p>
        </w:tc>
        <w:tc>
          <w:tcPr>
            <w:tcW w:w="4503" w:type="pct"/>
            <w:gridSpan w:val="9"/>
            <w:tcBorders>
              <w:top w:val="single" w:sz="4" w:space="0" w:color="auto"/>
              <w:left w:val="nil"/>
              <w:bottom w:val="single" w:sz="4" w:space="0" w:color="auto"/>
              <w:right w:val="single" w:sz="4" w:space="0" w:color="auto"/>
            </w:tcBorders>
            <w:noWrap/>
            <w:vAlign w:val="center"/>
          </w:tcPr>
          <w:p w14:paraId="21E83D12"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Станом на 01.01</w:t>
            </w:r>
          </w:p>
        </w:tc>
      </w:tr>
      <w:tr w:rsidR="009515BC" w:rsidRPr="00F00EB0" w14:paraId="284111CD" w14:textId="77777777" w:rsidTr="0021593D">
        <w:trPr>
          <w:trHeight w:val="20"/>
        </w:trPr>
        <w:tc>
          <w:tcPr>
            <w:tcW w:w="497" w:type="pct"/>
            <w:vMerge/>
            <w:tcBorders>
              <w:left w:val="single" w:sz="4" w:space="0" w:color="auto"/>
              <w:bottom w:val="single" w:sz="4" w:space="0" w:color="auto"/>
              <w:right w:val="single" w:sz="4" w:space="0" w:color="auto"/>
            </w:tcBorders>
            <w:vAlign w:val="center"/>
            <w:hideMark/>
          </w:tcPr>
          <w:p w14:paraId="5588604E"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p>
        </w:tc>
        <w:tc>
          <w:tcPr>
            <w:tcW w:w="497" w:type="pct"/>
            <w:tcBorders>
              <w:top w:val="single" w:sz="4" w:space="0" w:color="auto"/>
              <w:left w:val="nil"/>
              <w:bottom w:val="single" w:sz="4" w:space="0" w:color="auto"/>
              <w:right w:val="single" w:sz="4" w:space="0" w:color="auto"/>
            </w:tcBorders>
            <w:noWrap/>
            <w:vAlign w:val="center"/>
            <w:hideMark/>
          </w:tcPr>
          <w:p w14:paraId="6BE382C0"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2015</w:t>
            </w:r>
          </w:p>
        </w:tc>
        <w:tc>
          <w:tcPr>
            <w:tcW w:w="497" w:type="pct"/>
            <w:tcBorders>
              <w:top w:val="single" w:sz="4" w:space="0" w:color="auto"/>
              <w:left w:val="nil"/>
              <w:bottom w:val="single" w:sz="4" w:space="0" w:color="auto"/>
              <w:right w:val="single" w:sz="4" w:space="0" w:color="auto"/>
            </w:tcBorders>
            <w:vAlign w:val="center"/>
            <w:hideMark/>
          </w:tcPr>
          <w:p w14:paraId="121BE79B"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2016</w:t>
            </w:r>
          </w:p>
        </w:tc>
        <w:tc>
          <w:tcPr>
            <w:tcW w:w="497" w:type="pct"/>
            <w:tcBorders>
              <w:top w:val="single" w:sz="4" w:space="0" w:color="auto"/>
              <w:left w:val="nil"/>
              <w:bottom w:val="single" w:sz="4" w:space="0" w:color="auto"/>
              <w:right w:val="single" w:sz="4" w:space="0" w:color="auto"/>
            </w:tcBorders>
            <w:noWrap/>
            <w:vAlign w:val="center"/>
            <w:hideMark/>
          </w:tcPr>
          <w:p w14:paraId="5390CF7E"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2017</w:t>
            </w:r>
          </w:p>
        </w:tc>
        <w:tc>
          <w:tcPr>
            <w:tcW w:w="511" w:type="pct"/>
            <w:tcBorders>
              <w:top w:val="single" w:sz="4" w:space="0" w:color="auto"/>
              <w:left w:val="nil"/>
              <w:bottom w:val="single" w:sz="4" w:space="0" w:color="auto"/>
              <w:right w:val="single" w:sz="4" w:space="0" w:color="auto"/>
            </w:tcBorders>
            <w:noWrap/>
            <w:vAlign w:val="center"/>
            <w:hideMark/>
          </w:tcPr>
          <w:p w14:paraId="7574F8BA"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2018</w:t>
            </w:r>
          </w:p>
        </w:tc>
        <w:tc>
          <w:tcPr>
            <w:tcW w:w="511" w:type="pct"/>
            <w:tcBorders>
              <w:top w:val="single" w:sz="4" w:space="0" w:color="auto"/>
              <w:left w:val="nil"/>
              <w:bottom w:val="single" w:sz="4" w:space="0" w:color="auto"/>
              <w:right w:val="single" w:sz="4" w:space="0" w:color="auto"/>
            </w:tcBorders>
            <w:noWrap/>
            <w:vAlign w:val="center"/>
            <w:hideMark/>
          </w:tcPr>
          <w:p w14:paraId="2376DD40"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2019</w:t>
            </w:r>
          </w:p>
        </w:tc>
        <w:tc>
          <w:tcPr>
            <w:tcW w:w="497" w:type="pct"/>
            <w:tcBorders>
              <w:top w:val="single" w:sz="4" w:space="0" w:color="auto"/>
              <w:left w:val="nil"/>
              <w:bottom w:val="single" w:sz="4" w:space="0" w:color="auto"/>
              <w:right w:val="single" w:sz="4" w:space="0" w:color="auto"/>
            </w:tcBorders>
          </w:tcPr>
          <w:p w14:paraId="2212A676"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2020</w:t>
            </w:r>
          </w:p>
        </w:tc>
        <w:tc>
          <w:tcPr>
            <w:tcW w:w="497" w:type="pct"/>
            <w:tcBorders>
              <w:top w:val="single" w:sz="4" w:space="0" w:color="auto"/>
              <w:left w:val="nil"/>
              <w:bottom w:val="single" w:sz="4" w:space="0" w:color="auto"/>
              <w:right w:val="single" w:sz="4" w:space="0" w:color="auto"/>
            </w:tcBorders>
          </w:tcPr>
          <w:p w14:paraId="4088B7E9"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2021</w:t>
            </w:r>
          </w:p>
        </w:tc>
        <w:tc>
          <w:tcPr>
            <w:tcW w:w="497" w:type="pct"/>
            <w:tcBorders>
              <w:top w:val="single" w:sz="4" w:space="0" w:color="auto"/>
              <w:left w:val="nil"/>
              <w:bottom w:val="single" w:sz="4" w:space="0" w:color="auto"/>
              <w:right w:val="single" w:sz="4" w:space="0" w:color="auto"/>
            </w:tcBorders>
          </w:tcPr>
          <w:p w14:paraId="58044494"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2022</w:t>
            </w:r>
          </w:p>
        </w:tc>
        <w:tc>
          <w:tcPr>
            <w:tcW w:w="499" w:type="pct"/>
            <w:tcBorders>
              <w:top w:val="single" w:sz="4" w:space="0" w:color="auto"/>
              <w:left w:val="nil"/>
              <w:bottom w:val="single" w:sz="4" w:space="0" w:color="auto"/>
              <w:right w:val="single" w:sz="4" w:space="0" w:color="auto"/>
            </w:tcBorders>
          </w:tcPr>
          <w:p w14:paraId="36C7C0ED"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2023</w:t>
            </w:r>
          </w:p>
        </w:tc>
      </w:tr>
      <w:tr w:rsidR="009515BC" w:rsidRPr="00F00EB0" w14:paraId="41903C06" w14:textId="77777777" w:rsidTr="0021593D">
        <w:trPr>
          <w:trHeight w:val="20"/>
        </w:trPr>
        <w:tc>
          <w:tcPr>
            <w:tcW w:w="5000" w:type="pct"/>
            <w:gridSpan w:val="10"/>
            <w:tcBorders>
              <w:top w:val="single" w:sz="4" w:space="0" w:color="auto"/>
              <w:left w:val="single" w:sz="4" w:space="0" w:color="auto"/>
              <w:bottom w:val="single" w:sz="4" w:space="0" w:color="auto"/>
              <w:right w:val="single" w:sz="4" w:space="0" w:color="auto"/>
            </w:tcBorders>
            <w:vAlign w:val="center"/>
            <w:hideMark/>
          </w:tcPr>
          <w:p w14:paraId="6354A6CF"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Зростання курсів валют</w:t>
            </w:r>
          </w:p>
        </w:tc>
      </w:tr>
      <w:tr w:rsidR="009515BC" w:rsidRPr="00F00EB0" w14:paraId="279944A1" w14:textId="77777777" w:rsidTr="0021593D">
        <w:trPr>
          <w:trHeight w:val="20"/>
        </w:trPr>
        <w:tc>
          <w:tcPr>
            <w:tcW w:w="497" w:type="pct"/>
            <w:vMerge w:val="restart"/>
            <w:tcBorders>
              <w:top w:val="nil"/>
              <w:left w:val="single" w:sz="4" w:space="0" w:color="auto"/>
              <w:right w:val="single" w:sz="4" w:space="0" w:color="auto"/>
            </w:tcBorders>
            <w:vAlign w:val="center"/>
            <w:hideMark/>
          </w:tcPr>
          <w:p w14:paraId="555B9070" w14:textId="77777777" w:rsidR="009515BC" w:rsidRPr="00F00EB0" w:rsidRDefault="009515BC" w:rsidP="0021593D">
            <w:pPr>
              <w:spacing w:after="0" w:line="276" w:lineRule="auto"/>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 xml:space="preserve">Долари США </w:t>
            </w:r>
          </w:p>
        </w:tc>
        <w:tc>
          <w:tcPr>
            <w:tcW w:w="497" w:type="pct"/>
            <w:tcBorders>
              <w:top w:val="nil"/>
              <w:left w:val="nil"/>
              <w:bottom w:val="single" w:sz="4" w:space="0" w:color="auto"/>
              <w:right w:val="single" w:sz="4" w:space="0" w:color="auto"/>
            </w:tcBorders>
            <w:vAlign w:val="center"/>
          </w:tcPr>
          <w:p w14:paraId="34C105DC" w14:textId="77777777" w:rsidR="009515BC" w:rsidRPr="00F00EB0" w:rsidRDefault="009515BC" w:rsidP="0021593D">
            <w:pPr>
              <w:spacing w:after="0" w:line="276" w:lineRule="auto"/>
              <w:jc w:val="center"/>
              <w:rPr>
                <w:rFonts w:ascii="Times New Roman" w:eastAsia="Times New Roman" w:hAnsi="Times New Roman" w:cs="Times New Roman"/>
                <w:i/>
                <w:color w:val="000000" w:themeColor="text1"/>
                <w:sz w:val="24"/>
                <w:szCs w:val="24"/>
                <w:lang w:val="uk-UA" w:eastAsia="ru-RU"/>
              </w:rPr>
            </w:pPr>
            <w:r w:rsidRPr="00F00EB0">
              <w:rPr>
                <w:rFonts w:ascii="Times New Roman" w:eastAsia="Times New Roman" w:hAnsi="Times New Roman" w:cs="Times New Roman"/>
                <w:i/>
                <w:color w:val="000000" w:themeColor="text1"/>
                <w:sz w:val="24"/>
                <w:szCs w:val="24"/>
                <w:lang w:val="uk-UA" w:eastAsia="ru-RU"/>
              </w:rPr>
              <w:t>на 50%</w:t>
            </w:r>
          </w:p>
        </w:tc>
        <w:tc>
          <w:tcPr>
            <w:tcW w:w="994" w:type="pct"/>
            <w:gridSpan w:val="2"/>
            <w:tcBorders>
              <w:top w:val="nil"/>
              <w:left w:val="nil"/>
              <w:bottom w:val="single" w:sz="4" w:space="0" w:color="auto"/>
              <w:right w:val="single" w:sz="4" w:space="0" w:color="auto"/>
            </w:tcBorders>
            <w:vAlign w:val="center"/>
          </w:tcPr>
          <w:p w14:paraId="6C0A9559" w14:textId="77777777" w:rsidR="009515BC" w:rsidRPr="00F00EB0" w:rsidRDefault="009515BC" w:rsidP="0021593D">
            <w:pPr>
              <w:spacing w:after="0" w:line="276" w:lineRule="auto"/>
              <w:jc w:val="center"/>
              <w:rPr>
                <w:rFonts w:ascii="Times New Roman" w:eastAsia="Times New Roman" w:hAnsi="Times New Roman" w:cs="Times New Roman"/>
                <w:i/>
                <w:color w:val="000000" w:themeColor="text1"/>
                <w:sz w:val="24"/>
                <w:szCs w:val="24"/>
                <w:lang w:val="uk-UA" w:eastAsia="ru-RU"/>
              </w:rPr>
            </w:pPr>
            <w:r w:rsidRPr="00F00EB0">
              <w:rPr>
                <w:rFonts w:ascii="Times New Roman" w:eastAsia="Times New Roman" w:hAnsi="Times New Roman" w:cs="Times New Roman"/>
                <w:i/>
                <w:color w:val="000000" w:themeColor="text1"/>
                <w:sz w:val="24"/>
                <w:szCs w:val="24"/>
                <w:lang w:val="uk-UA" w:eastAsia="ru-RU"/>
              </w:rPr>
              <w:t>на 10%</w:t>
            </w:r>
          </w:p>
        </w:tc>
        <w:tc>
          <w:tcPr>
            <w:tcW w:w="3013" w:type="pct"/>
            <w:gridSpan w:val="6"/>
            <w:tcBorders>
              <w:top w:val="nil"/>
              <w:left w:val="nil"/>
              <w:bottom w:val="single" w:sz="4" w:space="0" w:color="auto"/>
              <w:right w:val="single" w:sz="4" w:space="0" w:color="auto"/>
            </w:tcBorders>
            <w:vAlign w:val="center"/>
          </w:tcPr>
          <w:p w14:paraId="6D105BA9" w14:textId="77777777" w:rsidR="009515BC" w:rsidRPr="00F00EB0" w:rsidRDefault="009515BC" w:rsidP="0021593D">
            <w:pPr>
              <w:spacing w:after="0" w:line="276" w:lineRule="auto"/>
              <w:jc w:val="center"/>
              <w:rPr>
                <w:rFonts w:ascii="Times New Roman" w:eastAsia="Times New Roman" w:hAnsi="Times New Roman" w:cs="Times New Roman"/>
                <w:i/>
                <w:color w:val="000000" w:themeColor="text1"/>
                <w:sz w:val="24"/>
                <w:szCs w:val="24"/>
                <w:lang w:val="uk-UA" w:eastAsia="ru-RU"/>
              </w:rPr>
            </w:pPr>
            <w:r w:rsidRPr="00F00EB0">
              <w:rPr>
                <w:rFonts w:ascii="Times New Roman" w:eastAsia="Times New Roman" w:hAnsi="Times New Roman" w:cs="Times New Roman"/>
                <w:i/>
                <w:color w:val="000000" w:themeColor="text1"/>
                <w:sz w:val="24"/>
                <w:szCs w:val="24"/>
                <w:lang w:val="uk-UA" w:eastAsia="ru-RU"/>
              </w:rPr>
              <w:t>на 20%</w:t>
            </w:r>
          </w:p>
        </w:tc>
      </w:tr>
      <w:tr w:rsidR="009515BC" w:rsidRPr="00F00EB0" w14:paraId="7FFEAB14" w14:textId="77777777" w:rsidTr="0021593D">
        <w:trPr>
          <w:trHeight w:val="20"/>
        </w:trPr>
        <w:tc>
          <w:tcPr>
            <w:tcW w:w="497" w:type="pct"/>
            <w:vMerge/>
            <w:tcBorders>
              <w:left w:val="single" w:sz="4" w:space="0" w:color="auto"/>
              <w:bottom w:val="single" w:sz="4" w:space="0" w:color="auto"/>
              <w:right w:val="single" w:sz="4" w:space="0" w:color="auto"/>
            </w:tcBorders>
            <w:vAlign w:val="center"/>
          </w:tcPr>
          <w:p w14:paraId="3DEA8D0F" w14:textId="77777777" w:rsidR="009515BC" w:rsidRPr="00F00EB0" w:rsidRDefault="009515BC" w:rsidP="0021593D">
            <w:pPr>
              <w:spacing w:after="0" w:line="276" w:lineRule="auto"/>
              <w:rPr>
                <w:rFonts w:ascii="Times New Roman" w:eastAsia="Times New Roman" w:hAnsi="Times New Roman" w:cs="Times New Roman"/>
                <w:color w:val="000000" w:themeColor="text1"/>
                <w:sz w:val="24"/>
                <w:szCs w:val="24"/>
                <w:lang w:val="uk-UA" w:eastAsia="ru-RU"/>
              </w:rPr>
            </w:pPr>
          </w:p>
        </w:tc>
        <w:tc>
          <w:tcPr>
            <w:tcW w:w="497" w:type="pct"/>
            <w:tcBorders>
              <w:top w:val="single" w:sz="4" w:space="0" w:color="auto"/>
              <w:left w:val="nil"/>
              <w:bottom w:val="single" w:sz="4" w:space="0" w:color="auto"/>
              <w:right w:val="single" w:sz="4" w:space="0" w:color="auto"/>
            </w:tcBorders>
            <w:vAlign w:val="center"/>
          </w:tcPr>
          <w:p w14:paraId="6A32579B"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10 840</w:t>
            </w:r>
          </w:p>
        </w:tc>
        <w:tc>
          <w:tcPr>
            <w:tcW w:w="497" w:type="pct"/>
            <w:tcBorders>
              <w:top w:val="single" w:sz="4" w:space="0" w:color="auto"/>
              <w:left w:val="nil"/>
              <w:bottom w:val="single" w:sz="4" w:space="0" w:color="auto"/>
              <w:right w:val="single" w:sz="4" w:space="0" w:color="auto"/>
            </w:tcBorders>
            <w:vAlign w:val="center"/>
          </w:tcPr>
          <w:p w14:paraId="2857C960"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34</w:t>
            </w:r>
          </w:p>
        </w:tc>
        <w:tc>
          <w:tcPr>
            <w:tcW w:w="497" w:type="pct"/>
            <w:tcBorders>
              <w:top w:val="single" w:sz="4" w:space="0" w:color="auto"/>
              <w:left w:val="nil"/>
              <w:bottom w:val="single" w:sz="4" w:space="0" w:color="auto"/>
              <w:right w:val="single" w:sz="4" w:space="0" w:color="auto"/>
            </w:tcBorders>
            <w:vAlign w:val="center"/>
          </w:tcPr>
          <w:p w14:paraId="4AD52936"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(6 599)</w:t>
            </w:r>
          </w:p>
        </w:tc>
        <w:tc>
          <w:tcPr>
            <w:tcW w:w="511" w:type="pct"/>
            <w:tcBorders>
              <w:top w:val="single" w:sz="4" w:space="0" w:color="auto"/>
              <w:left w:val="nil"/>
              <w:bottom w:val="single" w:sz="4" w:space="0" w:color="auto"/>
              <w:right w:val="single" w:sz="4" w:space="0" w:color="auto"/>
            </w:tcBorders>
            <w:vAlign w:val="center"/>
          </w:tcPr>
          <w:p w14:paraId="6E9AE570"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(11 106)</w:t>
            </w:r>
          </w:p>
        </w:tc>
        <w:tc>
          <w:tcPr>
            <w:tcW w:w="511" w:type="pct"/>
            <w:tcBorders>
              <w:top w:val="single" w:sz="4" w:space="0" w:color="auto"/>
              <w:left w:val="nil"/>
              <w:bottom w:val="single" w:sz="4" w:space="0" w:color="auto"/>
              <w:right w:val="single" w:sz="4" w:space="0" w:color="auto"/>
            </w:tcBorders>
            <w:vAlign w:val="center"/>
          </w:tcPr>
          <w:p w14:paraId="4760FE4F"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(10 642)</w:t>
            </w:r>
          </w:p>
        </w:tc>
        <w:tc>
          <w:tcPr>
            <w:tcW w:w="497" w:type="pct"/>
            <w:tcBorders>
              <w:top w:val="single" w:sz="4" w:space="0" w:color="auto"/>
              <w:left w:val="nil"/>
              <w:bottom w:val="single" w:sz="4" w:space="0" w:color="auto"/>
              <w:right w:val="single" w:sz="4" w:space="0" w:color="auto"/>
            </w:tcBorders>
          </w:tcPr>
          <w:p w14:paraId="6F090A04"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(8 093)</w:t>
            </w:r>
          </w:p>
        </w:tc>
        <w:tc>
          <w:tcPr>
            <w:tcW w:w="497" w:type="pct"/>
            <w:tcBorders>
              <w:top w:val="single" w:sz="4" w:space="0" w:color="auto"/>
              <w:left w:val="nil"/>
              <w:bottom w:val="single" w:sz="4" w:space="0" w:color="auto"/>
              <w:right w:val="single" w:sz="4" w:space="0" w:color="auto"/>
            </w:tcBorders>
          </w:tcPr>
          <w:p w14:paraId="48D23C2E"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hAnsi="Times New Roman" w:cs="Times New Roman"/>
                <w:color w:val="000000" w:themeColor="text1"/>
                <w:sz w:val="24"/>
                <w:szCs w:val="24"/>
                <w:lang w:val="uk-UA"/>
              </w:rPr>
              <w:t>(6 954)</w:t>
            </w:r>
          </w:p>
        </w:tc>
        <w:tc>
          <w:tcPr>
            <w:tcW w:w="497" w:type="pct"/>
            <w:tcBorders>
              <w:top w:val="single" w:sz="4" w:space="0" w:color="auto"/>
              <w:left w:val="nil"/>
              <w:bottom w:val="single" w:sz="4" w:space="0" w:color="auto"/>
              <w:right w:val="single" w:sz="4" w:space="0" w:color="auto"/>
            </w:tcBorders>
          </w:tcPr>
          <w:p w14:paraId="445B8CF3"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hAnsi="Times New Roman" w:cs="Times New Roman"/>
                <w:color w:val="000000" w:themeColor="text1"/>
                <w:sz w:val="24"/>
                <w:szCs w:val="24"/>
                <w:lang w:val="uk-UA"/>
              </w:rPr>
              <w:t>(5 066)</w:t>
            </w:r>
          </w:p>
        </w:tc>
        <w:tc>
          <w:tcPr>
            <w:tcW w:w="499" w:type="pct"/>
            <w:tcBorders>
              <w:top w:val="single" w:sz="4" w:space="0" w:color="auto"/>
              <w:left w:val="nil"/>
              <w:bottom w:val="single" w:sz="4" w:space="0" w:color="auto"/>
              <w:right w:val="single" w:sz="4" w:space="0" w:color="auto"/>
            </w:tcBorders>
          </w:tcPr>
          <w:p w14:paraId="073B10C3"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(5 533)</w:t>
            </w:r>
          </w:p>
        </w:tc>
      </w:tr>
      <w:tr w:rsidR="009515BC" w:rsidRPr="00F00EB0" w14:paraId="732F24F4" w14:textId="77777777" w:rsidTr="0021593D">
        <w:trPr>
          <w:trHeight w:val="20"/>
        </w:trPr>
        <w:tc>
          <w:tcPr>
            <w:tcW w:w="497" w:type="pct"/>
            <w:vMerge w:val="restart"/>
            <w:tcBorders>
              <w:top w:val="nil"/>
              <w:left w:val="single" w:sz="4" w:space="0" w:color="auto"/>
              <w:right w:val="single" w:sz="4" w:space="0" w:color="auto"/>
            </w:tcBorders>
            <w:vAlign w:val="center"/>
            <w:hideMark/>
          </w:tcPr>
          <w:p w14:paraId="67F61ED7" w14:textId="77777777" w:rsidR="009515BC" w:rsidRPr="00F00EB0" w:rsidRDefault="009515BC" w:rsidP="0021593D">
            <w:pPr>
              <w:spacing w:after="0" w:line="276" w:lineRule="auto"/>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 xml:space="preserve">Євро </w:t>
            </w:r>
          </w:p>
        </w:tc>
        <w:tc>
          <w:tcPr>
            <w:tcW w:w="497" w:type="pct"/>
            <w:tcBorders>
              <w:top w:val="nil"/>
              <w:left w:val="nil"/>
              <w:bottom w:val="single" w:sz="4" w:space="0" w:color="auto"/>
              <w:right w:val="single" w:sz="4" w:space="0" w:color="auto"/>
            </w:tcBorders>
            <w:vAlign w:val="center"/>
          </w:tcPr>
          <w:p w14:paraId="680A129E" w14:textId="77777777" w:rsidR="009515BC" w:rsidRPr="00F00EB0" w:rsidRDefault="009515BC" w:rsidP="0021593D">
            <w:pPr>
              <w:spacing w:after="0" w:line="276" w:lineRule="auto"/>
              <w:jc w:val="center"/>
              <w:rPr>
                <w:rFonts w:ascii="Times New Roman" w:eastAsia="Times New Roman" w:hAnsi="Times New Roman" w:cs="Times New Roman"/>
                <w:i/>
                <w:color w:val="000000" w:themeColor="text1"/>
                <w:sz w:val="24"/>
                <w:szCs w:val="24"/>
                <w:lang w:val="uk-UA" w:eastAsia="ru-RU"/>
              </w:rPr>
            </w:pPr>
            <w:r w:rsidRPr="00F00EB0">
              <w:rPr>
                <w:rFonts w:ascii="Times New Roman" w:eastAsia="Times New Roman" w:hAnsi="Times New Roman" w:cs="Times New Roman"/>
                <w:i/>
                <w:color w:val="000000" w:themeColor="text1"/>
                <w:sz w:val="24"/>
                <w:szCs w:val="24"/>
                <w:lang w:val="uk-UA" w:eastAsia="ru-RU"/>
              </w:rPr>
              <w:t>на 50%</w:t>
            </w:r>
          </w:p>
        </w:tc>
        <w:tc>
          <w:tcPr>
            <w:tcW w:w="4007" w:type="pct"/>
            <w:gridSpan w:val="8"/>
            <w:tcBorders>
              <w:top w:val="nil"/>
              <w:left w:val="nil"/>
              <w:bottom w:val="single" w:sz="4" w:space="0" w:color="auto"/>
              <w:right w:val="single" w:sz="4" w:space="0" w:color="auto"/>
            </w:tcBorders>
            <w:vAlign w:val="center"/>
          </w:tcPr>
          <w:p w14:paraId="6579228B" w14:textId="77777777" w:rsidR="009515BC" w:rsidRPr="00F00EB0" w:rsidRDefault="009515BC" w:rsidP="0021593D">
            <w:pPr>
              <w:spacing w:after="0" w:line="276" w:lineRule="auto"/>
              <w:jc w:val="center"/>
              <w:rPr>
                <w:rFonts w:ascii="Times New Roman" w:eastAsia="Times New Roman" w:hAnsi="Times New Roman" w:cs="Times New Roman"/>
                <w:i/>
                <w:color w:val="000000" w:themeColor="text1"/>
                <w:sz w:val="24"/>
                <w:szCs w:val="24"/>
                <w:lang w:val="uk-UA" w:eastAsia="ru-RU"/>
              </w:rPr>
            </w:pPr>
            <w:r w:rsidRPr="00F00EB0">
              <w:rPr>
                <w:rFonts w:ascii="Times New Roman" w:eastAsia="Times New Roman" w:hAnsi="Times New Roman" w:cs="Times New Roman"/>
                <w:i/>
                <w:color w:val="000000" w:themeColor="text1"/>
                <w:sz w:val="24"/>
                <w:szCs w:val="24"/>
                <w:lang w:val="uk-UA" w:eastAsia="ru-RU"/>
              </w:rPr>
              <w:t>на 10%</w:t>
            </w:r>
          </w:p>
        </w:tc>
      </w:tr>
      <w:tr w:rsidR="009515BC" w:rsidRPr="00F00EB0" w14:paraId="299CBFC5" w14:textId="77777777" w:rsidTr="0021593D">
        <w:trPr>
          <w:trHeight w:val="20"/>
        </w:trPr>
        <w:tc>
          <w:tcPr>
            <w:tcW w:w="497" w:type="pct"/>
            <w:vMerge/>
            <w:tcBorders>
              <w:left w:val="single" w:sz="4" w:space="0" w:color="auto"/>
              <w:bottom w:val="single" w:sz="4" w:space="0" w:color="auto"/>
              <w:right w:val="single" w:sz="4" w:space="0" w:color="auto"/>
            </w:tcBorders>
            <w:vAlign w:val="center"/>
          </w:tcPr>
          <w:p w14:paraId="72A9AB82" w14:textId="77777777" w:rsidR="009515BC" w:rsidRPr="00F00EB0" w:rsidRDefault="009515BC" w:rsidP="0021593D">
            <w:pPr>
              <w:spacing w:after="0" w:line="276" w:lineRule="auto"/>
              <w:rPr>
                <w:rFonts w:ascii="Times New Roman" w:eastAsia="Times New Roman" w:hAnsi="Times New Roman" w:cs="Times New Roman"/>
                <w:color w:val="000000" w:themeColor="text1"/>
                <w:sz w:val="24"/>
                <w:szCs w:val="24"/>
                <w:lang w:val="uk-UA" w:eastAsia="ru-RU"/>
              </w:rPr>
            </w:pPr>
          </w:p>
        </w:tc>
        <w:tc>
          <w:tcPr>
            <w:tcW w:w="497" w:type="pct"/>
            <w:tcBorders>
              <w:top w:val="single" w:sz="4" w:space="0" w:color="auto"/>
              <w:left w:val="nil"/>
              <w:bottom w:val="single" w:sz="4" w:space="0" w:color="auto"/>
              <w:right w:val="single" w:sz="4" w:space="0" w:color="auto"/>
            </w:tcBorders>
            <w:vAlign w:val="center"/>
          </w:tcPr>
          <w:p w14:paraId="722598A1"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(396)</w:t>
            </w:r>
          </w:p>
        </w:tc>
        <w:tc>
          <w:tcPr>
            <w:tcW w:w="497" w:type="pct"/>
            <w:tcBorders>
              <w:top w:val="single" w:sz="4" w:space="0" w:color="auto"/>
              <w:left w:val="nil"/>
              <w:bottom w:val="single" w:sz="4" w:space="0" w:color="auto"/>
              <w:right w:val="single" w:sz="4" w:space="0" w:color="auto"/>
            </w:tcBorders>
            <w:vAlign w:val="center"/>
          </w:tcPr>
          <w:p w14:paraId="275D42D0"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(547)</w:t>
            </w:r>
          </w:p>
        </w:tc>
        <w:tc>
          <w:tcPr>
            <w:tcW w:w="497" w:type="pct"/>
            <w:tcBorders>
              <w:top w:val="single" w:sz="4" w:space="0" w:color="auto"/>
              <w:left w:val="nil"/>
              <w:bottom w:val="single" w:sz="4" w:space="0" w:color="auto"/>
              <w:right w:val="single" w:sz="4" w:space="0" w:color="auto"/>
            </w:tcBorders>
            <w:vAlign w:val="center"/>
          </w:tcPr>
          <w:p w14:paraId="3FD8F5D0"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(1 138)</w:t>
            </w:r>
          </w:p>
        </w:tc>
        <w:tc>
          <w:tcPr>
            <w:tcW w:w="511" w:type="pct"/>
            <w:tcBorders>
              <w:top w:val="single" w:sz="4" w:space="0" w:color="auto"/>
              <w:left w:val="nil"/>
              <w:bottom w:val="single" w:sz="4" w:space="0" w:color="auto"/>
              <w:right w:val="single" w:sz="4" w:space="0" w:color="auto"/>
            </w:tcBorders>
            <w:vAlign w:val="center"/>
          </w:tcPr>
          <w:p w14:paraId="015AF4A6"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(959)</w:t>
            </w:r>
          </w:p>
        </w:tc>
        <w:tc>
          <w:tcPr>
            <w:tcW w:w="511" w:type="pct"/>
            <w:tcBorders>
              <w:top w:val="single" w:sz="4" w:space="0" w:color="auto"/>
              <w:left w:val="nil"/>
              <w:bottom w:val="single" w:sz="4" w:space="0" w:color="auto"/>
              <w:right w:val="single" w:sz="4" w:space="0" w:color="auto"/>
            </w:tcBorders>
            <w:vAlign w:val="center"/>
          </w:tcPr>
          <w:p w14:paraId="19682DBE"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57</w:t>
            </w:r>
          </w:p>
        </w:tc>
        <w:tc>
          <w:tcPr>
            <w:tcW w:w="497" w:type="pct"/>
            <w:tcBorders>
              <w:top w:val="single" w:sz="4" w:space="0" w:color="auto"/>
              <w:left w:val="nil"/>
              <w:bottom w:val="single" w:sz="4" w:space="0" w:color="auto"/>
              <w:right w:val="single" w:sz="4" w:space="0" w:color="auto"/>
            </w:tcBorders>
          </w:tcPr>
          <w:p w14:paraId="4CAF96A9"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(15)</w:t>
            </w:r>
          </w:p>
        </w:tc>
        <w:tc>
          <w:tcPr>
            <w:tcW w:w="497" w:type="pct"/>
            <w:tcBorders>
              <w:top w:val="single" w:sz="4" w:space="0" w:color="auto"/>
              <w:left w:val="nil"/>
              <w:bottom w:val="single" w:sz="4" w:space="0" w:color="auto"/>
              <w:right w:val="single" w:sz="4" w:space="0" w:color="auto"/>
            </w:tcBorders>
          </w:tcPr>
          <w:p w14:paraId="07339F10"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(7)</w:t>
            </w:r>
          </w:p>
        </w:tc>
        <w:tc>
          <w:tcPr>
            <w:tcW w:w="497" w:type="pct"/>
            <w:tcBorders>
              <w:top w:val="single" w:sz="4" w:space="0" w:color="auto"/>
              <w:left w:val="nil"/>
              <w:bottom w:val="single" w:sz="4" w:space="0" w:color="auto"/>
              <w:right w:val="single" w:sz="4" w:space="0" w:color="auto"/>
            </w:tcBorders>
          </w:tcPr>
          <w:p w14:paraId="6269D385"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hAnsi="Times New Roman" w:cs="Times New Roman"/>
                <w:color w:val="000000" w:themeColor="text1"/>
                <w:sz w:val="24"/>
                <w:szCs w:val="24"/>
                <w:lang w:val="uk-UA"/>
              </w:rPr>
              <w:t>(16)</w:t>
            </w:r>
          </w:p>
        </w:tc>
        <w:tc>
          <w:tcPr>
            <w:tcW w:w="499" w:type="pct"/>
            <w:tcBorders>
              <w:top w:val="single" w:sz="4" w:space="0" w:color="auto"/>
              <w:left w:val="nil"/>
              <w:bottom w:val="single" w:sz="4" w:space="0" w:color="auto"/>
              <w:right w:val="single" w:sz="4" w:space="0" w:color="auto"/>
            </w:tcBorders>
          </w:tcPr>
          <w:p w14:paraId="10E483B0" w14:textId="77777777" w:rsidR="009515BC" w:rsidRPr="00F00EB0" w:rsidRDefault="009515BC" w:rsidP="0021593D">
            <w:pPr>
              <w:spacing w:after="0" w:line="276" w:lineRule="auto"/>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lang w:val="uk-UA"/>
              </w:rPr>
              <w:t>(75)</w:t>
            </w:r>
          </w:p>
        </w:tc>
      </w:tr>
      <w:tr w:rsidR="009515BC" w:rsidRPr="00F00EB0" w14:paraId="24B2A99C" w14:textId="77777777" w:rsidTr="0021593D">
        <w:trPr>
          <w:trHeight w:val="20"/>
        </w:trPr>
        <w:tc>
          <w:tcPr>
            <w:tcW w:w="497" w:type="pct"/>
            <w:vMerge w:val="restart"/>
            <w:tcBorders>
              <w:top w:val="nil"/>
              <w:left w:val="single" w:sz="4" w:space="0" w:color="auto"/>
              <w:right w:val="single" w:sz="4" w:space="0" w:color="auto"/>
            </w:tcBorders>
            <w:vAlign w:val="center"/>
            <w:hideMark/>
          </w:tcPr>
          <w:p w14:paraId="7D75B151" w14:textId="77777777" w:rsidR="009515BC" w:rsidRPr="00F00EB0" w:rsidRDefault="009515BC" w:rsidP="0021593D">
            <w:pPr>
              <w:spacing w:after="0" w:line="276" w:lineRule="auto"/>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 xml:space="preserve">Інші  </w:t>
            </w:r>
          </w:p>
        </w:tc>
        <w:tc>
          <w:tcPr>
            <w:tcW w:w="4503" w:type="pct"/>
            <w:gridSpan w:val="9"/>
            <w:tcBorders>
              <w:top w:val="nil"/>
              <w:left w:val="nil"/>
              <w:bottom w:val="single" w:sz="4" w:space="0" w:color="auto"/>
              <w:right w:val="single" w:sz="4" w:space="0" w:color="auto"/>
            </w:tcBorders>
            <w:vAlign w:val="center"/>
          </w:tcPr>
          <w:p w14:paraId="27207EF1" w14:textId="77777777" w:rsidR="009515BC" w:rsidRPr="00F00EB0" w:rsidRDefault="009515BC" w:rsidP="0021593D">
            <w:pPr>
              <w:spacing w:after="0" w:line="276" w:lineRule="auto"/>
              <w:jc w:val="center"/>
              <w:rPr>
                <w:rFonts w:ascii="Times New Roman" w:eastAsia="Times New Roman" w:hAnsi="Times New Roman" w:cs="Times New Roman"/>
                <w:i/>
                <w:color w:val="000000" w:themeColor="text1"/>
                <w:sz w:val="24"/>
                <w:szCs w:val="24"/>
                <w:lang w:val="uk-UA" w:eastAsia="ru-RU"/>
              </w:rPr>
            </w:pPr>
            <w:r w:rsidRPr="00F00EB0">
              <w:rPr>
                <w:rFonts w:ascii="Times New Roman" w:eastAsia="Times New Roman" w:hAnsi="Times New Roman" w:cs="Times New Roman"/>
                <w:i/>
                <w:color w:val="000000" w:themeColor="text1"/>
                <w:sz w:val="24"/>
                <w:szCs w:val="24"/>
                <w:lang w:val="uk-UA" w:eastAsia="ru-RU"/>
              </w:rPr>
              <w:t>на 5%</w:t>
            </w:r>
          </w:p>
        </w:tc>
      </w:tr>
      <w:tr w:rsidR="009515BC" w:rsidRPr="00F00EB0" w14:paraId="4E33F773" w14:textId="77777777" w:rsidTr="0021593D">
        <w:trPr>
          <w:trHeight w:val="20"/>
        </w:trPr>
        <w:tc>
          <w:tcPr>
            <w:tcW w:w="497" w:type="pct"/>
            <w:vMerge/>
            <w:tcBorders>
              <w:left w:val="single" w:sz="4" w:space="0" w:color="auto"/>
              <w:bottom w:val="single" w:sz="4" w:space="0" w:color="auto"/>
              <w:right w:val="single" w:sz="4" w:space="0" w:color="auto"/>
            </w:tcBorders>
            <w:vAlign w:val="center"/>
          </w:tcPr>
          <w:p w14:paraId="75219924" w14:textId="77777777" w:rsidR="009515BC" w:rsidRPr="00F00EB0" w:rsidRDefault="009515BC" w:rsidP="0021593D">
            <w:pPr>
              <w:spacing w:after="0" w:line="276" w:lineRule="auto"/>
              <w:rPr>
                <w:rFonts w:ascii="Times New Roman" w:eastAsia="Times New Roman" w:hAnsi="Times New Roman" w:cs="Times New Roman"/>
                <w:color w:val="000000" w:themeColor="text1"/>
                <w:sz w:val="24"/>
                <w:szCs w:val="24"/>
                <w:lang w:val="uk-UA" w:eastAsia="ru-RU"/>
              </w:rPr>
            </w:pPr>
          </w:p>
        </w:tc>
        <w:tc>
          <w:tcPr>
            <w:tcW w:w="497" w:type="pct"/>
            <w:tcBorders>
              <w:top w:val="single" w:sz="4" w:space="0" w:color="auto"/>
              <w:left w:val="nil"/>
              <w:bottom w:val="single" w:sz="4" w:space="0" w:color="auto"/>
              <w:right w:val="single" w:sz="4" w:space="0" w:color="auto"/>
            </w:tcBorders>
            <w:vAlign w:val="center"/>
          </w:tcPr>
          <w:p w14:paraId="24FCE142"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16</w:t>
            </w:r>
          </w:p>
        </w:tc>
        <w:tc>
          <w:tcPr>
            <w:tcW w:w="497" w:type="pct"/>
            <w:tcBorders>
              <w:top w:val="single" w:sz="4" w:space="0" w:color="auto"/>
              <w:left w:val="nil"/>
              <w:bottom w:val="single" w:sz="4" w:space="0" w:color="auto"/>
              <w:right w:val="single" w:sz="4" w:space="0" w:color="auto"/>
            </w:tcBorders>
            <w:vAlign w:val="center"/>
          </w:tcPr>
          <w:p w14:paraId="145A591A"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11</w:t>
            </w:r>
          </w:p>
        </w:tc>
        <w:tc>
          <w:tcPr>
            <w:tcW w:w="497" w:type="pct"/>
            <w:tcBorders>
              <w:top w:val="single" w:sz="4" w:space="0" w:color="auto"/>
              <w:left w:val="nil"/>
              <w:bottom w:val="single" w:sz="4" w:space="0" w:color="auto"/>
              <w:right w:val="single" w:sz="4" w:space="0" w:color="auto"/>
            </w:tcBorders>
            <w:vAlign w:val="center"/>
          </w:tcPr>
          <w:p w14:paraId="6918EFCB"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18</w:t>
            </w:r>
          </w:p>
        </w:tc>
        <w:tc>
          <w:tcPr>
            <w:tcW w:w="511" w:type="pct"/>
            <w:tcBorders>
              <w:top w:val="single" w:sz="4" w:space="0" w:color="auto"/>
              <w:left w:val="nil"/>
              <w:bottom w:val="single" w:sz="4" w:space="0" w:color="auto"/>
              <w:right w:val="single" w:sz="4" w:space="0" w:color="auto"/>
            </w:tcBorders>
            <w:vAlign w:val="center"/>
          </w:tcPr>
          <w:p w14:paraId="7CB4252B"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15</w:t>
            </w:r>
          </w:p>
        </w:tc>
        <w:tc>
          <w:tcPr>
            <w:tcW w:w="511" w:type="pct"/>
            <w:tcBorders>
              <w:top w:val="single" w:sz="4" w:space="0" w:color="auto"/>
              <w:left w:val="nil"/>
              <w:bottom w:val="single" w:sz="4" w:space="0" w:color="auto"/>
              <w:right w:val="single" w:sz="4" w:space="0" w:color="auto"/>
            </w:tcBorders>
            <w:vAlign w:val="center"/>
          </w:tcPr>
          <w:p w14:paraId="2602EE70"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9</w:t>
            </w:r>
          </w:p>
        </w:tc>
        <w:tc>
          <w:tcPr>
            <w:tcW w:w="497" w:type="pct"/>
            <w:tcBorders>
              <w:top w:val="single" w:sz="4" w:space="0" w:color="auto"/>
              <w:left w:val="nil"/>
              <w:bottom w:val="single" w:sz="4" w:space="0" w:color="auto"/>
              <w:right w:val="single" w:sz="4" w:space="0" w:color="auto"/>
            </w:tcBorders>
          </w:tcPr>
          <w:p w14:paraId="5982166D"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w:t>
            </w:r>
          </w:p>
        </w:tc>
        <w:tc>
          <w:tcPr>
            <w:tcW w:w="497" w:type="pct"/>
            <w:tcBorders>
              <w:top w:val="single" w:sz="4" w:space="0" w:color="auto"/>
              <w:left w:val="nil"/>
              <w:bottom w:val="single" w:sz="4" w:space="0" w:color="auto"/>
              <w:right w:val="single" w:sz="4" w:space="0" w:color="auto"/>
            </w:tcBorders>
          </w:tcPr>
          <w:p w14:paraId="6EA34855"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(7)</w:t>
            </w:r>
          </w:p>
        </w:tc>
        <w:tc>
          <w:tcPr>
            <w:tcW w:w="497" w:type="pct"/>
            <w:tcBorders>
              <w:top w:val="single" w:sz="4" w:space="0" w:color="auto"/>
              <w:left w:val="nil"/>
              <w:bottom w:val="single" w:sz="4" w:space="0" w:color="auto"/>
              <w:right w:val="single" w:sz="4" w:space="0" w:color="auto"/>
            </w:tcBorders>
          </w:tcPr>
          <w:p w14:paraId="091AE4EF"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(11)</w:t>
            </w:r>
          </w:p>
        </w:tc>
        <w:tc>
          <w:tcPr>
            <w:tcW w:w="499" w:type="pct"/>
            <w:tcBorders>
              <w:top w:val="single" w:sz="4" w:space="0" w:color="auto"/>
              <w:left w:val="nil"/>
              <w:bottom w:val="single" w:sz="4" w:space="0" w:color="auto"/>
              <w:right w:val="single" w:sz="4" w:space="0" w:color="auto"/>
            </w:tcBorders>
          </w:tcPr>
          <w:p w14:paraId="67CD68A2"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hAnsi="Times New Roman" w:cs="Times New Roman"/>
                <w:color w:val="000000" w:themeColor="text1"/>
                <w:lang w:val="uk-UA"/>
              </w:rPr>
              <w:t>(5)</w:t>
            </w:r>
          </w:p>
        </w:tc>
      </w:tr>
      <w:tr w:rsidR="009515BC" w:rsidRPr="00F00EB0" w14:paraId="7C9F694E" w14:textId="77777777" w:rsidTr="0021593D">
        <w:trPr>
          <w:trHeight w:val="20"/>
        </w:trPr>
        <w:tc>
          <w:tcPr>
            <w:tcW w:w="5000" w:type="pct"/>
            <w:gridSpan w:val="10"/>
            <w:tcBorders>
              <w:top w:val="single" w:sz="4" w:space="0" w:color="auto"/>
              <w:left w:val="single" w:sz="4" w:space="0" w:color="auto"/>
              <w:bottom w:val="single" w:sz="4" w:space="0" w:color="auto"/>
              <w:right w:val="single" w:sz="4" w:space="0" w:color="auto"/>
            </w:tcBorders>
            <w:vAlign w:val="center"/>
            <w:hideMark/>
          </w:tcPr>
          <w:p w14:paraId="3AA8E67F" w14:textId="77777777" w:rsidR="009515BC" w:rsidRPr="00F00EB0" w:rsidRDefault="009515BC" w:rsidP="0021593D">
            <w:pPr>
              <w:spacing w:after="0" w:line="276"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 xml:space="preserve">Зниження курсів валют </w:t>
            </w:r>
            <w:r w:rsidRPr="00F00EB0">
              <w:rPr>
                <w:rFonts w:ascii="Times New Roman" w:eastAsia="Times New Roman" w:hAnsi="Times New Roman" w:cs="Times New Roman"/>
                <w:i/>
                <w:color w:val="000000" w:themeColor="text1"/>
                <w:sz w:val="24"/>
                <w:szCs w:val="24"/>
                <w:lang w:val="uk-UA" w:eastAsia="ru-RU"/>
              </w:rPr>
              <w:t>на 5%</w:t>
            </w:r>
          </w:p>
        </w:tc>
      </w:tr>
      <w:tr w:rsidR="009515BC" w:rsidRPr="00F00EB0" w14:paraId="21C4A1C4" w14:textId="77777777" w:rsidTr="0021593D">
        <w:trPr>
          <w:trHeight w:val="20"/>
        </w:trPr>
        <w:tc>
          <w:tcPr>
            <w:tcW w:w="497" w:type="pct"/>
            <w:tcBorders>
              <w:left w:val="single" w:sz="4" w:space="0" w:color="auto"/>
              <w:bottom w:val="single" w:sz="4" w:space="0" w:color="auto"/>
              <w:right w:val="single" w:sz="4" w:space="0" w:color="auto"/>
            </w:tcBorders>
            <w:vAlign w:val="center"/>
          </w:tcPr>
          <w:p w14:paraId="0A97C701" w14:textId="77777777" w:rsidR="009515BC" w:rsidRPr="00F00EB0" w:rsidRDefault="009515BC" w:rsidP="0021593D">
            <w:pPr>
              <w:spacing w:after="0" w:line="276" w:lineRule="auto"/>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Долар США</w:t>
            </w:r>
          </w:p>
        </w:tc>
        <w:tc>
          <w:tcPr>
            <w:tcW w:w="497" w:type="pct"/>
            <w:tcBorders>
              <w:top w:val="single" w:sz="4" w:space="0" w:color="auto"/>
              <w:left w:val="nil"/>
              <w:bottom w:val="single" w:sz="4" w:space="0" w:color="auto"/>
              <w:right w:val="single" w:sz="4" w:space="0" w:color="auto"/>
            </w:tcBorders>
            <w:vAlign w:val="center"/>
          </w:tcPr>
          <w:p w14:paraId="7BBA39F7"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507</w:t>
            </w:r>
          </w:p>
        </w:tc>
        <w:tc>
          <w:tcPr>
            <w:tcW w:w="497" w:type="pct"/>
            <w:tcBorders>
              <w:top w:val="single" w:sz="4" w:space="0" w:color="auto"/>
              <w:left w:val="nil"/>
              <w:bottom w:val="single" w:sz="4" w:space="0" w:color="auto"/>
              <w:right w:val="single" w:sz="4" w:space="0" w:color="auto"/>
            </w:tcBorders>
            <w:vAlign w:val="center"/>
          </w:tcPr>
          <w:p w14:paraId="324EB94F"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449</w:t>
            </w:r>
          </w:p>
        </w:tc>
        <w:tc>
          <w:tcPr>
            <w:tcW w:w="497" w:type="pct"/>
            <w:tcBorders>
              <w:top w:val="single" w:sz="4" w:space="0" w:color="auto"/>
              <w:left w:val="nil"/>
              <w:bottom w:val="single" w:sz="4" w:space="0" w:color="auto"/>
              <w:right w:val="single" w:sz="4" w:space="0" w:color="auto"/>
            </w:tcBorders>
            <w:vAlign w:val="center"/>
          </w:tcPr>
          <w:p w14:paraId="1127D9DA"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3 288</w:t>
            </w:r>
          </w:p>
        </w:tc>
        <w:tc>
          <w:tcPr>
            <w:tcW w:w="511" w:type="pct"/>
            <w:tcBorders>
              <w:top w:val="single" w:sz="4" w:space="0" w:color="auto"/>
              <w:left w:val="nil"/>
              <w:bottom w:val="single" w:sz="4" w:space="0" w:color="auto"/>
              <w:right w:val="single" w:sz="4" w:space="0" w:color="auto"/>
            </w:tcBorders>
            <w:vAlign w:val="center"/>
          </w:tcPr>
          <w:p w14:paraId="40DD44FB"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2 777</w:t>
            </w:r>
          </w:p>
        </w:tc>
        <w:tc>
          <w:tcPr>
            <w:tcW w:w="511" w:type="pct"/>
            <w:tcBorders>
              <w:top w:val="single" w:sz="4" w:space="0" w:color="auto"/>
              <w:left w:val="nil"/>
              <w:bottom w:val="single" w:sz="4" w:space="0" w:color="auto"/>
              <w:right w:val="single" w:sz="4" w:space="0" w:color="auto"/>
            </w:tcBorders>
            <w:vAlign w:val="center"/>
          </w:tcPr>
          <w:p w14:paraId="03AC2149"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2 661</w:t>
            </w:r>
          </w:p>
        </w:tc>
        <w:tc>
          <w:tcPr>
            <w:tcW w:w="497" w:type="pct"/>
            <w:tcBorders>
              <w:top w:val="single" w:sz="4" w:space="0" w:color="auto"/>
              <w:left w:val="nil"/>
              <w:bottom w:val="single" w:sz="4" w:space="0" w:color="auto"/>
              <w:right w:val="single" w:sz="4" w:space="0" w:color="auto"/>
            </w:tcBorders>
          </w:tcPr>
          <w:p w14:paraId="7D85A7A9"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2 023</w:t>
            </w:r>
          </w:p>
        </w:tc>
        <w:tc>
          <w:tcPr>
            <w:tcW w:w="497" w:type="pct"/>
            <w:tcBorders>
              <w:top w:val="single" w:sz="4" w:space="0" w:color="auto"/>
              <w:left w:val="nil"/>
              <w:bottom w:val="single" w:sz="4" w:space="0" w:color="auto"/>
              <w:right w:val="single" w:sz="4" w:space="0" w:color="auto"/>
            </w:tcBorders>
          </w:tcPr>
          <w:p w14:paraId="0B7DFCCD"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hAnsi="Times New Roman" w:cs="Times New Roman"/>
                <w:color w:val="000000" w:themeColor="text1"/>
                <w:sz w:val="24"/>
                <w:szCs w:val="24"/>
                <w:lang w:val="uk-UA"/>
              </w:rPr>
              <w:t>1 738</w:t>
            </w:r>
          </w:p>
        </w:tc>
        <w:tc>
          <w:tcPr>
            <w:tcW w:w="497" w:type="pct"/>
            <w:tcBorders>
              <w:top w:val="single" w:sz="4" w:space="0" w:color="auto"/>
              <w:left w:val="nil"/>
              <w:bottom w:val="single" w:sz="4" w:space="0" w:color="auto"/>
              <w:right w:val="single" w:sz="4" w:space="0" w:color="auto"/>
            </w:tcBorders>
          </w:tcPr>
          <w:p w14:paraId="7B58086E"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hAnsi="Times New Roman" w:cs="Times New Roman"/>
                <w:color w:val="000000" w:themeColor="text1"/>
                <w:sz w:val="24"/>
                <w:szCs w:val="24"/>
                <w:lang w:val="uk-UA"/>
              </w:rPr>
              <w:t>1 266</w:t>
            </w:r>
          </w:p>
        </w:tc>
        <w:tc>
          <w:tcPr>
            <w:tcW w:w="499" w:type="pct"/>
            <w:tcBorders>
              <w:top w:val="single" w:sz="4" w:space="0" w:color="auto"/>
              <w:left w:val="nil"/>
              <w:bottom w:val="single" w:sz="4" w:space="0" w:color="auto"/>
              <w:right w:val="single" w:sz="4" w:space="0" w:color="auto"/>
            </w:tcBorders>
          </w:tcPr>
          <w:p w14:paraId="7B485A7F" w14:textId="77777777" w:rsidR="009515BC" w:rsidRPr="00F00EB0" w:rsidRDefault="009515BC" w:rsidP="0021593D">
            <w:pPr>
              <w:spacing w:after="0" w:line="276" w:lineRule="auto"/>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lang w:val="uk-UA"/>
              </w:rPr>
              <w:t>1 383</w:t>
            </w:r>
          </w:p>
        </w:tc>
      </w:tr>
      <w:tr w:rsidR="009515BC" w:rsidRPr="00F00EB0" w14:paraId="5D4E32C6" w14:textId="77777777" w:rsidTr="0021593D">
        <w:trPr>
          <w:trHeight w:val="20"/>
        </w:trPr>
        <w:tc>
          <w:tcPr>
            <w:tcW w:w="497" w:type="pct"/>
            <w:tcBorders>
              <w:left w:val="single" w:sz="4" w:space="0" w:color="auto"/>
              <w:bottom w:val="single" w:sz="4" w:space="0" w:color="auto"/>
              <w:right w:val="single" w:sz="4" w:space="0" w:color="auto"/>
            </w:tcBorders>
            <w:vAlign w:val="center"/>
          </w:tcPr>
          <w:p w14:paraId="0F7E97C6" w14:textId="77777777" w:rsidR="009515BC" w:rsidRPr="00F00EB0" w:rsidRDefault="009515BC" w:rsidP="0021593D">
            <w:pPr>
              <w:spacing w:after="0" w:line="276" w:lineRule="auto"/>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Євро</w:t>
            </w:r>
          </w:p>
        </w:tc>
        <w:tc>
          <w:tcPr>
            <w:tcW w:w="497" w:type="pct"/>
            <w:tcBorders>
              <w:top w:val="single" w:sz="4" w:space="0" w:color="auto"/>
              <w:left w:val="nil"/>
              <w:bottom w:val="single" w:sz="4" w:space="0" w:color="auto"/>
              <w:right w:val="single" w:sz="4" w:space="0" w:color="auto"/>
            </w:tcBorders>
            <w:vAlign w:val="center"/>
          </w:tcPr>
          <w:p w14:paraId="069149EB"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40</w:t>
            </w:r>
          </w:p>
        </w:tc>
        <w:tc>
          <w:tcPr>
            <w:tcW w:w="497" w:type="pct"/>
            <w:tcBorders>
              <w:top w:val="single" w:sz="4" w:space="0" w:color="auto"/>
              <w:left w:val="nil"/>
              <w:bottom w:val="single" w:sz="4" w:space="0" w:color="auto"/>
              <w:right w:val="single" w:sz="4" w:space="0" w:color="auto"/>
            </w:tcBorders>
            <w:vAlign w:val="center"/>
          </w:tcPr>
          <w:p w14:paraId="0ECD7EB0"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274</w:t>
            </w:r>
          </w:p>
        </w:tc>
        <w:tc>
          <w:tcPr>
            <w:tcW w:w="497" w:type="pct"/>
            <w:tcBorders>
              <w:top w:val="single" w:sz="4" w:space="0" w:color="auto"/>
              <w:left w:val="nil"/>
              <w:bottom w:val="single" w:sz="4" w:space="0" w:color="auto"/>
              <w:right w:val="single" w:sz="4" w:space="0" w:color="auto"/>
            </w:tcBorders>
            <w:vAlign w:val="center"/>
          </w:tcPr>
          <w:p w14:paraId="7C81CFE5"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569</w:t>
            </w:r>
          </w:p>
        </w:tc>
        <w:tc>
          <w:tcPr>
            <w:tcW w:w="511" w:type="pct"/>
            <w:tcBorders>
              <w:top w:val="single" w:sz="4" w:space="0" w:color="auto"/>
              <w:left w:val="nil"/>
              <w:bottom w:val="single" w:sz="4" w:space="0" w:color="auto"/>
              <w:right w:val="single" w:sz="4" w:space="0" w:color="auto"/>
            </w:tcBorders>
            <w:vAlign w:val="center"/>
          </w:tcPr>
          <w:p w14:paraId="1B11799B"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479</w:t>
            </w:r>
          </w:p>
        </w:tc>
        <w:tc>
          <w:tcPr>
            <w:tcW w:w="511" w:type="pct"/>
            <w:tcBorders>
              <w:top w:val="single" w:sz="4" w:space="0" w:color="auto"/>
              <w:left w:val="nil"/>
              <w:bottom w:val="single" w:sz="4" w:space="0" w:color="auto"/>
              <w:right w:val="single" w:sz="4" w:space="0" w:color="auto"/>
            </w:tcBorders>
            <w:vAlign w:val="center"/>
          </w:tcPr>
          <w:p w14:paraId="0872FB11"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(28)</w:t>
            </w:r>
          </w:p>
        </w:tc>
        <w:tc>
          <w:tcPr>
            <w:tcW w:w="497" w:type="pct"/>
            <w:tcBorders>
              <w:top w:val="single" w:sz="4" w:space="0" w:color="auto"/>
              <w:left w:val="nil"/>
              <w:bottom w:val="single" w:sz="4" w:space="0" w:color="auto"/>
              <w:right w:val="single" w:sz="4" w:space="0" w:color="auto"/>
            </w:tcBorders>
          </w:tcPr>
          <w:p w14:paraId="3E1660CA"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7</w:t>
            </w:r>
          </w:p>
        </w:tc>
        <w:tc>
          <w:tcPr>
            <w:tcW w:w="497" w:type="pct"/>
            <w:tcBorders>
              <w:top w:val="single" w:sz="4" w:space="0" w:color="auto"/>
              <w:left w:val="nil"/>
              <w:bottom w:val="single" w:sz="4" w:space="0" w:color="auto"/>
              <w:right w:val="single" w:sz="4" w:space="0" w:color="auto"/>
            </w:tcBorders>
          </w:tcPr>
          <w:p w14:paraId="7B8C0643"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3</w:t>
            </w:r>
          </w:p>
        </w:tc>
        <w:tc>
          <w:tcPr>
            <w:tcW w:w="497" w:type="pct"/>
            <w:tcBorders>
              <w:top w:val="single" w:sz="4" w:space="0" w:color="auto"/>
              <w:left w:val="nil"/>
              <w:bottom w:val="single" w:sz="4" w:space="0" w:color="auto"/>
              <w:right w:val="single" w:sz="4" w:space="0" w:color="auto"/>
            </w:tcBorders>
          </w:tcPr>
          <w:p w14:paraId="45D93339"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8</w:t>
            </w:r>
          </w:p>
        </w:tc>
        <w:tc>
          <w:tcPr>
            <w:tcW w:w="499" w:type="pct"/>
            <w:tcBorders>
              <w:top w:val="single" w:sz="4" w:space="0" w:color="auto"/>
              <w:left w:val="nil"/>
              <w:bottom w:val="single" w:sz="4" w:space="0" w:color="auto"/>
              <w:right w:val="single" w:sz="4" w:space="0" w:color="auto"/>
            </w:tcBorders>
          </w:tcPr>
          <w:p w14:paraId="388EE75A"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hAnsi="Times New Roman" w:cs="Times New Roman"/>
                <w:color w:val="000000" w:themeColor="text1"/>
                <w:lang w:val="uk-UA"/>
              </w:rPr>
              <w:t>38</w:t>
            </w:r>
          </w:p>
        </w:tc>
      </w:tr>
      <w:tr w:rsidR="009515BC" w:rsidRPr="00F00EB0" w14:paraId="5FB6568E" w14:textId="77777777" w:rsidTr="0021593D">
        <w:trPr>
          <w:trHeight w:val="20"/>
        </w:trPr>
        <w:tc>
          <w:tcPr>
            <w:tcW w:w="497" w:type="pct"/>
            <w:tcBorders>
              <w:left w:val="single" w:sz="4" w:space="0" w:color="auto"/>
              <w:bottom w:val="single" w:sz="4" w:space="0" w:color="auto"/>
              <w:right w:val="single" w:sz="4" w:space="0" w:color="auto"/>
            </w:tcBorders>
            <w:vAlign w:val="center"/>
          </w:tcPr>
          <w:p w14:paraId="1BFEAFEC" w14:textId="77777777" w:rsidR="009515BC" w:rsidRPr="00F00EB0" w:rsidRDefault="009515BC" w:rsidP="0021593D">
            <w:pPr>
              <w:spacing w:after="0" w:line="276" w:lineRule="auto"/>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Інші</w:t>
            </w:r>
          </w:p>
        </w:tc>
        <w:tc>
          <w:tcPr>
            <w:tcW w:w="497" w:type="pct"/>
            <w:tcBorders>
              <w:top w:val="single" w:sz="4" w:space="0" w:color="auto"/>
              <w:left w:val="nil"/>
              <w:bottom w:val="single" w:sz="4" w:space="0" w:color="auto"/>
              <w:right w:val="single" w:sz="4" w:space="0" w:color="auto"/>
            </w:tcBorders>
            <w:vAlign w:val="center"/>
          </w:tcPr>
          <w:p w14:paraId="14AFA9FC"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16</w:t>
            </w:r>
          </w:p>
        </w:tc>
        <w:tc>
          <w:tcPr>
            <w:tcW w:w="497" w:type="pct"/>
            <w:tcBorders>
              <w:top w:val="single" w:sz="4" w:space="0" w:color="auto"/>
              <w:left w:val="nil"/>
              <w:bottom w:val="single" w:sz="4" w:space="0" w:color="auto"/>
              <w:right w:val="single" w:sz="4" w:space="0" w:color="auto"/>
            </w:tcBorders>
            <w:vAlign w:val="center"/>
          </w:tcPr>
          <w:p w14:paraId="3218D355"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(11)</w:t>
            </w:r>
          </w:p>
        </w:tc>
        <w:tc>
          <w:tcPr>
            <w:tcW w:w="497" w:type="pct"/>
            <w:tcBorders>
              <w:top w:val="single" w:sz="4" w:space="0" w:color="auto"/>
              <w:left w:val="nil"/>
              <w:bottom w:val="single" w:sz="4" w:space="0" w:color="auto"/>
              <w:right w:val="single" w:sz="4" w:space="0" w:color="auto"/>
            </w:tcBorders>
            <w:vAlign w:val="center"/>
          </w:tcPr>
          <w:p w14:paraId="7D7032DA"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(18)</w:t>
            </w:r>
          </w:p>
        </w:tc>
        <w:tc>
          <w:tcPr>
            <w:tcW w:w="511" w:type="pct"/>
            <w:tcBorders>
              <w:top w:val="single" w:sz="4" w:space="0" w:color="auto"/>
              <w:left w:val="nil"/>
              <w:bottom w:val="single" w:sz="4" w:space="0" w:color="auto"/>
              <w:right w:val="single" w:sz="4" w:space="0" w:color="auto"/>
            </w:tcBorders>
            <w:vAlign w:val="center"/>
          </w:tcPr>
          <w:p w14:paraId="545BC044"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(15)</w:t>
            </w:r>
          </w:p>
        </w:tc>
        <w:tc>
          <w:tcPr>
            <w:tcW w:w="511" w:type="pct"/>
            <w:tcBorders>
              <w:top w:val="single" w:sz="4" w:space="0" w:color="auto"/>
              <w:left w:val="nil"/>
              <w:bottom w:val="single" w:sz="4" w:space="0" w:color="auto"/>
              <w:right w:val="single" w:sz="4" w:space="0" w:color="auto"/>
            </w:tcBorders>
            <w:vAlign w:val="center"/>
          </w:tcPr>
          <w:p w14:paraId="5EEBE045"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(9)</w:t>
            </w:r>
          </w:p>
        </w:tc>
        <w:tc>
          <w:tcPr>
            <w:tcW w:w="497" w:type="pct"/>
            <w:tcBorders>
              <w:top w:val="single" w:sz="4" w:space="0" w:color="auto"/>
              <w:left w:val="nil"/>
              <w:bottom w:val="single" w:sz="4" w:space="0" w:color="auto"/>
              <w:right w:val="single" w:sz="4" w:space="0" w:color="auto"/>
            </w:tcBorders>
          </w:tcPr>
          <w:p w14:paraId="1A07A2AB"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2</w:t>
            </w:r>
          </w:p>
        </w:tc>
        <w:tc>
          <w:tcPr>
            <w:tcW w:w="497" w:type="pct"/>
            <w:tcBorders>
              <w:top w:val="single" w:sz="4" w:space="0" w:color="auto"/>
              <w:left w:val="nil"/>
              <w:bottom w:val="single" w:sz="4" w:space="0" w:color="auto"/>
              <w:right w:val="single" w:sz="4" w:space="0" w:color="auto"/>
            </w:tcBorders>
          </w:tcPr>
          <w:p w14:paraId="31F8274E"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7</w:t>
            </w:r>
          </w:p>
        </w:tc>
        <w:tc>
          <w:tcPr>
            <w:tcW w:w="497" w:type="pct"/>
            <w:tcBorders>
              <w:top w:val="single" w:sz="4" w:space="0" w:color="auto"/>
              <w:left w:val="nil"/>
              <w:bottom w:val="single" w:sz="4" w:space="0" w:color="auto"/>
              <w:right w:val="single" w:sz="4" w:space="0" w:color="auto"/>
            </w:tcBorders>
          </w:tcPr>
          <w:p w14:paraId="1808A31F"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11</w:t>
            </w:r>
          </w:p>
        </w:tc>
        <w:tc>
          <w:tcPr>
            <w:tcW w:w="499" w:type="pct"/>
            <w:tcBorders>
              <w:top w:val="single" w:sz="4" w:space="0" w:color="auto"/>
              <w:left w:val="nil"/>
              <w:bottom w:val="single" w:sz="4" w:space="0" w:color="auto"/>
              <w:right w:val="single" w:sz="4" w:space="0" w:color="auto"/>
            </w:tcBorders>
          </w:tcPr>
          <w:p w14:paraId="1E669030" w14:textId="77777777" w:rsidR="009515BC" w:rsidRPr="00F00EB0" w:rsidRDefault="009515BC" w:rsidP="0021593D">
            <w:pPr>
              <w:spacing w:after="0" w:line="276" w:lineRule="auto"/>
              <w:jc w:val="right"/>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5</w:t>
            </w:r>
          </w:p>
        </w:tc>
      </w:tr>
    </w:tbl>
    <w:p w14:paraId="71236C9C" w14:textId="77777777" w:rsidR="009515BC" w:rsidRPr="00F00EB0" w:rsidRDefault="009515BC" w:rsidP="009515BC">
      <w:pPr>
        <w:spacing w:after="0" w:line="360" w:lineRule="auto"/>
        <w:ind w:firstLine="709"/>
        <w:jc w:val="both"/>
        <w:rPr>
          <w:rFonts w:ascii="Times New Roman" w:eastAsia="Times New Roman" w:hAnsi="Times New Roman" w:cs="Times New Roman"/>
          <w:color w:val="000000" w:themeColor="text1"/>
          <w:sz w:val="28"/>
          <w:szCs w:val="24"/>
          <w:lang w:val="uk-UA"/>
        </w:rPr>
      </w:pPr>
    </w:p>
    <w:p w14:paraId="770A9381" w14:textId="77777777" w:rsidR="009515BC" w:rsidRPr="00F00EB0" w:rsidRDefault="009515BC" w:rsidP="009515BC">
      <w:pPr>
        <w:spacing w:after="0" w:line="360" w:lineRule="auto"/>
        <w:ind w:firstLine="709"/>
        <w:jc w:val="both"/>
        <w:rPr>
          <w:rFonts w:ascii="Times New Roman" w:eastAsia="Times New Roman" w:hAnsi="Times New Roman" w:cs="Times New Roman"/>
          <w:color w:val="000000" w:themeColor="text1"/>
          <w:sz w:val="28"/>
          <w:szCs w:val="24"/>
          <w:lang w:val="uk-UA"/>
        </w:rPr>
      </w:pPr>
      <w:r w:rsidRPr="00F00EB0">
        <w:rPr>
          <w:rFonts w:ascii="Times New Roman" w:eastAsia="Times New Roman" w:hAnsi="Times New Roman" w:cs="Times New Roman"/>
          <w:color w:val="000000" w:themeColor="text1"/>
          <w:sz w:val="28"/>
          <w:szCs w:val="24"/>
          <w:lang w:val="uk-UA"/>
        </w:rPr>
        <w:t>Зважаючи на волатильність та непрогнозованість валютного ринку, негативні ефекти валютного ризику можуть мати значний вплив на рівень ФСБ. В цьому випадку, враховуючи тенденцію до зростання валютних курсів, можна очікувати збільшення негативного впливу на ФСБ у майбутньому.</w:t>
      </w:r>
    </w:p>
    <w:p w14:paraId="6BC9BF5C" w14:textId="77777777" w:rsidR="009515BC" w:rsidRPr="00F00EB0" w:rsidRDefault="009515BC" w:rsidP="009515BC">
      <w:pPr>
        <w:spacing w:after="0" w:line="360" w:lineRule="auto"/>
        <w:ind w:firstLine="709"/>
        <w:jc w:val="both"/>
        <w:rPr>
          <w:rFonts w:ascii="Times New Roman" w:eastAsia="Times New Roman" w:hAnsi="Times New Roman" w:cs="Times New Roman"/>
          <w:color w:val="000000" w:themeColor="text1"/>
          <w:sz w:val="28"/>
          <w:szCs w:val="24"/>
          <w:lang w:val="uk-UA"/>
        </w:rPr>
      </w:pPr>
      <w:r w:rsidRPr="00F00EB0">
        <w:rPr>
          <w:rFonts w:ascii="Times New Roman" w:eastAsia="Times New Roman" w:hAnsi="Times New Roman" w:cs="Times New Roman"/>
          <w:color w:val="000000" w:themeColor="text1"/>
          <w:sz w:val="28"/>
          <w:szCs w:val="24"/>
          <w:lang w:val="uk-UA"/>
        </w:rPr>
        <w:t>Значний рівень впливу на ФСБ мають процентні розриви та генерований ними процентний ризик (рис. 2.18).</w:t>
      </w:r>
    </w:p>
    <w:p w14:paraId="35BF243C" w14:textId="77777777" w:rsidR="009515BC" w:rsidRPr="00F00EB0" w:rsidRDefault="009515BC" w:rsidP="009515BC">
      <w:pPr>
        <w:spacing w:after="0" w:line="360" w:lineRule="auto"/>
        <w:ind w:firstLine="709"/>
        <w:jc w:val="both"/>
        <w:rPr>
          <w:rFonts w:ascii="Times New Roman" w:eastAsia="Times New Roman" w:hAnsi="Times New Roman" w:cs="Times New Roman"/>
          <w:color w:val="000000" w:themeColor="text1"/>
          <w:sz w:val="28"/>
          <w:szCs w:val="24"/>
          <w:lang w:val="uk-UA"/>
        </w:rPr>
      </w:pPr>
      <w:r w:rsidRPr="00F00EB0">
        <w:rPr>
          <w:rFonts w:ascii="Times New Roman" w:eastAsia="Times New Roman" w:hAnsi="Times New Roman" w:cs="Times New Roman"/>
          <w:color w:val="000000" w:themeColor="text1"/>
          <w:sz w:val="28"/>
          <w:szCs w:val="24"/>
          <w:lang w:val="uk-UA"/>
        </w:rPr>
        <w:t>Представлені дані підтверджують наявність процентних розривів між чутливими активами та пасивами в банку, що призводить до підвищеного процентного ризику. Негативним з точки зору забезпечення ФСБ є зростання негативного процентного розриву в періоді до 1 місяця, що свідчить про фондування цими пасивами активами більшої строковості (понад 1 рік). В умовах очікуваного підвищення ринкових процентних ставок це може знизити чистий спред та чисту маржу, й як результат, операційну ефективність банку.</w:t>
      </w:r>
    </w:p>
    <w:p w14:paraId="00DDD65C" w14:textId="77777777" w:rsidR="009515BC" w:rsidRPr="00F00EB0" w:rsidRDefault="009515BC" w:rsidP="009515BC">
      <w:pPr>
        <w:widowControl w:val="0"/>
        <w:tabs>
          <w:tab w:val="left" w:pos="709"/>
        </w:tabs>
        <w:autoSpaceDE w:val="0"/>
        <w:autoSpaceDN w:val="0"/>
        <w:adjustRightInd w:val="0"/>
        <w:spacing w:after="0" w:line="360" w:lineRule="auto"/>
        <w:contextualSpacing/>
        <w:jc w:val="both"/>
        <w:rPr>
          <w:rFonts w:ascii="Times New Roman" w:eastAsia="Times New Roman" w:hAnsi="Times New Roman" w:cs="Times New Roman"/>
          <w:color w:val="000000" w:themeColor="text1"/>
          <w:kern w:val="1"/>
          <w:sz w:val="28"/>
          <w:szCs w:val="24"/>
          <w:lang w:val="uk-UA" w:eastAsia="ru-RU"/>
        </w:rPr>
      </w:pPr>
    </w:p>
    <w:p w14:paraId="5975429D" w14:textId="77777777" w:rsidR="009515BC" w:rsidRPr="00F00EB0" w:rsidRDefault="009515BC" w:rsidP="009515BC">
      <w:pPr>
        <w:widowControl w:val="0"/>
        <w:tabs>
          <w:tab w:val="left" w:pos="709"/>
        </w:tabs>
        <w:autoSpaceDE w:val="0"/>
        <w:autoSpaceDN w:val="0"/>
        <w:adjustRightInd w:val="0"/>
        <w:spacing w:after="0" w:line="360" w:lineRule="auto"/>
        <w:contextualSpacing/>
        <w:jc w:val="both"/>
        <w:rPr>
          <w:rFonts w:ascii="Times New Roman" w:eastAsia="Times New Roman" w:hAnsi="Times New Roman" w:cs="Times New Roman"/>
          <w:color w:val="000000" w:themeColor="text1"/>
          <w:kern w:val="1"/>
          <w:sz w:val="28"/>
          <w:szCs w:val="24"/>
          <w:lang w:val="uk-UA" w:eastAsia="ru-RU"/>
        </w:rPr>
      </w:pPr>
      <w:r w:rsidRPr="00F00EB0">
        <w:rPr>
          <w:noProof/>
          <w:color w:val="000000" w:themeColor="text1"/>
          <w:lang w:eastAsia="ru-RU"/>
        </w:rPr>
        <w:lastRenderedPageBreak/>
        <w:drawing>
          <wp:inline distT="0" distB="0" distL="0" distR="0" wp14:anchorId="340DBEA7" wp14:editId="0E57DC9F">
            <wp:extent cx="6204857" cy="3635829"/>
            <wp:effectExtent l="0" t="0" r="5715" b="3175"/>
            <wp:docPr id="810477632" name="Диаграмма 1">
              <a:extLst xmlns:a="http://schemas.openxmlformats.org/drawingml/2006/main">
                <a:ext uri="{FF2B5EF4-FFF2-40B4-BE49-F238E27FC236}">
                  <a16:creationId xmlns:a16="http://schemas.microsoft.com/office/drawing/2014/main" id="{00000000-0008-0000-0D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02896DE9" w14:textId="77777777" w:rsidR="009515BC" w:rsidRPr="00F00EB0" w:rsidRDefault="009515BC" w:rsidP="009515BC">
      <w:pPr>
        <w:widowControl w:val="0"/>
        <w:tabs>
          <w:tab w:val="left" w:pos="709"/>
        </w:tabs>
        <w:autoSpaceDE w:val="0"/>
        <w:autoSpaceDN w:val="0"/>
        <w:adjustRightInd w:val="0"/>
        <w:spacing w:after="0" w:line="360" w:lineRule="auto"/>
        <w:contextualSpacing/>
        <w:jc w:val="center"/>
        <w:rPr>
          <w:rFonts w:ascii="Times New Roman" w:eastAsia="Times New Roman" w:hAnsi="Times New Roman" w:cs="Times New Roman"/>
          <w:color w:val="000000" w:themeColor="text1"/>
          <w:kern w:val="1"/>
          <w:sz w:val="28"/>
          <w:szCs w:val="24"/>
          <w:lang w:val="uk-UA" w:eastAsia="ru-RU"/>
        </w:rPr>
      </w:pPr>
      <w:r w:rsidRPr="00F00EB0">
        <w:rPr>
          <w:rFonts w:ascii="Times New Roman" w:eastAsia="Times New Roman" w:hAnsi="Times New Roman" w:cs="Times New Roman"/>
          <w:color w:val="000000" w:themeColor="text1"/>
          <w:kern w:val="1"/>
          <w:sz w:val="28"/>
          <w:szCs w:val="24"/>
          <w:lang w:val="uk-UA" w:eastAsia="ru-RU"/>
        </w:rPr>
        <w:t xml:space="preserve">Рисунок 2.18 – Динаміка процентних розривів АТ КБ «ПриватБанк» за 2014-2022 роки, млн грн </w:t>
      </w:r>
      <w:r w:rsidRPr="00F00EB0">
        <w:rPr>
          <w:rFonts w:ascii="Times New Roman" w:eastAsia="WenQuanYi Micro Hei" w:hAnsi="Times New Roman" w:cs="Times New Roman"/>
          <w:color w:val="000000" w:themeColor="text1"/>
          <w:kern w:val="3"/>
          <w:sz w:val="28"/>
          <w:szCs w:val="28"/>
          <w:lang w:val="uk-UA" w:eastAsia="zh-CN" w:bidi="hi-IN"/>
        </w:rPr>
        <w:t>[побудовано автором на основі 53-59]</w:t>
      </w:r>
    </w:p>
    <w:p w14:paraId="6D4A3FA9" w14:textId="77777777" w:rsidR="009515BC" w:rsidRPr="00F00EB0" w:rsidRDefault="009515BC" w:rsidP="009515BC">
      <w:pPr>
        <w:widowControl w:val="0"/>
        <w:tabs>
          <w:tab w:val="left" w:pos="709"/>
        </w:tabs>
        <w:autoSpaceDE w:val="0"/>
        <w:autoSpaceDN w:val="0"/>
        <w:adjustRightInd w:val="0"/>
        <w:spacing w:after="0" w:line="360" w:lineRule="auto"/>
        <w:ind w:firstLine="709"/>
        <w:contextualSpacing/>
        <w:jc w:val="both"/>
        <w:rPr>
          <w:rFonts w:ascii="Times New Roman" w:eastAsia="Times New Roman" w:hAnsi="Times New Roman" w:cs="Times New Roman"/>
          <w:color w:val="000000" w:themeColor="text1"/>
          <w:kern w:val="1"/>
          <w:sz w:val="28"/>
          <w:szCs w:val="24"/>
          <w:lang w:val="uk-UA" w:eastAsia="ru-RU"/>
        </w:rPr>
      </w:pPr>
    </w:p>
    <w:p w14:paraId="54792331" w14:textId="77777777" w:rsidR="009515BC" w:rsidRPr="00F00EB0" w:rsidRDefault="009515BC" w:rsidP="009515BC">
      <w:pPr>
        <w:widowControl w:val="0"/>
        <w:tabs>
          <w:tab w:val="left" w:pos="709"/>
        </w:tabs>
        <w:autoSpaceDE w:val="0"/>
        <w:autoSpaceDN w:val="0"/>
        <w:adjustRightInd w:val="0"/>
        <w:spacing w:after="0" w:line="360" w:lineRule="auto"/>
        <w:ind w:firstLine="709"/>
        <w:contextualSpacing/>
        <w:jc w:val="both"/>
        <w:rPr>
          <w:rFonts w:ascii="Times New Roman" w:eastAsia="Times New Roman" w:hAnsi="Times New Roman" w:cs="Times New Roman"/>
          <w:color w:val="000000" w:themeColor="text1"/>
          <w:kern w:val="1"/>
          <w:sz w:val="28"/>
          <w:szCs w:val="24"/>
          <w:lang w:val="uk-UA" w:eastAsia="ru-RU"/>
        </w:rPr>
      </w:pPr>
      <w:r w:rsidRPr="00F00EB0">
        <w:rPr>
          <w:rFonts w:ascii="Times New Roman" w:eastAsia="Times New Roman" w:hAnsi="Times New Roman" w:cs="Times New Roman"/>
          <w:color w:val="000000" w:themeColor="text1"/>
          <w:kern w:val="1"/>
          <w:sz w:val="28"/>
          <w:szCs w:val="24"/>
          <w:lang w:val="uk-UA" w:eastAsia="ru-RU"/>
        </w:rPr>
        <w:t xml:space="preserve">З урахуванням цих факторів для забезпечення цільового рівня ФСБ, менеджмент АТ КБ  «ПриватБанк» має розробити комплекс заходів з оптимізації процентних розривів. Особлива увага має приділятись періоду до 1 місяця, коли чутливість до процентного ризику є найвищою, а ймовірність рефінансування активів в умовах жорсткої монетарної політики НБУ, спрямованої на покращення строковості ресурсної бази, за підвищеними ставками значно збільшується. </w:t>
      </w:r>
    </w:p>
    <w:p w14:paraId="4647F5D4" w14:textId="77777777" w:rsidR="009515BC" w:rsidRPr="00F00EB0" w:rsidRDefault="009515BC" w:rsidP="009515BC">
      <w:pPr>
        <w:widowControl w:val="0"/>
        <w:tabs>
          <w:tab w:val="left" w:pos="709"/>
        </w:tabs>
        <w:autoSpaceDE w:val="0"/>
        <w:autoSpaceDN w:val="0"/>
        <w:adjustRightInd w:val="0"/>
        <w:spacing w:after="0" w:line="360" w:lineRule="auto"/>
        <w:ind w:firstLine="709"/>
        <w:contextualSpacing/>
        <w:jc w:val="both"/>
        <w:rPr>
          <w:rFonts w:ascii="Times New Roman" w:eastAsia="Times New Roman" w:hAnsi="Times New Roman" w:cs="Times New Roman"/>
          <w:color w:val="000000" w:themeColor="text1"/>
          <w:kern w:val="1"/>
          <w:sz w:val="28"/>
          <w:szCs w:val="24"/>
          <w:lang w:val="uk-UA" w:eastAsia="ru-RU"/>
        </w:rPr>
      </w:pPr>
      <w:r w:rsidRPr="00F00EB0">
        <w:rPr>
          <w:rFonts w:ascii="Times New Roman" w:eastAsia="Times New Roman" w:hAnsi="Times New Roman" w:cs="Times New Roman"/>
          <w:color w:val="000000" w:themeColor="text1"/>
          <w:kern w:val="1"/>
          <w:sz w:val="28"/>
          <w:szCs w:val="24"/>
          <w:lang w:val="uk-UA" w:eastAsia="ru-RU"/>
        </w:rPr>
        <w:t xml:space="preserve">Відповідно до даних НБУ мінімальний розмір операційного ризику, помножений на коефіцієнт 10, включений до розрахунку регулятивного капіталу становить 41254482,5 тис. грн, що є найвищим показником по банківській системі. </w:t>
      </w:r>
    </w:p>
    <w:p w14:paraId="51AE967D" w14:textId="2D3D6DCA" w:rsidR="000F508F" w:rsidRDefault="009515BC" w:rsidP="009515BC">
      <w:pPr>
        <w:autoSpaceDE w:val="0"/>
        <w:autoSpaceDN w:val="0"/>
        <w:adjustRightInd w:val="0"/>
        <w:spacing w:after="0" w:line="360" w:lineRule="auto"/>
        <w:ind w:firstLine="709"/>
        <w:contextualSpacing/>
        <w:jc w:val="both"/>
        <w:rPr>
          <w:rFonts w:ascii="Times New Roman" w:eastAsia="Calibri" w:hAnsi="Times New Roman" w:cs="Times New Roman"/>
          <w:color w:val="000000" w:themeColor="text1"/>
          <w:kern w:val="1"/>
          <w:sz w:val="28"/>
          <w:lang w:val="uk-UA" w:eastAsia="ru-RU" w:bidi="hi-IN"/>
        </w:rPr>
      </w:pPr>
      <w:r w:rsidRPr="00F00EB0">
        <w:rPr>
          <w:rFonts w:ascii="Times New Roman" w:eastAsia="Calibri" w:hAnsi="Times New Roman" w:cs="Times New Roman"/>
          <w:color w:val="000000" w:themeColor="text1"/>
          <w:kern w:val="1"/>
          <w:sz w:val="28"/>
          <w:lang w:val="uk-UA" w:eastAsia="ru-RU" w:bidi="hi-IN"/>
        </w:rPr>
        <w:t>Отже, в цілому можна сказати, що управління внутрішніми факторами ФСБ здійснюється достатньо ефективно. Попри це особливої уваги потребує контроль та регулювання кредитного та операційного ризиків як найбільш значущих та чутливих до поточних умов функціонування банків зі зниженням економічної активності та реальних доходів населення, нестабільністю фінансових ринків, масштабними втратами активів.</w:t>
      </w:r>
    </w:p>
    <w:p w14:paraId="1C37182E" w14:textId="77777777" w:rsidR="000F508F" w:rsidRPr="00F00EB0" w:rsidRDefault="000F508F" w:rsidP="000F508F">
      <w:pPr>
        <w:pStyle w:val="10"/>
        <w:ind w:firstLine="709"/>
        <w:jc w:val="both"/>
        <w:rPr>
          <w:rFonts w:cs="Times New Roman"/>
          <w:b/>
          <w:color w:val="000000" w:themeColor="text1"/>
          <w:szCs w:val="28"/>
          <w:lang w:val="uk-UA"/>
        </w:rPr>
      </w:pPr>
      <w:bookmarkStart w:id="18" w:name="_Toc72304255"/>
      <w:bookmarkStart w:id="19" w:name="_Toc137414308"/>
      <w:r w:rsidRPr="00F00EB0">
        <w:rPr>
          <w:rFonts w:cs="Times New Roman"/>
          <w:b/>
          <w:color w:val="000000" w:themeColor="text1"/>
          <w:szCs w:val="28"/>
          <w:lang w:val="uk-UA"/>
        </w:rPr>
        <w:lastRenderedPageBreak/>
        <w:t xml:space="preserve">2.3 Обгрунтування впливу </w:t>
      </w:r>
      <w:bookmarkEnd w:id="18"/>
      <w:r w:rsidRPr="00F00EB0">
        <w:rPr>
          <w:rFonts w:cs="Times New Roman"/>
          <w:b/>
          <w:color w:val="000000" w:themeColor="text1"/>
          <w:szCs w:val="28"/>
          <w:lang w:val="uk-UA"/>
        </w:rPr>
        <w:t>макрофакторів на фінансову стійкість банку</w:t>
      </w:r>
      <w:bookmarkEnd w:id="19"/>
    </w:p>
    <w:p w14:paraId="08A75E94" w14:textId="77777777" w:rsidR="000F508F" w:rsidRPr="00F00EB0" w:rsidRDefault="000F508F" w:rsidP="000F508F">
      <w:pPr>
        <w:spacing w:after="0" w:line="360" w:lineRule="auto"/>
        <w:ind w:firstLine="709"/>
        <w:jc w:val="both"/>
        <w:rPr>
          <w:rFonts w:ascii="Times New Roman" w:eastAsia="Calibri" w:hAnsi="Times New Roman" w:cs="Times New Roman"/>
          <w:b/>
          <w:i/>
          <w:color w:val="000000" w:themeColor="text1"/>
          <w:sz w:val="28"/>
          <w:szCs w:val="28"/>
          <w:lang w:val="uk-UA"/>
        </w:rPr>
      </w:pPr>
    </w:p>
    <w:p w14:paraId="17E3FA48" w14:textId="77777777" w:rsidR="000F508F" w:rsidRPr="00F00EB0" w:rsidRDefault="000F508F" w:rsidP="000F508F">
      <w:pPr>
        <w:spacing w:after="0" w:line="360" w:lineRule="auto"/>
        <w:ind w:firstLine="709"/>
        <w:jc w:val="both"/>
        <w:rPr>
          <w:rFonts w:ascii="Times New Roman" w:eastAsia="Calibri" w:hAnsi="Times New Roman" w:cs="Times New Roman"/>
          <w:b/>
          <w:i/>
          <w:color w:val="000000" w:themeColor="text1"/>
          <w:sz w:val="28"/>
          <w:szCs w:val="28"/>
          <w:lang w:val="uk-UA"/>
        </w:rPr>
      </w:pPr>
    </w:p>
    <w:p w14:paraId="20055D92"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szCs w:val="28"/>
          <w:lang w:val="uk-UA"/>
        </w:rPr>
        <w:t>За результатами дослідження визначено безпрецедентний вплив зовнішнього середовища на ФСБ України. У таких умовах суб’єкти забезпечення ФСБ мають мати аналітичний інструментарій, що дозволяє оцінити та формалізувати їх вплив. Узагальнивши напрацювання у цій сфері пропонуємо наступний алгоритм, наведений на рисунку 2.19.</w:t>
      </w:r>
    </w:p>
    <w:p w14:paraId="08E37379"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szCs w:val="28"/>
          <w:lang w:val="uk-UA"/>
        </w:rPr>
      </w:pPr>
    </w:p>
    <w:p w14:paraId="18D19CBC" w14:textId="77777777" w:rsidR="000F508F" w:rsidRPr="00F00EB0" w:rsidRDefault="000F508F" w:rsidP="000F508F">
      <w:pPr>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noProof/>
          <w:color w:val="000000" w:themeColor="text1"/>
          <w:sz w:val="28"/>
          <w:szCs w:val="28"/>
          <w:lang w:eastAsia="ru-RU"/>
        </w:rPr>
        <mc:AlternateContent>
          <mc:Choice Requires="wpc">
            <w:drawing>
              <wp:inline distT="0" distB="0" distL="0" distR="0" wp14:anchorId="5EB85CB9" wp14:editId="61CA0FFA">
                <wp:extent cx="5940425" cy="5652581"/>
                <wp:effectExtent l="0" t="0" r="22225" b="5715"/>
                <wp:docPr id="247" name="Полотно 24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4" name="Скругленный прямоугольник 104"/>
                        <wps:cNvSpPr/>
                        <wps:spPr>
                          <a:xfrm>
                            <a:off x="583387" y="3806129"/>
                            <a:ext cx="5350557" cy="1432621"/>
                          </a:xfrm>
                          <a:prstGeom prst="roundRect">
                            <a:avLst>
                              <a:gd name="adj" fmla="val 1523"/>
                            </a:avLst>
                          </a:prstGeom>
                          <a:pattFill prst="pct25">
                            <a:fgClr>
                              <a:sysClr val="window" lastClr="FFFFFF">
                                <a:lumMod val="50000"/>
                              </a:sysClr>
                            </a:fgClr>
                            <a:bgClr>
                              <a:sysClr val="window" lastClr="FFFFFF"/>
                            </a:bgClr>
                          </a:pattFill>
                          <a:ln w="19050" cap="flat" cmpd="sng" algn="ctr">
                            <a:solidFill>
                              <a:sysClr val="windowText" lastClr="000000"/>
                            </a:solidFill>
                            <a:prstDash val="sysDot"/>
                            <a:miter lim="800000"/>
                          </a:ln>
                          <a:effectLst/>
                        </wps:spPr>
                        <wps:txbx>
                          <w:txbxContent>
                            <w:p w14:paraId="7E11DA2F" w14:textId="77777777" w:rsidR="000F508F" w:rsidRPr="000E0E28" w:rsidRDefault="000F508F" w:rsidP="000F508F">
                              <w:pPr>
                                <w:pStyle w:val="afd"/>
                                <w:ind w:left="-57" w:right="-57"/>
                                <w:jc w:val="center"/>
                                <w:rPr>
                                  <w:rFonts w:ascii="Arial Narrow" w:hAnsi="Arial Narrow"/>
                                  <w:sz w:val="20"/>
                                  <w:szCs w:val="20"/>
                                </w:rPr>
                              </w:pPr>
                              <w:r w:rsidRPr="000E0E28">
                                <w:rPr>
                                  <w:rFonts w:ascii="Arial Narrow" w:hAnsi="Arial Narrow"/>
                                  <w:sz w:val="20"/>
                                  <w:szCs w:val="20"/>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6" name="Прямоугольник 106"/>
                        <wps:cNvSpPr/>
                        <wps:spPr>
                          <a:xfrm>
                            <a:off x="516836" y="652"/>
                            <a:ext cx="1331014" cy="1922110"/>
                          </a:xfrm>
                          <a:prstGeom prst="rect">
                            <a:avLst/>
                          </a:prstGeom>
                          <a:noFill/>
                          <a:ln w="9525" cap="flat" cmpd="sng" algn="ctr">
                            <a:solidFill>
                              <a:sysClr val="windowText" lastClr="000000"/>
                            </a:solidFill>
                            <a:prstDash val="solid"/>
                            <a:miter lim="800000"/>
                          </a:ln>
                          <a:effectLst/>
                        </wps:spPr>
                        <wps:txbx>
                          <w:txbxContent>
                            <w:p w14:paraId="0DEC3D0E" w14:textId="77777777" w:rsidR="000F508F" w:rsidRPr="00304861" w:rsidRDefault="000F508F" w:rsidP="000F508F">
                              <w:pPr>
                                <w:spacing w:after="0" w:line="240" w:lineRule="auto"/>
                                <w:ind w:left="-57" w:right="-57"/>
                                <w:jc w:val="center"/>
                                <w:rPr>
                                  <w:rFonts w:ascii="Times New Roman" w:hAnsi="Times New Roman" w:cs="Times New Roman"/>
                                  <w:color w:val="000000"/>
                                  <w:sz w:val="24"/>
                                  <w:szCs w:val="24"/>
                                </w:rPr>
                              </w:pPr>
                              <w:r w:rsidRPr="00304861">
                                <w:rPr>
                                  <w:rFonts w:ascii="Times New Roman" w:hAnsi="Times New Roman" w:cs="Times New Roman"/>
                                  <w:color w:val="000000"/>
                                  <w:sz w:val="24"/>
                                  <w:szCs w:val="24"/>
                                </w:rPr>
                                <w:t xml:space="preserve">Визначення </w:t>
                              </w:r>
                              <w:r w:rsidRPr="00304861">
                                <w:rPr>
                                  <w:rFonts w:ascii="Times New Roman" w:hAnsi="Times New Roman" w:cs="Times New Roman"/>
                                  <w:color w:val="000000"/>
                                  <w:sz w:val="24"/>
                                  <w:szCs w:val="24"/>
                                </w:rPr>
                                <w:br/>
                                <w:t xml:space="preserve">вимог до показників, </w:t>
                              </w:r>
                              <w:r w:rsidRPr="00304861">
                                <w:rPr>
                                  <w:rFonts w:ascii="Times New Roman" w:hAnsi="Times New Roman" w:cs="Times New Roman"/>
                                  <w:color w:val="000000"/>
                                  <w:sz w:val="24"/>
                                  <w:szCs w:val="24"/>
                                </w:rPr>
                                <w:br/>
                                <w:t>що доцільно включати до складу моделі</w:t>
                              </w:r>
                              <w:r>
                                <w:rPr>
                                  <w:rFonts w:ascii="Times New Roman" w:hAnsi="Times New Roman" w:cs="Times New Roman"/>
                                  <w:color w:val="000000"/>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 name="Прямоугольник 107"/>
                        <wps:cNvSpPr/>
                        <wps:spPr>
                          <a:xfrm>
                            <a:off x="3310926" y="2116830"/>
                            <a:ext cx="2596893" cy="526573"/>
                          </a:xfrm>
                          <a:prstGeom prst="rect">
                            <a:avLst/>
                          </a:prstGeom>
                          <a:solidFill>
                            <a:sysClr val="window" lastClr="FFFFFF"/>
                          </a:solidFill>
                          <a:ln w="9525" cap="flat" cmpd="sng" algn="ctr">
                            <a:solidFill>
                              <a:sysClr val="windowText" lastClr="000000"/>
                            </a:solidFill>
                            <a:prstDash val="solid"/>
                            <a:miter lim="800000"/>
                          </a:ln>
                          <a:effectLst/>
                        </wps:spPr>
                        <wps:txbx>
                          <w:txbxContent>
                            <w:p w14:paraId="3AEEFEDA" w14:textId="77777777" w:rsidR="000F508F" w:rsidRPr="00304861" w:rsidRDefault="000F508F" w:rsidP="000F508F">
                              <w:pPr>
                                <w:pStyle w:val="afd"/>
                                <w:ind w:left="-170" w:right="-170"/>
                                <w:jc w:val="center"/>
                                <w:rPr>
                                  <w:rFonts w:eastAsia="Calibri"/>
                                  <w:color w:val="000000"/>
                                </w:rPr>
                              </w:pPr>
                              <w:r w:rsidRPr="00304861">
                                <w:rPr>
                                  <w:rFonts w:eastAsia="Calibri"/>
                                  <w:color w:val="000000"/>
                                </w:rPr>
                                <w:t xml:space="preserve">Визначення складу показників, </w:t>
                              </w:r>
                              <w:r w:rsidRPr="00304861">
                                <w:rPr>
                                  <w:rFonts w:eastAsia="Calibri"/>
                                  <w:color w:val="000000"/>
                                </w:rPr>
                                <w:br/>
                                <w:t xml:space="preserve">що характеризують </w:t>
                              </w:r>
                              <w:r>
                                <w:rPr>
                                  <w:rFonts w:eastAsia="Calibri"/>
                                  <w:color w:val="000000"/>
                                </w:rPr>
                                <w:t>ФСБ</w:t>
                              </w:r>
                              <w:r w:rsidRPr="00304861">
                                <w:rPr>
                                  <w:rFonts w:eastAsia="Calibri"/>
                                  <w:color w:val="000000"/>
                                </w:rPr>
                                <w:t xml:space="preserve"> (</w:t>
                              </w:r>
                              <w:r w:rsidRPr="00304861">
                                <w:rPr>
                                  <w:rFonts w:eastAsia="Calibri"/>
                                  <w:i/>
                                  <w:color w:val="000000"/>
                                </w:rPr>
                                <w:t>У</w:t>
                              </w:r>
                              <w:r w:rsidRPr="00304861">
                                <w:rPr>
                                  <w:rFonts w:eastAsia="Calibri"/>
                                  <w:color w:val="000000"/>
                                </w:rPr>
                                <w:t xml:space="preserv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8" name="Прямоугольник 108"/>
                        <wps:cNvSpPr/>
                        <wps:spPr>
                          <a:xfrm>
                            <a:off x="0" y="2112118"/>
                            <a:ext cx="2284681" cy="540000"/>
                          </a:xfrm>
                          <a:prstGeom prst="rect">
                            <a:avLst/>
                          </a:prstGeom>
                          <a:solidFill>
                            <a:sysClr val="window" lastClr="FFFFFF"/>
                          </a:solidFill>
                          <a:ln w="9525" cap="flat" cmpd="sng" algn="ctr">
                            <a:solidFill>
                              <a:sysClr val="windowText" lastClr="000000"/>
                            </a:solidFill>
                            <a:prstDash val="solid"/>
                            <a:miter lim="800000"/>
                          </a:ln>
                          <a:effectLst/>
                        </wps:spPr>
                        <wps:txbx>
                          <w:txbxContent>
                            <w:p w14:paraId="7DB3D6F2" w14:textId="77777777" w:rsidR="000F508F" w:rsidRPr="00304861" w:rsidRDefault="000F508F" w:rsidP="000F508F">
                              <w:pPr>
                                <w:pStyle w:val="afd"/>
                                <w:spacing w:line="192" w:lineRule="auto"/>
                                <w:ind w:left="-57" w:right="-57"/>
                                <w:jc w:val="center"/>
                              </w:pPr>
                              <w:r w:rsidRPr="00304861">
                                <w:rPr>
                                  <w:rFonts w:eastAsia="Calibri"/>
                                  <w:color w:val="000000"/>
                                </w:rPr>
                                <w:t xml:space="preserve">Визначення складу показників, що можуть виступати як </w:t>
                              </w:r>
                              <w:r>
                                <w:rPr>
                                  <w:rFonts w:eastAsia="Calibri"/>
                                  <w:color w:val="000000"/>
                                </w:rPr>
                                <w:t>макроіндикатори</w:t>
                              </w:r>
                              <w:r w:rsidRPr="00304861">
                                <w:rPr>
                                  <w:rFonts w:eastAsia="Calibri"/>
                                  <w:color w:val="000000"/>
                                </w:rPr>
                                <w:t xml:space="preserve"> 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0" name="Прямоугольник 110"/>
                        <wps:cNvSpPr/>
                        <wps:spPr>
                          <a:xfrm>
                            <a:off x="0" y="5318107"/>
                            <a:ext cx="5907819" cy="298787"/>
                          </a:xfrm>
                          <a:prstGeom prst="rect">
                            <a:avLst/>
                          </a:prstGeom>
                          <a:noFill/>
                          <a:ln w="9525" cap="flat" cmpd="sng" algn="ctr">
                            <a:solidFill>
                              <a:sysClr val="windowText" lastClr="000000"/>
                            </a:solidFill>
                            <a:prstDash val="solid"/>
                            <a:miter lim="800000"/>
                          </a:ln>
                          <a:effectLst/>
                        </wps:spPr>
                        <wps:txbx>
                          <w:txbxContent>
                            <w:p w14:paraId="7749F560" w14:textId="77777777" w:rsidR="000F508F" w:rsidRPr="00304861" w:rsidRDefault="000F508F" w:rsidP="000F508F">
                              <w:pPr>
                                <w:pStyle w:val="afd"/>
                                <w:ind w:left="-57" w:right="-57"/>
                                <w:jc w:val="center"/>
                              </w:pPr>
                              <w:r w:rsidRPr="00304861">
                                <w:rPr>
                                  <w:rFonts w:eastAsia="Calibri"/>
                                  <w:color w:val="000000"/>
                                </w:rPr>
                                <w:t>Формування висновків за результатами аналізу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5" name="Скругленный прямоугольник 115"/>
                        <wps:cNvSpPr/>
                        <wps:spPr>
                          <a:xfrm>
                            <a:off x="0" y="652"/>
                            <a:ext cx="590714" cy="1922062"/>
                          </a:xfrm>
                          <a:prstGeom prst="roundRect">
                            <a:avLst>
                              <a:gd name="adj" fmla="val 7245"/>
                            </a:avLst>
                          </a:prstGeom>
                          <a:solidFill>
                            <a:sysClr val="window" lastClr="FFFFFF"/>
                          </a:solidFill>
                          <a:ln w="19050" cap="flat" cmpd="sng" algn="ctr">
                            <a:solidFill>
                              <a:sysClr val="windowText" lastClr="000000"/>
                            </a:solidFill>
                            <a:prstDash val="solid"/>
                            <a:miter lim="800000"/>
                          </a:ln>
                          <a:effectLst/>
                        </wps:spPr>
                        <wps:txbx>
                          <w:txbxContent>
                            <w:p w14:paraId="6B5760A1" w14:textId="77777777" w:rsidR="000F508F" w:rsidRPr="00304861" w:rsidRDefault="000F508F" w:rsidP="000F508F">
                              <w:pPr>
                                <w:spacing w:after="0" w:line="240" w:lineRule="auto"/>
                                <w:ind w:left="-57" w:right="-57"/>
                                <w:jc w:val="center"/>
                                <w:rPr>
                                  <w:rFonts w:ascii="Times New Roman" w:hAnsi="Times New Roman" w:cs="Times New Roman"/>
                                  <w:color w:val="000000"/>
                                  <w:sz w:val="24"/>
                                  <w:szCs w:val="24"/>
                                </w:rPr>
                              </w:pPr>
                              <w:r w:rsidRPr="00304861">
                                <w:rPr>
                                  <w:rFonts w:ascii="Times New Roman" w:hAnsi="Times New Roman" w:cs="Times New Roman"/>
                                  <w:color w:val="000000"/>
                                  <w:sz w:val="24"/>
                                  <w:szCs w:val="24"/>
                                </w:rPr>
                                <w:t>Етап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 name="Скругленный прямоугольник 117"/>
                        <wps:cNvSpPr/>
                        <wps:spPr>
                          <a:xfrm>
                            <a:off x="2284681" y="2115185"/>
                            <a:ext cx="453224" cy="537806"/>
                          </a:xfrm>
                          <a:prstGeom prst="roundRect">
                            <a:avLst>
                              <a:gd name="adj" fmla="val 8602"/>
                            </a:avLst>
                          </a:prstGeom>
                          <a:solidFill>
                            <a:sysClr val="window" lastClr="FFFFFF"/>
                          </a:solidFill>
                          <a:ln w="19050" cap="flat" cmpd="sng" algn="ctr">
                            <a:solidFill>
                              <a:sysClr val="windowText" lastClr="000000"/>
                            </a:solidFill>
                            <a:prstDash val="solid"/>
                            <a:miter lim="800000"/>
                          </a:ln>
                          <a:effectLst/>
                        </wps:spPr>
                        <wps:txbx>
                          <w:txbxContent>
                            <w:p w14:paraId="1222EAF7" w14:textId="77777777" w:rsidR="000F508F" w:rsidRPr="00304861" w:rsidRDefault="000F508F" w:rsidP="000F508F">
                              <w:pPr>
                                <w:pStyle w:val="afd"/>
                                <w:ind w:left="-57" w:right="-113"/>
                                <w:jc w:val="center"/>
                              </w:pPr>
                              <w:r w:rsidRPr="00304861">
                                <w:rPr>
                                  <w:rFonts w:eastAsia="Calibri"/>
                                  <w:color w:val="000000"/>
                                </w:rPr>
                                <w:t>Етап 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9" name="Стрелка вправо 119"/>
                        <wps:cNvSpPr/>
                        <wps:spPr>
                          <a:xfrm>
                            <a:off x="1841729" y="868499"/>
                            <a:ext cx="79513" cy="285170"/>
                          </a:xfrm>
                          <a:prstGeom prst="rightArrow">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 name="Стрелка вниз 122"/>
                        <wps:cNvSpPr/>
                        <wps:spPr>
                          <a:xfrm>
                            <a:off x="1176807" y="2643466"/>
                            <a:ext cx="675850" cy="95416"/>
                          </a:xfrm>
                          <a:prstGeom prst="downArrow">
                            <a:avLst/>
                          </a:prstGeom>
                          <a:solidFill>
                            <a:sysClr val="window" lastClr="FFFFFF"/>
                          </a:solid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 name="Прямоугольник 124"/>
                        <wps:cNvSpPr/>
                        <wps:spPr>
                          <a:xfrm>
                            <a:off x="3310926" y="2742215"/>
                            <a:ext cx="2592374" cy="664790"/>
                          </a:xfrm>
                          <a:prstGeom prst="rect">
                            <a:avLst/>
                          </a:prstGeom>
                          <a:solidFill>
                            <a:sysClr val="window" lastClr="FFFFFF"/>
                          </a:solidFill>
                          <a:ln w="9525" cap="flat" cmpd="sng" algn="ctr">
                            <a:solidFill>
                              <a:sysClr val="windowText" lastClr="000000"/>
                            </a:solidFill>
                            <a:prstDash val="dash"/>
                            <a:miter lim="800000"/>
                          </a:ln>
                          <a:effectLst/>
                        </wps:spPr>
                        <wps:txbx>
                          <w:txbxContent>
                            <w:p w14:paraId="609CBD8D" w14:textId="77777777" w:rsidR="000F508F" w:rsidRPr="000E0E28" w:rsidRDefault="000F508F" w:rsidP="000F508F">
                              <w:pPr>
                                <w:pStyle w:val="afd"/>
                                <w:ind w:left="-57" w:right="-57"/>
                                <w:rPr>
                                  <w:rFonts w:ascii="Arial Narrow" w:hAnsi="Arial Narrow"/>
                                  <w:sz w:val="20"/>
                                  <w:szCs w:val="20"/>
                                </w:rPr>
                              </w:pPr>
                              <w:r w:rsidRPr="000E0E28">
                                <w:rPr>
                                  <w:rFonts w:ascii="Arial Narrow" w:hAnsi="Arial Narrow"/>
                                  <w:sz w:val="20"/>
                                  <w:szCs w:val="20"/>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4" name="Стрелка вниз 544"/>
                        <wps:cNvSpPr/>
                        <wps:spPr>
                          <a:xfrm>
                            <a:off x="4553218" y="2645828"/>
                            <a:ext cx="675640" cy="95250"/>
                          </a:xfrm>
                          <a:prstGeom prst="downArrow">
                            <a:avLst/>
                          </a:prstGeom>
                          <a:solidFill>
                            <a:sysClr val="window" lastClr="FFFFFF"/>
                          </a:solidFill>
                          <a:ln w="9525" cap="flat" cmpd="sng" algn="ctr">
                            <a:solidFill>
                              <a:sysClr val="windowText" lastClr="000000"/>
                            </a:solidFill>
                            <a:prstDash val="solid"/>
                            <a:miter lim="800000"/>
                          </a:ln>
                          <a:effectLst/>
                        </wps:spPr>
                        <wps:txbx>
                          <w:txbxContent>
                            <w:p w14:paraId="7820B06C" w14:textId="77777777" w:rsidR="000F508F" w:rsidRPr="000E0E28" w:rsidRDefault="000F508F" w:rsidP="000F508F">
                              <w:pPr>
                                <w:spacing w:after="0" w:line="240" w:lineRule="auto"/>
                                <w:ind w:left="-57" w:right="-57"/>
                                <w:rPr>
                                  <w:rFonts w:ascii="Arial Narrow" w:hAnsi="Arial Narrow"/>
                                  <w:sz w:val="20"/>
                                  <w:szCs w:val="20"/>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5" name="Прямоугольник 545"/>
                        <wps:cNvSpPr/>
                        <wps:spPr>
                          <a:xfrm>
                            <a:off x="3409950" y="2770622"/>
                            <a:ext cx="2418362" cy="591703"/>
                          </a:xfrm>
                          <a:prstGeom prst="rect">
                            <a:avLst/>
                          </a:prstGeom>
                          <a:noFill/>
                          <a:ln w="9525" cap="flat" cmpd="sng" algn="ctr">
                            <a:noFill/>
                            <a:prstDash val="solid"/>
                            <a:miter lim="800000"/>
                          </a:ln>
                          <a:effectLst/>
                        </wps:spPr>
                        <wps:txbx>
                          <w:txbxContent>
                            <w:p w14:paraId="191D1626" w14:textId="77777777" w:rsidR="000F508F" w:rsidRPr="00304861" w:rsidRDefault="000F508F" w:rsidP="000F508F">
                              <w:pPr>
                                <w:pStyle w:val="afd"/>
                                <w:ind w:left="-57" w:right="-57"/>
                                <w:rPr>
                                  <w:rFonts w:eastAsia="Calibri"/>
                                  <w:color w:val="000000"/>
                                </w:rPr>
                              </w:pPr>
                              <w:r w:rsidRPr="00304861">
                                <w:rPr>
                                  <w:rFonts w:eastAsia="Calibri"/>
                                  <w:color w:val="000000"/>
                                </w:rPr>
                                <w:t>− Z-показник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7" name="Скругленный прямоугольник 547"/>
                        <wps:cNvSpPr/>
                        <wps:spPr>
                          <a:xfrm>
                            <a:off x="2878926" y="2116871"/>
                            <a:ext cx="432000" cy="540000"/>
                          </a:xfrm>
                          <a:prstGeom prst="roundRect">
                            <a:avLst>
                              <a:gd name="adj" fmla="val 5623"/>
                            </a:avLst>
                          </a:prstGeom>
                          <a:solidFill>
                            <a:sysClr val="window" lastClr="FFFFFF"/>
                          </a:solidFill>
                          <a:ln w="19050" cap="flat" cmpd="sng" algn="ctr">
                            <a:solidFill>
                              <a:sysClr val="windowText" lastClr="000000"/>
                            </a:solidFill>
                            <a:prstDash val="solid"/>
                            <a:miter lim="800000"/>
                          </a:ln>
                          <a:effectLst/>
                        </wps:spPr>
                        <wps:txbx>
                          <w:txbxContent>
                            <w:p w14:paraId="0BE76D79" w14:textId="77777777" w:rsidR="000F508F" w:rsidRPr="00304861" w:rsidRDefault="000F508F" w:rsidP="000F508F">
                              <w:pPr>
                                <w:pStyle w:val="afd"/>
                                <w:ind w:left="-113" w:right="-113"/>
                                <w:jc w:val="center"/>
                              </w:pPr>
                              <w:r w:rsidRPr="00304861">
                                <w:rPr>
                                  <w:rFonts w:eastAsia="Calibri"/>
                                  <w:color w:val="000000"/>
                                </w:rPr>
                                <w:t>Етап 3</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8" name="Прямая соединительная линия 548"/>
                        <wps:cNvCnPr/>
                        <wps:spPr>
                          <a:xfrm>
                            <a:off x="286247" y="1970439"/>
                            <a:ext cx="2227034" cy="13404"/>
                          </a:xfrm>
                          <a:prstGeom prst="line">
                            <a:avLst/>
                          </a:prstGeom>
                          <a:noFill/>
                          <a:ln w="6350" cap="flat" cmpd="sng" algn="ctr">
                            <a:solidFill>
                              <a:sysClr val="windowText" lastClr="000000"/>
                            </a:solidFill>
                            <a:prstDash val="solid"/>
                            <a:miter lim="800000"/>
                          </a:ln>
                          <a:effectLst/>
                        </wps:spPr>
                        <wps:bodyPr/>
                      </wps:wsp>
                      <wps:wsp>
                        <wps:cNvPr id="550" name="Прямая соединительная линия 550"/>
                        <wps:cNvCnPr/>
                        <wps:spPr>
                          <a:xfrm flipV="1">
                            <a:off x="286247" y="1922952"/>
                            <a:ext cx="0" cy="47520"/>
                          </a:xfrm>
                          <a:prstGeom prst="line">
                            <a:avLst/>
                          </a:prstGeom>
                          <a:noFill/>
                          <a:ln w="6350" cap="flat" cmpd="sng" algn="ctr">
                            <a:solidFill>
                              <a:sysClr val="windowText" lastClr="000000"/>
                            </a:solidFill>
                            <a:prstDash val="solid"/>
                            <a:miter lim="800000"/>
                          </a:ln>
                          <a:effectLst/>
                        </wps:spPr>
                        <wps:bodyPr/>
                      </wps:wsp>
                      <wps:wsp>
                        <wps:cNvPr id="557" name="Прямая со стрелкой 557"/>
                        <wps:cNvCnPr/>
                        <wps:spPr>
                          <a:xfrm>
                            <a:off x="2513281" y="1983877"/>
                            <a:ext cx="0" cy="132994"/>
                          </a:xfrm>
                          <a:prstGeom prst="straightConnector1">
                            <a:avLst/>
                          </a:prstGeom>
                          <a:noFill/>
                          <a:ln w="6350" cap="flat" cmpd="sng" algn="ctr">
                            <a:solidFill>
                              <a:sysClr val="windowText" lastClr="000000"/>
                            </a:solidFill>
                            <a:prstDash val="solid"/>
                            <a:miter lim="800000"/>
                            <a:headEnd type="none" w="med" len="med"/>
                            <a:tailEnd type="triangle" w="med" len="med"/>
                          </a:ln>
                          <a:effectLst/>
                        </wps:spPr>
                        <wps:bodyPr/>
                      </wps:wsp>
                      <wps:wsp>
                        <wps:cNvPr id="558" name="Прямая соединительная линия 558"/>
                        <wps:cNvCnPr/>
                        <wps:spPr>
                          <a:xfrm flipH="1">
                            <a:off x="281463" y="3409561"/>
                            <a:ext cx="2813463" cy="0"/>
                          </a:xfrm>
                          <a:prstGeom prst="line">
                            <a:avLst/>
                          </a:prstGeom>
                          <a:noFill/>
                          <a:ln w="6350" cap="flat" cmpd="sng" algn="ctr">
                            <a:solidFill>
                              <a:sysClr val="windowText" lastClr="000000"/>
                            </a:solidFill>
                            <a:prstDash val="solid"/>
                            <a:miter lim="800000"/>
                          </a:ln>
                          <a:effectLst/>
                        </wps:spPr>
                        <wps:bodyPr/>
                      </wps:wsp>
                      <wps:wsp>
                        <wps:cNvPr id="559" name="Прямоугольник 559"/>
                        <wps:cNvSpPr/>
                        <wps:spPr>
                          <a:xfrm>
                            <a:off x="516836" y="3496117"/>
                            <a:ext cx="5423589" cy="309712"/>
                          </a:xfrm>
                          <a:prstGeom prst="rect">
                            <a:avLst/>
                          </a:prstGeom>
                          <a:noFill/>
                          <a:ln w="9525" cap="flat" cmpd="sng" algn="ctr">
                            <a:solidFill>
                              <a:sysClr val="windowText" lastClr="000000"/>
                            </a:solidFill>
                            <a:prstDash val="solid"/>
                            <a:miter lim="800000"/>
                          </a:ln>
                          <a:effectLst/>
                        </wps:spPr>
                        <wps:txbx>
                          <w:txbxContent>
                            <w:p w14:paraId="485F813D" w14:textId="77777777" w:rsidR="000F508F" w:rsidRPr="00304861" w:rsidRDefault="000F508F" w:rsidP="000F508F">
                              <w:pPr>
                                <w:pStyle w:val="afd"/>
                                <w:ind w:left="-57" w:right="-57"/>
                                <w:jc w:val="center"/>
                              </w:pPr>
                              <w:r w:rsidRPr="00304861">
                                <w:rPr>
                                  <w:rFonts w:eastAsia="Calibri"/>
                                  <w:color w:val="000000"/>
                                </w:rPr>
                                <w:t>Визначення впливу невизначеності на показники функціонування банків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0" name="Скругленный прямоугольник 560"/>
                        <wps:cNvSpPr/>
                        <wps:spPr>
                          <a:xfrm>
                            <a:off x="0" y="3505247"/>
                            <a:ext cx="590550" cy="409804"/>
                          </a:xfrm>
                          <a:prstGeom prst="roundRect">
                            <a:avLst>
                              <a:gd name="adj" fmla="val 10517"/>
                            </a:avLst>
                          </a:prstGeom>
                          <a:solidFill>
                            <a:sysClr val="window" lastClr="FFFFFF"/>
                          </a:solidFill>
                          <a:ln w="19050" cap="flat" cmpd="sng" algn="ctr">
                            <a:solidFill>
                              <a:sysClr val="windowText" lastClr="000000"/>
                            </a:solidFill>
                            <a:prstDash val="solid"/>
                            <a:miter lim="800000"/>
                          </a:ln>
                          <a:effectLst/>
                        </wps:spPr>
                        <wps:txbx>
                          <w:txbxContent>
                            <w:p w14:paraId="12EDE98A" w14:textId="77777777" w:rsidR="000F508F" w:rsidRPr="00304861" w:rsidRDefault="000F508F" w:rsidP="000F508F">
                              <w:pPr>
                                <w:pStyle w:val="afd"/>
                                <w:ind w:left="-57" w:right="-57"/>
                                <w:jc w:val="center"/>
                              </w:pPr>
                              <w:r w:rsidRPr="00304861">
                                <w:rPr>
                                  <w:rFonts w:eastAsia="Calibri"/>
                                  <w:color w:val="000000"/>
                                </w:rPr>
                                <w:t>Етап 4</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1" name="Прямая со стрелкой 561"/>
                        <wps:cNvCnPr/>
                        <wps:spPr>
                          <a:xfrm>
                            <a:off x="286247" y="3409658"/>
                            <a:ext cx="0" cy="86837"/>
                          </a:xfrm>
                          <a:prstGeom prst="straightConnector1">
                            <a:avLst/>
                          </a:prstGeom>
                          <a:noFill/>
                          <a:ln w="6350" cap="flat" cmpd="sng" algn="ctr">
                            <a:solidFill>
                              <a:sysClr val="windowText" lastClr="000000"/>
                            </a:solidFill>
                            <a:prstDash val="solid"/>
                            <a:miter lim="800000"/>
                            <a:headEnd type="none" w="med" len="med"/>
                            <a:tailEnd type="triangle" w="med" len="med"/>
                          </a:ln>
                          <a:effectLst/>
                        </wps:spPr>
                        <wps:bodyPr/>
                      </wps:wsp>
                      <wps:wsp>
                        <wps:cNvPr id="562" name="Скругленный прямоугольник 562"/>
                        <wps:cNvSpPr/>
                        <wps:spPr>
                          <a:xfrm>
                            <a:off x="0" y="5324004"/>
                            <a:ext cx="637036" cy="293463"/>
                          </a:xfrm>
                          <a:prstGeom prst="roundRect">
                            <a:avLst>
                              <a:gd name="adj" fmla="val 7518"/>
                            </a:avLst>
                          </a:prstGeom>
                          <a:solidFill>
                            <a:sysClr val="window" lastClr="FFFFFF"/>
                          </a:solidFill>
                          <a:ln w="19050" cap="flat" cmpd="sng" algn="ctr">
                            <a:solidFill>
                              <a:sysClr val="windowText" lastClr="000000"/>
                            </a:solidFill>
                            <a:prstDash val="solid"/>
                            <a:miter lim="800000"/>
                          </a:ln>
                          <a:effectLst/>
                        </wps:spPr>
                        <wps:txbx>
                          <w:txbxContent>
                            <w:p w14:paraId="4C250795" w14:textId="77777777" w:rsidR="000F508F" w:rsidRPr="00304861" w:rsidRDefault="000F508F" w:rsidP="000F508F">
                              <w:pPr>
                                <w:pStyle w:val="afd"/>
                                <w:ind w:left="-57" w:right="-57"/>
                                <w:jc w:val="center"/>
                              </w:pPr>
                              <w:r w:rsidRPr="00304861">
                                <w:rPr>
                                  <w:rFonts w:eastAsia="Calibri"/>
                                  <w:color w:val="000000"/>
                                </w:rPr>
                                <w:t>Етап 5</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3" name="Прямая со стрелкой 563"/>
                        <wps:cNvCnPr>
                          <a:stCxn id="560" idx="2"/>
                        </wps:cNvCnPr>
                        <wps:spPr>
                          <a:xfrm flipH="1">
                            <a:off x="286247" y="3914742"/>
                            <a:ext cx="9028" cy="1402723"/>
                          </a:xfrm>
                          <a:prstGeom prst="straightConnector1">
                            <a:avLst/>
                          </a:prstGeom>
                          <a:noFill/>
                          <a:ln w="6350" cap="flat" cmpd="sng" algn="ctr">
                            <a:solidFill>
                              <a:sysClr val="windowText" lastClr="000000"/>
                            </a:solidFill>
                            <a:prstDash val="solid"/>
                            <a:miter lim="800000"/>
                            <a:headEnd type="none" w="med" len="med"/>
                            <a:tailEnd type="triangle" w="med" len="med"/>
                          </a:ln>
                          <a:effectLst/>
                        </wps:spPr>
                        <wps:bodyPr/>
                      </wps:wsp>
                      <wps:wsp>
                        <wps:cNvPr id="564" name="Прямая соединительная линия 564"/>
                        <wps:cNvCnPr/>
                        <wps:spPr>
                          <a:xfrm>
                            <a:off x="282869" y="3982152"/>
                            <a:ext cx="300518" cy="0"/>
                          </a:xfrm>
                          <a:prstGeom prst="line">
                            <a:avLst/>
                          </a:prstGeom>
                          <a:noFill/>
                          <a:ln w="6350" cap="flat" cmpd="sng" algn="ctr">
                            <a:solidFill>
                              <a:sysClr val="windowText" lastClr="000000"/>
                            </a:solidFill>
                            <a:prstDash val="solid"/>
                            <a:miter lim="800000"/>
                            <a:headEnd type="oval" w="sm" len="sm"/>
                          </a:ln>
                          <a:effectLst/>
                        </wps:spPr>
                        <wps:bodyPr/>
                      </wps:wsp>
                      <wps:wsp>
                        <wps:cNvPr id="565" name="Овал 565"/>
                        <wps:cNvSpPr/>
                        <wps:spPr>
                          <a:xfrm>
                            <a:off x="540410" y="3930946"/>
                            <a:ext cx="101957" cy="101957"/>
                          </a:xfrm>
                          <a:prstGeom prst="ellipse">
                            <a:avLst/>
                          </a:prstGeom>
                          <a:solidFill>
                            <a:sysClr val="window" lastClr="FFFFFF">
                              <a:lumMod val="50000"/>
                            </a:sysClr>
                          </a:solid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6" name="Прямоугольник 566"/>
                        <wps:cNvSpPr/>
                        <wps:spPr>
                          <a:xfrm>
                            <a:off x="1348587" y="3915360"/>
                            <a:ext cx="4479726" cy="362067"/>
                          </a:xfrm>
                          <a:prstGeom prst="rect">
                            <a:avLst/>
                          </a:prstGeom>
                          <a:solidFill>
                            <a:sysClr val="window" lastClr="FFFFFF"/>
                          </a:solidFill>
                          <a:ln w="9525" cap="flat" cmpd="sng" algn="ctr">
                            <a:solidFill>
                              <a:sysClr val="windowText" lastClr="000000"/>
                            </a:solidFill>
                            <a:prstDash val="solid"/>
                            <a:miter lim="800000"/>
                          </a:ln>
                          <a:effectLst/>
                        </wps:spPr>
                        <wps:txbx>
                          <w:txbxContent>
                            <w:p w14:paraId="43A0BEAA" w14:textId="77777777" w:rsidR="000F508F" w:rsidRPr="00304861" w:rsidRDefault="000F508F" w:rsidP="000F508F">
                              <w:pPr>
                                <w:pStyle w:val="afd"/>
                                <w:ind w:left="-113" w:right="-113"/>
                                <w:jc w:val="center"/>
                              </w:pPr>
                              <w:r>
                                <w:rPr>
                                  <w:rFonts w:eastAsia="Calibri"/>
                                  <w:color w:val="000000"/>
                                </w:rPr>
                                <w:t>В</w:t>
                              </w:r>
                              <w:r w:rsidRPr="00304861">
                                <w:rPr>
                                  <w:rFonts w:eastAsia="Calibri"/>
                                  <w:color w:val="000000"/>
                                </w:rPr>
                                <w:t>ибірк</w:t>
                              </w:r>
                              <w:r>
                                <w:rPr>
                                  <w:rFonts w:eastAsia="Calibri"/>
                                  <w:color w:val="000000"/>
                                </w:rPr>
                                <w:t>а</w:t>
                              </w:r>
                              <w:r w:rsidRPr="00304861">
                                <w:rPr>
                                  <w:rFonts w:eastAsia="Calibri"/>
                                  <w:color w:val="000000"/>
                                </w:rPr>
                                <w:t xml:space="preserve"> </w:t>
                              </w:r>
                              <w:r w:rsidRPr="00304861">
                                <w:rPr>
                                  <w:rFonts w:eastAsia="Calibri"/>
                                  <w:i/>
                                  <w:color w:val="000000"/>
                                </w:rPr>
                                <w:t>Х</w:t>
                              </w:r>
                              <w:r w:rsidRPr="00304861">
                                <w:rPr>
                                  <w:rFonts w:eastAsia="Calibri"/>
                                  <w:color w:val="000000"/>
                                </w:rPr>
                                <w:t xml:space="preserve">: </w:t>
                              </w:r>
                              <w:r w:rsidRPr="00304861">
                                <w:rPr>
                                  <w:rFonts w:eastAsia="Calibri"/>
                                  <w:i/>
                                  <w:color w:val="000000"/>
                                </w:rPr>
                                <w:t>Х</w:t>
                              </w:r>
                              <w:r w:rsidRPr="00304861">
                                <w:rPr>
                                  <w:rFonts w:eastAsia="Calibri"/>
                                  <w:color w:val="000000"/>
                                </w:rPr>
                                <w:t xml:space="preserve"> = (</w:t>
                              </w:r>
                              <w:r w:rsidRPr="00304861">
                                <w:rPr>
                                  <w:rFonts w:eastAsia="Calibri"/>
                                  <w:i/>
                                  <w:color w:val="000000"/>
                                </w:rPr>
                                <w:t>x</w:t>
                              </w:r>
                              <w:r w:rsidRPr="00304861">
                                <w:rPr>
                                  <w:rFonts w:eastAsia="Calibri"/>
                                  <w:color w:val="000000"/>
                                  <w:vertAlign w:val="subscript"/>
                                </w:rPr>
                                <w:t>1</w:t>
                              </w:r>
                              <w:r w:rsidRPr="00304861">
                                <w:rPr>
                                  <w:rFonts w:eastAsia="Calibri"/>
                                  <w:color w:val="000000"/>
                                </w:rPr>
                                <w:t xml:space="preserve">, …, </w:t>
                              </w:r>
                              <w:r w:rsidRPr="00304861">
                                <w:rPr>
                                  <w:rFonts w:eastAsia="Calibri"/>
                                  <w:i/>
                                  <w:color w:val="000000"/>
                                </w:rPr>
                                <w:t>x</w:t>
                              </w:r>
                              <w:r w:rsidRPr="00304861">
                                <w:rPr>
                                  <w:rFonts w:eastAsia="Calibri"/>
                                  <w:i/>
                                  <w:color w:val="000000"/>
                                  <w:vertAlign w:val="subscript"/>
                                </w:rPr>
                                <w:t>m-n</w:t>
                              </w:r>
                              <w:r w:rsidRPr="00304861">
                                <w:rPr>
                                  <w:rFonts w:eastAsia="Calibri"/>
                                  <w:color w:val="000000"/>
                                </w:rPr>
                                <w:t xml:space="preserve">) – обрані макроіндикатори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7" name="Скругленный прямоугольник 567"/>
                        <wps:cNvSpPr/>
                        <wps:spPr>
                          <a:xfrm>
                            <a:off x="828197" y="3920646"/>
                            <a:ext cx="729939" cy="356623"/>
                          </a:xfrm>
                          <a:prstGeom prst="roundRect">
                            <a:avLst>
                              <a:gd name="adj" fmla="val 10517"/>
                            </a:avLst>
                          </a:prstGeom>
                          <a:solidFill>
                            <a:sysClr val="window" lastClr="FFFFFF"/>
                          </a:solidFill>
                          <a:ln w="19050" cap="flat" cmpd="sng" algn="ctr">
                            <a:solidFill>
                              <a:sysClr val="windowText" lastClr="000000"/>
                            </a:solidFill>
                            <a:prstDash val="solid"/>
                            <a:miter lim="800000"/>
                          </a:ln>
                          <a:effectLst/>
                        </wps:spPr>
                        <wps:txbx>
                          <w:txbxContent>
                            <w:p w14:paraId="08BF49F1" w14:textId="77777777" w:rsidR="000F508F" w:rsidRPr="00304861" w:rsidRDefault="000F508F" w:rsidP="000F508F">
                              <w:pPr>
                                <w:pStyle w:val="afd"/>
                                <w:ind w:left="-57" w:right="-57"/>
                                <w:jc w:val="center"/>
                                <w:rPr>
                                  <w:rFonts w:eastAsia="Calibri"/>
                                  <w:color w:val="000000"/>
                                </w:rPr>
                              </w:pPr>
                              <w:r w:rsidRPr="00304861">
                                <w:rPr>
                                  <w:rFonts w:eastAsia="Calibri"/>
                                  <w:color w:val="000000"/>
                                </w:rPr>
                                <w:t>Етап 4.1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8" name="Прямоугольник 568"/>
                        <wps:cNvSpPr/>
                        <wps:spPr>
                          <a:xfrm>
                            <a:off x="1510748" y="4339437"/>
                            <a:ext cx="4316801" cy="366284"/>
                          </a:xfrm>
                          <a:prstGeom prst="rect">
                            <a:avLst/>
                          </a:prstGeom>
                          <a:solidFill>
                            <a:sysClr val="window" lastClr="FFFFFF"/>
                          </a:solidFill>
                          <a:ln w="9525" cap="flat" cmpd="sng" algn="ctr">
                            <a:solidFill>
                              <a:sysClr val="windowText" lastClr="000000"/>
                            </a:solidFill>
                            <a:prstDash val="solid"/>
                            <a:miter lim="800000"/>
                          </a:ln>
                          <a:effectLst/>
                        </wps:spPr>
                        <wps:txbx>
                          <w:txbxContent>
                            <w:p w14:paraId="2D844F49" w14:textId="77777777" w:rsidR="000F508F" w:rsidRPr="00304861" w:rsidRDefault="000F508F" w:rsidP="000F508F">
                              <w:pPr>
                                <w:pStyle w:val="afd"/>
                                <w:ind w:left="-57" w:right="-57"/>
                                <w:jc w:val="center"/>
                              </w:pPr>
                              <w:r>
                                <w:rPr>
                                  <w:rFonts w:eastAsia="Calibri"/>
                                  <w:color w:val="000000"/>
                                </w:rPr>
                                <w:t>Вибірка</w:t>
                              </w:r>
                              <w:r w:rsidRPr="00304861">
                                <w:rPr>
                                  <w:rFonts w:eastAsia="Calibri"/>
                                  <w:color w:val="000000"/>
                                </w:rPr>
                                <w:t xml:space="preserve"> </w:t>
                              </w:r>
                              <w:r w:rsidRPr="00304861">
                                <w:rPr>
                                  <w:rFonts w:eastAsia="Calibri"/>
                                  <w:i/>
                                  <w:iCs/>
                                  <w:color w:val="000000"/>
                                </w:rPr>
                                <w:t>Y</w:t>
                              </w:r>
                              <w:r w:rsidRPr="00304861">
                                <w:rPr>
                                  <w:rFonts w:eastAsia="Calibri"/>
                                  <w:color w:val="000000"/>
                                </w:rPr>
                                <w:t>: (</w:t>
                              </w:r>
                              <w:r w:rsidRPr="00304861">
                                <w:rPr>
                                  <w:rFonts w:eastAsia="Calibri"/>
                                  <w:i/>
                                  <w:iCs/>
                                  <w:color w:val="000000"/>
                                </w:rPr>
                                <w:t>Y</w:t>
                              </w:r>
                              <w:r w:rsidRPr="00304861">
                                <w:rPr>
                                  <w:rFonts w:eastAsia="Calibri"/>
                                  <w:color w:val="000000"/>
                                </w:rPr>
                                <w:t xml:space="preserve"> = </w:t>
                              </w:r>
                              <w:r w:rsidRPr="00304861">
                                <w:rPr>
                                  <w:rFonts w:eastAsia="Calibri"/>
                                  <w:i/>
                                  <w:color w:val="000000"/>
                                </w:rPr>
                                <w:t>y</w:t>
                              </w:r>
                              <w:r w:rsidRPr="00304861">
                                <w:rPr>
                                  <w:rFonts w:eastAsia="Calibri"/>
                                  <w:i/>
                                  <w:color w:val="000000"/>
                                  <w:vertAlign w:val="subscript"/>
                                </w:rPr>
                                <w:t>n</w:t>
                              </w:r>
                              <w:r w:rsidRPr="00304861">
                                <w:rPr>
                                  <w:rFonts w:eastAsia="Calibri"/>
                                  <w:color w:val="000000"/>
                                </w:rPr>
                                <w:t xml:space="preserve">, </w:t>
                              </w:r>
                              <w:r w:rsidRPr="00304861">
                                <w:rPr>
                                  <w:rFonts w:eastAsia="Calibri"/>
                                  <w:i/>
                                  <w:color w:val="000000"/>
                                </w:rPr>
                                <w:t>y</w:t>
                              </w:r>
                              <w:r w:rsidRPr="00304861">
                                <w:rPr>
                                  <w:rFonts w:eastAsia="Calibri"/>
                                  <w:i/>
                                  <w:color w:val="000000"/>
                                  <w:vertAlign w:val="subscript"/>
                                </w:rPr>
                                <w:t>n</w:t>
                              </w:r>
                              <w:r w:rsidRPr="00304861">
                                <w:rPr>
                                  <w:rFonts w:eastAsia="Calibri"/>
                                  <w:color w:val="000000"/>
                                  <w:vertAlign w:val="subscript"/>
                                </w:rPr>
                                <w:t>+1</w:t>
                              </w:r>
                              <w:r w:rsidRPr="00304861">
                                <w:rPr>
                                  <w:rFonts w:eastAsia="Calibri"/>
                                  <w:color w:val="000000"/>
                                </w:rPr>
                                <w:t xml:space="preserve">, …, </w:t>
                              </w:r>
                              <w:r w:rsidRPr="00304861">
                                <w:rPr>
                                  <w:rFonts w:eastAsia="Calibri"/>
                                  <w:i/>
                                  <w:color w:val="000000"/>
                                </w:rPr>
                                <w:t>y</w:t>
                              </w:r>
                              <w:r w:rsidRPr="00304861">
                                <w:rPr>
                                  <w:rFonts w:eastAsia="Calibri"/>
                                  <w:i/>
                                  <w:color w:val="000000"/>
                                  <w:vertAlign w:val="subscript"/>
                                </w:rPr>
                                <w:t>m</w:t>
                              </w:r>
                              <w:r w:rsidRPr="00304861">
                                <w:rPr>
                                  <w:rFonts w:eastAsia="Calibri"/>
                                  <w:color w:val="000000"/>
                                </w:rPr>
                                <w:t>) –  Z-показник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9" name="Скругленный прямоугольник 569"/>
                        <wps:cNvSpPr/>
                        <wps:spPr>
                          <a:xfrm>
                            <a:off x="821590" y="4339756"/>
                            <a:ext cx="729827" cy="365785"/>
                          </a:xfrm>
                          <a:prstGeom prst="roundRect">
                            <a:avLst>
                              <a:gd name="adj" fmla="val 10517"/>
                            </a:avLst>
                          </a:prstGeom>
                          <a:solidFill>
                            <a:sysClr val="window" lastClr="FFFFFF"/>
                          </a:solidFill>
                          <a:ln w="19050" cap="flat" cmpd="sng" algn="ctr">
                            <a:solidFill>
                              <a:sysClr val="windowText" lastClr="000000"/>
                            </a:solidFill>
                            <a:prstDash val="solid"/>
                            <a:miter lim="800000"/>
                          </a:ln>
                          <a:effectLst/>
                        </wps:spPr>
                        <wps:txbx>
                          <w:txbxContent>
                            <w:p w14:paraId="47E267DB" w14:textId="77777777" w:rsidR="000F508F" w:rsidRPr="00304861" w:rsidRDefault="000F508F" w:rsidP="000F508F">
                              <w:pPr>
                                <w:pStyle w:val="afd"/>
                                <w:ind w:left="-57" w:right="-57"/>
                                <w:jc w:val="center"/>
                                <w:rPr>
                                  <w:rFonts w:eastAsia="Calibri"/>
                                  <w:color w:val="000000"/>
                                </w:rPr>
                              </w:pPr>
                              <w:r w:rsidRPr="00304861">
                                <w:rPr>
                                  <w:rFonts w:eastAsia="Calibri"/>
                                  <w:color w:val="000000"/>
                                </w:rPr>
                                <w:t>Етап 4.2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0" name="Прямоугольник 570"/>
                        <wps:cNvSpPr/>
                        <wps:spPr>
                          <a:xfrm>
                            <a:off x="1557316" y="4765904"/>
                            <a:ext cx="4270233" cy="425005"/>
                          </a:xfrm>
                          <a:prstGeom prst="rect">
                            <a:avLst/>
                          </a:prstGeom>
                          <a:solidFill>
                            <a:sysClr val="window" lastClr="FFFFFF"/>
                          </a:solidFill>
                          <a:ln w="9525" cap="flat" cmpd="sng" algn="ctr">
                            <a:solidFill>
                              <a:sysClr val="windowText" lastClr="000000"/>
                            </a:solidFill>
                            <a:prstDash val="solid"/>
                            <a:miter lim="800000"/>
                          </a:ln>
                          <a:effectLst/>
                        </wps:spPr>
                        <wps:txbx>
                          <w:txbxContent>
                            <w:p w14:paraId="53B70936" w14:textId="77777777" w:rsidR="000F508F" w:rsidRPr="00304861" w:rsidRDefault="000F508F" w:rsidP="000F508F">
                              <w:pPr>
                                <w:pStyle w:val="afd"/>
                                <w:ind w:left="-57" w:right="-57"/>
                                <w:jc w:val="center"/>
                                <w:rPr>
                                  <w:rFonts w:eastAsia="Calibri"/>
                                  <w:color w:val="000000"/>
                                </w:rPr>
                              </w:pPr>
                              <w:r w:rsidRPr="00304861">
                                <w:rPr>
                                  <w:rFonts w:eastAsia="Calibri"/>
                                  <w:color w:val="000000"/>
                                </w:rPr>
                                <w:t xml:space="preserve">Статистична обробка показників з метою формалізації впливу </w:t>
                              </w:r>
                              <w:r>
                                <w:rPr>
                                  <w:rFonts w:eastAsia="Calibri"/>
                                  <w:color w:val="000000"/>
                                </w:rPr>
                                <w:t>макрофакторів</w:t>
                              </w:r>
                              <w:r w:rsidRPr="00304861">
                                <w:rPr>
                                  <w:rFonts w:eastAsia="Calibri"/>
                                  <w:color w:val="000000"/>
                                </w:rPr>
                                <w:t xml:space="preserve"> на </w:t>
                              </w:r>
                              <w:r>
                                <w:rPr>
                                  <w:rFonts w:eastAsia="Calibri"/>
                                  <w:color w:val="000000"/>
                                </w:rPr>
                                <w:t>ФСБ</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1" name="Скругленный прямоугольник 571"/>
                        <wps:cNvSpPr/>
                        <wps:spPr>
                          <a:xfrm>
                            <a:off x="828167" y="4768214"/>
                            <a:ext cx="729149" cy="422912"/>
                          </a:xfrm>
                          <a:prstGeom prst="roundRect">
                            <a:avLst>
                              <a:gd name="adj" fmla="val 4091"/>
                            </a:avLst>
                          </a:prstGeom>
                          <a:solidFill>
                            <a:sysClr val="window" lastClr="FFFFFF"/>
                          </a:solidFill>
                          <a:ln w="19050" cap="flat" cmpd="sng" algn="ctr">
                            <a:solidFill>
                              <a:sysClr val="windowText" lastClr="000000"/>
                            </a:solidFill>
                            <a:prstDash val="solid"/>
                            <a:miter lim="800000"/>
                          </a:ln>
                          <a:effectLst/>
                        </wps:spPr>
                        <wps:txbx>
                          <w:txbxContent>
                            <w:p w14:paraId="2FE92F7D" w14:textId="77777777" w:rsidR="000F508F" w:rsidRPr="00304861" w:rsidRDefault="000F508F" w:rsidP="000F508F">
                              <w:pPr>
                                <w:pStyle w:val="afd"/>
                                <w:ind w:left="-57" w:right="-57"/>
                                <w:jc w:val="center"/>
                                <w:rPr>
                                  <w:rFonts w:eastAsia="Calibri"/>
                                  <w:color w:val="000000"/>
                                </w:rPr>
                              </w:pPr>
                              <w:r w:rsidRPr="00304861">
                                <w:rPr>
                                  <w:rFonts w:eastAsia="Calibri"/>
                                  <w:color w:val="000000"/>
                                </w:rPr>
                                <w:t>Етап 4.3</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2" name="Выгнутая влево стрелка 572"/>
                        <wps:cNvSpPr/>
                        <wps:spPr>
                          <a:xfrm>
                            <a:off x="687615" y="4106510"/>
                            <a:ext cx="134596" cy="233564"/>
                          </a:xfrm>
                          <a:prstGeom prst="curvedRightArrow">
                            <a:avLst>
                              <a:gd name="adj1" fmla="val 17297"/>
                              <a:gd name="adj2" fmla="val 73959"/>
                              <a:gd name="adj3" fmla="val 25000"/>
                            </a:avLst>
                          </a:prstGeom>
                          <a:solidFill>
                            <a:sysClr val="window" lastClr="FFFFFF"/>
                          </a:solid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3" name="Выгнутая влево стрелка 573"/>
                        <wps:cNvSpPr/>
                        <wps:spPr>
                          <a:xfrm>
                            <a:off x="687605" y="4482481"/>
                            <a:ext cx="133985" cy="570867"/>
                          </a:xfrm>
                          <a:prstGeom prst="curvedRightArrow">
                            <a:avLst>
                              <a:gd name="adj1" fmla="val 17297"/>
                              <a:gd name="adj2" fmla="val 73959"/>
                              <a:gd name="adj3" fmla="val 25000"/>
                            </a:avLst>
                          </a:prstGeom>
                          <a:solidFill>
                            <a:sysClr val="window" lastClr="FFFFFF"/>
                          </a:solidFill>
                          <a:ln w="9525" cap="flat" cmpd="sng" algn="ctr">
                            <a:solidFill>
                              <a:sysClr val="windowText" lastClr="000000"/>
                            </a:solidFill>
                            <a:prstDash val="solid"/>
                            <a:miter lim="800000"/>
                          </a:ln>
                          <a:effectLst/>
                        </wps:spPr>
                        <wps:txbx>
                          <w:txbxContent>
                            <w:p w14:paraId="1FCFA435" w14:textId="77777777" w:rsidR="000F508F" w:rsidRPr="000E0E28" w:rsidRDefault="000F508F" w:rsidP="000F508F">
                              <w:pPr>
                                <w:spacing w:after="0" w:line="240" w:lineRule="auto"/>
                                <w:ind w:left="-57" w:right="-57"/>
                                <w:rPr>
                                  <w:rFonts w:ascii="Arial Narrow" w:hAnsi="Arial Narrow"/>
                                  <w:sz w:val="20"/>
                                  <w:szCs w:val="20"/>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4" name="Двойная стрелка влево/вправо 574"/>
                        <wps:cNvSpPr/>
                        <wps:spPr>
                          <a:xfrm>
                            <a:off x="2727298" y="2381073"/>
                            <a:ext cx="151628" cy="114300"/>
                          </a:xfrm>
                          <a:prstGeom prst="lef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5" name="Прямая соединительная линия 575"/>
                        <wps:cNvCnPr>
                          <a:stCxn id="547" idx="2"/>
                        </wps:cNvCnPr>
                        <wps:spPr>
                          <a:xfrm>
                            <a:off x="3094926" y="2656807"/>
                            <a:ext cx="0" cy="750328"/>
                          </a:xfrm>
                          <a:prstGeom prst="line">
                            <a:avLst/>
                          </a:prstGeom>
                          <a:noFill/>
                          <a:ln w="6350" cap="flat" cmpd="sng" algn="ctr">
                            <a:solidFill>
                              <a:sysClr val="windowText" lastClr="000000"/>
                            </a:solidFill>
                            <a:prstDash val="solid"/>
                            <a:miter lim="800000"/>
                          </a:ln>
                          <a:effectLst/>
                        </wps:spPr>
                        <wps:bodyPr/>
                      </wps:wsp>
                      <wps:wsp>
                        <wps:cNvPr id="128" name="Прямоугольник 128"/>
                        <wps:cNvSpPr/>
                        <wps:spPr>
                          <a:xfrm>
                            <a:off x="1932171" y="704"/>
                            <a:ext cx="3971130" cy="194002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BDB37E7" w14:textId="77777777" w:rsidR="000F508F" w:rsidRPr="00304861" w:rsidRDefault="000F508F" w:rsidP="000F508F">
                              <w:pPr>
                                <w:spacing w:after="0" w:line="240" w:lineRule="auto"/>
                                <w:ind w:left="-113" w:right="-113"/>
                                <w:jc w:val="both"/>
                                <w:rPr>
                                  <w:rFonts w:ascii="Times New Roman" w:hAnsi="Times New Roman" w:cs="Times New Roman"/>
                                  <w:sz w:val="24"/>
                                  <w:szCs w:val="24"/>
                                </w:rPr>
                              </w:pPr>
                              <w:r w:rsidRPr="00304861">
                                <w:rPr>
                                  <w:rFonts w:ascii="Times New Roman" w:hAnsi="Times New Roman" w:cs="Times New Roman"/>
                                  <w:sz w:val="24"/>
                                  <w:szCs w:val="24"/>
                                </w:rPr>
                                <w:t>відповідність процесам, що вони описують</w:t>
                              </w:r>
                              <w:r>
                                <w:rPr>
                                  <w:rFonts w:ascii="Times New Roman" w:hAnsi="Times New Roman" w:cs="Times New Roman"/>
                                  <w:sz w:val="24"/>
                                  <w:szCs w:val="24"/>
                                </w:rPr>
                                <w:t>;</w:t>
                              </w:r>
                            </w:p>
                            <w:p w14:paraId="23FC9108" w14:textId="77777777" w:rsidR="000F508F" w:rsidRPr="00304861" w:rsidRDefault="000F508F" w:rsidP="000F508F">
                              <w:pPr>
                                <w:spacing w:after="0" w:line="240" w:lineRule="auto"/>
                                <w:ind w:left="-113" w:right="-113"/>
                                <w:jc w:val="both"/>
                                <w:rPr>
                                  <w:rFonts w:ascii="Times New Roman" w:hAnsi="Times New Roman" w:cs="Times New Roman"/>
                                  <w:sz w:val="24"/>
                                  <w:szCs w:val="24"/>
                                </w:rPr>
                              </w:pPr>
                              <w:r w:rsidRPr="00304861">
                                <w:rPr>
                                  <w:rFonts w:ascii="Times New Roman" w:hAnsi="Times New Roman" w:cs="Times New Roman"/>
                                  <w:sz w:val="24"/>
                                  <w:szCs w:val="24"/>
                                </w:rPr>
                                <w:t>орієнтованість на майбутнє та доступність в режимі, близькому до реального часу, або з невеликими затримками;</w:t>
                              </w:r>
                            </w:p>
                            <w:p w14:paraId="2B5499FA" w14:textId="77777777" w:rsidR="000F508F" w:rsidRPr="00304861" w:rsidRDefault="000F508F" w:rsidP="000F508F">
                              <w:pPr>
                                <w:spacing w:after="0" w:line="240" w:lineRule="auto"/>
                                <w:ind w:left="-113" w:right="-113"/>
                                <w:jc w:val="both"/>
                                <w:rPr>
                                  <w:rFonts w:ascii="Times New Roman" w:hAnsi="Times New Roman" w:cs="Times New Roman"/>
                                  <w:sz w:val="24"/>
                                  <w:szCs w:val="24"/>
                                </w:rPr>
                              </w:pPr>
                              <w:r w:rsidRPr="00304861">
                                <w:rPr>
                                  <w:rFonts w:ascii="Times New Roman" w:hAnsi="Times New Roman" w:cs="Times New Roman"/>
                                  <w:sz w:val="24"/>
                                  <w:szCs w:val="24"/>
                                </w:rPr>
                                <w:t>однозначність – значення мають однозначно інтерпретуватись у контексті визначення впливу</w:t>
                              </w:r>
                              <w:r>
                                <w:rPr>
                                  <w:rFonts w:ascii="Times New Roman" w:hAnsi="Times New Roman" w:cs="Times New Roman"/>
                                  <w:sz w:val="24"/>
                                  <w:szCs w:val="24"/>
                                </w:rPr>
                                <w:t>;</w:t>
                              </w:r>
                            </w:p>
                            <w:p w14:paraId="67A3DCE4" w14:textId="77777777" w:rsidR="000F508F" w:rsidRPr="00304861" w:rsidRDefault="000F508F" w:rsidP="000F508F">
                              <w:pPr>
                                <w:spacing w:after="0" w:line="240" w:lineRule="auto"/>
                                <w:ind w:left="-113" w:right="-113"/>
                                <w:jc w:val="both"/>
                                <w:rPr>
                                  <w:rFonts w:ascii="Times New Roman" w:hAnsi="Times New Roman" w:cs="Times New Roman"/>
                                  <w:sz w:val="24"/>
                                  <w:szCs w:val="24"/>
                                </w:rPr>
                              </w:pPr>
                              <w:r w:rsidRPr="00304861">
                                <w:rPr>
                                  <w:rFonts w:ascii="Times New Roman" w:hAnsi="Times New Roman" w:cs="Times New Roman"/>
                                  <w:sz w:val="24"/>
                                  <w:szCs w:val="24"/>
                                </w:rPr>
                                <w:t xml:space="preserve">повнота – показники мають комплексно охарактеризувати параметри </w:t>
                              </w:r>
                              <w:r>
                                <w:rPr>
                                  <w:rFonts w:ascii="Times New Roman" w:hAnsi="Times New Roman" w:cs="Times New Roman"/>
                                  <w:sz w:val="24"/>
                                  <w:szCs w:val="24"/>
                                </w:rPr>
                                <w:t>аналізу</w:t>
                              </w:r>
                              <w:r w:rsidRPr="00304861">
                                <w:rPr>
                                  <w:rFonts w:ascii="Times New Roman" w:hAnsi="Times New Roman" w:cs="Times New Roman"/>
                                  <w:sz w:val="24"/>
                                  <w:szCs w:val="24"/>
                                </w:rPr>
                                <w:t>;</w:t>
                              </w:r>
                            </w:p>
                            <w:p w14:paraId="145E0533" w14:textId="77777777" w:rsidR="000F508F" w:rsidRPr="00304861" w:rsidRDefault="000F508F" w:rsidP="000F508F">
                              <w:pPr>
                                <w:spacing w:after="0" w:line="240" w:lineRule="auto"/>
                                <w:ind w:left="-113" w:right="-113"/>
                                <w:jc w:val="both"/>
                                <w:rPr>
                                  <w:rFonts w:ascii="Times New Roman" w:hAnsi="Times New Roman" w:cs="Times New Roman"/>
                                  <w:sz w:val="24"/>
                                  <w:szCs w:val="24"/>
                                </w:rPr>
                              </w:pPr>
                              <w:r w:rsidRPr="00304861">
                                <w:rPr>
                                  <w:rFonts w:ascii="Times New Roman" w:hAnsi="Times New Roman" w:cs="Times New Roman"/>
                                  <w:sz w:val="24"/>
                                  <w:szCs w:val="24"/>
                                </w:rPr>
                                <w:t>достатність – кількість має бути достатньою для формування якісних оцінок і, одночасно з цим, мінімальною для уникнення зайвого ускладнення.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 name="Соединительная линия уступом 130"/>
                        <wps:cNvCnPr>
                          <a:endCxn id="547" idx="0"/>
                        </wps:cNvCnPr>
                        <wps:spPr>
                          <a:xfrm>
                            <a:off x="2513281" y="1983820"/>
                            <a:ext cx="581645" cy="133027"/>
                          </a:xfrm>
                          <a:prstGeom prst="bentConnector2">
                            <a:avLst/>
                          </a:prstGeom>
                          <a:noFill/>
                          <a:ln w="6350" cap="flat" cmpd="sng" algn="ctr">
                            <a:solidFill>
                              <a:sysClr val="windowText" lastClr="000000"/>
                            </a:solidFill>
                            <a:prstDash val="solid"/>
                            <a:miter lim="800000"/>
                            <a:tailEnd type="triangle"/>
                          </a:ln>
                          <a:effectLst/>
                        </wps:spPr>
                        <wps:bodyPr/>
                      </wps:wsp>
                      <wps:wsp>
                        <wps:cNvPr id="131" name="Прямоугольник 131"/>
                        <wps:cNvSpPr/>
                        <wps:spPr>
                          <a:xfrm>
                            <a:off x="799" y="2738691"/>
                            <a:ext cx="2512481" cy="613949"/>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5FA3E5B" w14:textId="77777777" w:rsidR="000F508F" w:rsidRPr="00304861" w:rsidRDefault="000F508F" w:rsidP="000F508F">
                              <w:pPr>
                                <w:pStyle w:val="afd"/>
                                <w:ind w:left="-57" w:right="-57"/>
                                <w:jc w:val="both"/>
                                <w:rPr>
                                  <w:rFonts w:eastAsia="Calibri"/>
                                  <w:color w:val="000000"/>
                                </w:rPr>
                              </w:pPr>
                              <w:r w:rsidRPr="00304861">
                                <w:rPr>
                                  <w:rFonts w:eastAsia="Calibri"/>
                                  <w:color w:val="000000"/>
                                </w:rPr>
                                <w:t>− кількісні індикатори на основі макроданих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 name="Прямая со стрелкой 136"/>
                        <wps:cNvCnPr/>
                        <wps:spPr>
                          <a:xfrm>
                            <a:off x="2675206" y="2656841"/>
                            <a:ext cx="0" cy="752778"/>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EB85CB9" id="Полотно 247" o:spid="_x0000_s1269" editas="canvas" style="width:467.75pt;height:445.1pt;mso-position-horizontal-relative:char;mso-position-vertical-relative:line" coordsize="59404,56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">
                <v:shape id="_x0000_s1270" type="#_x0000_t75" style="position:absolute;width:59404;height:56521;visibility:visible;mso-wrap-style:square">
                  <v:fill o:detectmouseclick="t"/>
                  <v:path o:connecttype="none"/>
                </v:shape>
                <v:roundrect id="Скругленный прямоугольник 104" o:spid="_x0000_s1271" style="position:absolute;left:5833;top:38061;width:53506;height:14326;visibility:visible;mso-wrap-style:square;v-text-anchor:middle" arcsize="998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" fillcolor="#7f7f7f" strokecolor="windowText" strokeweight="1.5pt">
                  <v:fill r:id="rId100" o:title="" color2="window" type="pattern"/>
                  <v:stroke dashstyle="1 1" joinstyle="miter"/>
                  <v:textbox>
                    <w:txbxContent>
                      <w:p w14:paraId="7E11DA2F" w14:textId="77777777" w:rsidR="000F508F" w:rsidRPr="000E0E28" w:rsidRDefault="000F508F" w:rsidP="000F508F">
                        <w:pPr>
                          <w:pStyle w:val="afd"/>
                          <w:ind w:left="-57" w:right="-57"/>
                          <w:jc w:val="center"/>
                          <w:rPr>
                            <w:rFonts w:ascii="Arial Narrow" w:hAnsi="Arial Narrow"/>
                            <w:sz w:val="20"/>
                            <w:szCs w:val="20"/>
                          </w:rPr>
                        </w:pPr>
                        <w:r w:rsidRPr="000E0E28">
                          <w:rPr>
                            <w:rFonts w:ascii="Arial Narrow" w:hAnsi="Arial Narrow"/>
                            <w:sz w:val="20"/>
                            <w:szCs w:val="20"/>
                          </w:rPr>
                          <w:t> </w:t>
                        </w:r>
                      </w:p>
                    </w:txbxContent>
                  </v:textbox>
                </v:roundrect>
                <v:rect id="Прямоугольник 106" o:spid="_x0000_s1272" style="position:absolute;left:5168;top:6;width:13310;height:192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" filled="f" strokecolor="windowText">
                  <v:textbox>
                    <w:txbxContent>
                      <w:p w14:paraId="0DEC3D0E" w14:textId="77777777" w:rsidR="000F508F" w:rsidRPr="00304861" w:rsidRDefault="000F508F" w:rsidP="000F508F">
                        <w:pPr>
                          <w:spacing w:after="0" w:line="240" w:lineRule="auto"/>
                          <w:ind w:left="-57" w:right="-57"/>
                          <w:jc w:val="center"/>
                          <w:rPr>
                            <w:rFonts w:ascii="Times New Roman" w:hAnsi="Times New Roman" w:cs="Times New Roman"/>
                            <w:color w:val="000000"/>
                            <w:sz w:val="24"/>
                            <w:szCs w:val="24"/>
                          </w:rPr>
                        </w:pPr>
                        <w:proofErr w:type="spellStart"/>
                        <w:r w:rsidRPr="00304861">
                          <w:rPr>
                            <w:rFonts w:ascii="Times New Roman" w:hAnsi="Times New Roman" w:cs="Times New Roman"/>
                            <w:color w:val="000000"/>
                            <w:sz w:val="24"/>
                            <w:szCs w:val="24"/>
                          </w:rPr>
                          <w:t>Визначення</w:t>
                        </w:r>
                        <w:proofErr w:type="spellEnd"/>
                        <w:r w:rsidRPr="00304861">
                          <w:rPr>
                            <w:rFonts w:ascii="Times New Roman" w:hAnsi="Times New Roman" w:cs="Times New Roman"/>
                            <w:color w:val="000000"/>
                            <w:sz w:val="24"/>
                            <w:szCs w:val="24"/>
                          </w:rPr>
                          <w:t xml:space="preserve"> </w:t>
                        </w:r>
                        <w:r w:rsidRPr="00304861">
                          <w:rPr>
                            <w:rFonts w:ascii="Times New Roman" w:hAnsi="Times New Roman" w:cs="Times New Roman"/>
                            <w:color w:val="000000"/>
                            <w:sz w:val="24"/>
                            <w:szCs w:val="24"/>
                          </w:rPr>
                          <w:br/>
                        </w:r>
                        <w:proofErr w:type="spellStart"/>
                        <w:r w:rsidRPr="00304861">
                          <w:rPr>
                            <w:rFonts w:ascii="Times New Roman" w:hAnsi="Times New Roman" w:cs="Times New Roman"/>
                            <w:color w:val="000000"/>
                            <w:sz w:val="24"/>
                            <w:szCs w:val="24"/>
                          </w:rPr>
                          <w:t>вимог</w:t>
                        </w:r>
                        <w:proofErr w:type="spellEnd"/>
                        <w:r w:rsidRPr="00304861">
                          <w:rPr>
                            <w:rFonts w:ascii="Times New Roman" w:hAnsi="Times New Roman" w:cs="Times New Roman"/>
                            <w:color w:val="000000"/>
                            <w:sz w:val="24"/>
                            <w:szCs w:val="24"/>
                          </w:rPr>
                          <w:t xml:space="preserve"> до </w:t>
                        </w:r>
                        <w:proofErr w:type="spellStart"/>
                        <w:r w:rsidRPr="00304861">
                          <w:rPr>
                            <w:rFonts w:ascii="Times New Roman" w:hAnsi="Times New Roman" w:cs="Times New Roman"/>
                            <w:color w:val="000000"/>
                            <w:sz w:val="24"/>
                            <w:szCs w:val="24"/>
                          </w:rPr>
                          <w:t>показників</w:t>
                        </w:r>
                        <w:proofErr w:type="spellEnd"/>
                        <w:r w:rsidRPr="00304861">
                          <w:rPr>
                            <w:rFonts w:ascii="Times New Roman" w:hAnsi="Times New Roman" w:cs="Times New Roman"/>
                            <w:color w:val="000000"/>
                            <w:sz w:val="24"/>
                            <w:szCs w:val="24"/>
                          </w:rPr>
                          <w:t xml:space="preserve">, </w:t>
                        </w:r>
                        <w:r w:rsidRPr="00304861">
                          <w:rPr>
                            <w:rFonts w:ascii="Times New Roman" w:hAnsi="Times New Roman" w:cs="Times New Roman"/>
                            <w:color w:val="000000"/>
                            <w:sz w:val="24"/>
                            <w:szCs w:val="24"/>
                          </w:rPr>
                          <w:br/>
                        </w:r>
                        <w:proofErr w:type="spellStart"/>
                        <w:r w:rsidRPr="00304861">
                          <w:rPr>
                            <w:rFonts w:ascii="Times New Roman" w:hAnsi="Times New Roman" w:cs="Times New Roman"/>
                            <w:color w:val="000000"/>
                            <w:sz w:val="24"/>
                            <w:szCs w:val="24"/>
                          </w:rPr>
                          <w:t>що</w:t>
                        </w:r>
                        <w:proofErr w:type="spellEnd"/>
                        <w:r w:rsidRPr="00304861">
                          <w:rPr>
                            <w:rFonts w:ascii="Times New Roman" w:hAnsi="Times New Roman" w:cs="Times New Roman"/>
                            <w:color w:val="000000"/>
                            <w:sz w:val="24"/>
                            <w:szCs w:val="24"/>
                          </w:rPr>
                          <w:t xml:space="preserve"> </w:t>
                        </w:r>
                        <w:proofErr w:type="spellStart"/>
                        <w:r w:rsidRPr="00304861">
                          <w:rPr>
                            <w:rFonts w:ascii="Times New Roman" w:hAnsi="Times New Roman" w:cs="Times New Roman"/>
                            <w:color w:val="000000"/>
                            <w:sz w:val="24"/>
                            <w:szCs w:val="24"/>
                          </w:rPr>
                          <w:t>доцільно</w:t>
                        </w:r>
                        <w:proofErr w:type="spellEnd"/>
                        <w:r w:rsidRPr="00304861">
                          <w:rPr>
                            <w:rFonts w:ascii="Times New Roman" w:hAnsi="Times New Roman" w:cs="Times New Roman"/>
                            <w:color w:val="000000"/>
                            <w:sz w:val="24"/>
                            <w:szCs w:val="24"/>
                          </w:rPr>
                          <w:t xml:space="preserve"> </w:t>
                        </w:r>
                        <w:proofErr w:type="spellStart"/>
                        <w:r w:rsidRPr="00304861">
                          <w:rPr>
                            <w:rFonts w:ascii="Times New Roman" w:hAnsi="Times New Roman" w:cs="Times New Roman"/>
                            <w:color w:val="000000"/>
                            <w:sz w:val="24"/>
                            <w:szCs w:val="24"/>
                          </w:rPr>
                          <w:t>включати</w:t>
                        </w:r>
                        <w:proofErr w:type="spellEnd"/>
                        <w:r w:rsidRPr="00304861">
                          <w:rPr>
                            <w:rFonts w:ascii="Times New Roman" w:hAnsi="Times New Roman" w:cs="Times New Roman"/>
                            <w:color w:val="000000"/>
                            <w:sz w:val="24"/>
                            <w:szCs w:val="24"/>
                          </w:rPr>
                          <w:t xml:space="preserve"> до складу </w:t>
                        </w:r>
                        <w:proofErr w:type="spellStart"/>
                        <w:r w:rsidRPr="00304861">
                          <w:rPr>
                            <w:rFonts w:ascii="Times New Roman" w:hAnsi="Times New Roman" w:cs="Times New Roman"/>
                            <w:color w:val="000000"/>
                            <w:sz w:val="24"/>
                            <w:szCs w:val="24"/>
                          </w:rPr>
                          <w:t>моделі</w:t>
                        </w:r>
                        <w:proofErr w:type="spellEnd"/>
                        <w:r>
                          <w:rPr>
                            <w:rFonts w:ascii="Times New Roman" w:hAnsi="Times New Roman" w:cs="Times New Roman"/>
                            <w:color w:val="000000"/>
                            <w:sz w:val="24"/>
                            <w:szCs w:val="24"/>
                          </w:rPr>
                          <w:t xml:space="preserve"> </w:t>
                        </w:r>
                      </w:p>
                    </w:txbxContent>
                  </v:textbox>
                </v:rect>
                <v:rect id="Прямоугольник 107" o:spid="_x0000_s1273" style="position:absolute;left:33109;top:21168;width:25969;height:52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" fillcolor="window" strokecolor="windowText">
                  <v:textbox>
                    <w:txbxContent>
                      <w:p w14:paraId="3AEEFEDA" w14:textId="77777777" w:rsidR="000F508F" w:rsidRPr="00304861" w:rsidRDefault="000F508F" w:rsidP="000F508F">
                        <w:pPr>
                          <w:pStyle w:val="afd"/>
                          <w:ind w:left="-170" w:right="-170"/>
                          <w:jc w:val="center"/>
                          <w:rPr>
                            <w:rFonts w:eastAsia="Calibri"/>
                            <w:color w:val="000000"/>
                          </w:rPr>
                        </w:pPr>
                        <w:r w:rsidRPr="00304861">
                          <w:rPr>
                            <w:rFonts w:eastAsia="Calibri"/>
                            <w:color w:val="000000"/>
                          </w:rPr>
                          <w:t xml:space="preserve">Визначення складу показників, </w:t>
                        </w:r>
                        <w:r w:rsidRPr="00304861">
                          <w:rPr>
                            <w:rFonts w:eastAsia="Calibri"/>
                            <w:color w:val="000000"/>
                          </w:rPr>
                          <w:br/>
                          <w:t xml:space="preserve">що характеризують </w:t>
                        </w:r>
                        <w:r>
                          <w:rPr>
                            <w:rFonts w:eastAsia="Calibri"/>
                            <w:color w:val="000000"/>
                          </w:rPr>
                          <w:t>ФСБ</w:t>
                        </w:r>
                        <w:r w:rsidRPr="00304861">
                          <w:rPr>
                            <w:rFonts w:eastAsia="Calibri"/>
                            <w:color w:val="000000"/>
                          </w:rPr>
                          <w:t xml:space="preserve"> (</w:t>
                        </w:r>
                        <w:r w:rsidRPr="00304861">
                          <w:rPr>
                            <w:rFonts w:eastAsia="Calibri"/>
                            <w:i/>
                            <w:color w:val="000000"/>
                          </w:rPr>
                          <w:t>У</w:t>
                        </w:r>
                        <w:r w:rsidRPr="00304861">
                          <w:rPr>
                            <w:rFonts w:eastAsia="Calibri"/>
                            <w:color w:val="000000"/>
                          </w:rPr>
                          <w:t xml:space="preserve">) </w:t>
                        </w:r>
                      </w:p>
                    </w:txbxContent>
                  </v:textbox>
                </v:rect>
                <v:rect id="Прямоугольник 108" o:spid="_x0000_s1274" style="position:absolute;top:21121;width:22846;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" fillcolor="window" strokecolor="windowText">
                  <v:textbox>
                    <w:txbxContent>
                      <w:p w14:paraId="7DB3D6F2" w14:textId="77777777" w:rsidR="000F508F" w:rsidRPr="00304861" w:rsidRDefault="000F508F" w:rsidP="000F508F">
                        <w:pPr>
                          <w:pStyle w:val="afd"/>
                          <w:spacing w:line="192" w:lineRule="auto"/>
                          <w:ind w:left="-57" w:right="-57"/>
                          <w:jc w:val="center"/>
                        </w:pPr>
                        <w:r w:rsidRPr="00304861">
                          <w:rPr>
                            <w:rFonts w:eastAsia="Calibri"/>
                            <w:color w:val="000000"/>
                          </w:rPr>
                          <w:t xml:space="preserve">Визначення складу показників, що можуть виступати як </w:t>
                        </w:r>
                        <w:proofErr w:type="spellStart"/>
                        <w:r>
                          <w:rPr>
                            <w:rFonts w:eastAsia="Calibri"/>
                            <w:color w:val="000000"/>
                          </w:rPr>
                          <w:t>макроіндикатори</w:t>
                        </w:r>
                        <w:proofErr w:type="spellEnd"/>
                        <w:r w:rsidRPr="00304861">
                          <w:rPr>
                            <w:rFonts w:eastAsia="Calibri"/>
                            <w:color w:val="000000"/>
                          </w:rPr>
                          <w:t xml:space="preserve"> Х</w:t>
                        </w:r>
                      </w:p>
                    </w:txbxContent>
                  </v:textbox>
                </v:rect>
                <v:rect id="Прямоугольник 110" o:spid="_x0000_s1275" style="position:absolute;top:53181;width:59078;height:29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" filled="f" strokecolor="windowText">
                  <v:textbox>
                    <w:txbxContent>
                      <w:p w14:paraId="7749F560" w14:textId="77777777" w:rsidR="000F508F" w:rsidRPr="00304861" w:rsidRDefault="000F508F" w:rsidP="000F508F">
                        <w:pPr>
                          <w:pStyle w:val="afd"/>
                          <w:ind w:left="-57" w:right="-57"/>
                          <w:jc w:val="center"/>
                        </w:pPr>
                        <w:r w:rsidRPr="00304861">
                          <w:rPr>
                            <w:rFonts w:eastAsia="Calibri"/>
                            <w:color w:val="000000"/>
                          </w:rPr>
                          <w:t>Формування висновків за результатами аналізу</w:t>
                        </w:r>
                      </w:p>
                    </w:txbxContent>
                  </v:textbox>
                </v:rect>
                <v:roundrect id="Скругленный прямоугольник 115" o:spid="_x0000_s1276" style="position:absolute;top:6;width:5907;height:19221;visibility:visible;mso-wrap-style:square;v-text-anchor:middle" arcsize="4748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" fillcolor="window" strokecolor="windowText" strokeweight="1.5pt">
                  <v:stroke joinstyle="miter"/>
                  <v:textbox>
                    <w:txbxContent>
                      <w:p w14:paraId="6B5760A1" w14:textId="77777777" w:rsidR="000F508F" w:rsidRPr="00304861" w:rsidRDefault="000F508F" w:rsidP="000F508F">
                        <w:pPr>
                          <w:spacing w:after="0" w:line="240" w:lineRule="auto"/>
                          <w:ind w:left="-57" w:right="-57"/>
                          <w:jc w:val="center"/>
                          <w:rPr>
                            <w:rFonts w:ascii="Times New Roman" w:hAnsi="Times New Roman" w:cs="Times New Roman"/>
                            <w:color w:val="000000"/>
                            <w:sz w:val="24"/>
                            <w:szCs w:val="24"/>
                          </w:rPr>
                        </w:pPr>
                        <w:proofErr w:type="spellStart"/>
                        <w:r w:rsidRPr="00304861">
                          <w:rPr>
                            <w:rFonts w:ascii="Times New Roman" w:hAnsi="Times New Roman" w:cs="Times New Roman"/>
                            <w:color w:val="000000"/>
                            <w:sz w:val="24"/>
                            <w:szCs w:val="24"/>
                          </w:rPr>
                          <w:t>Етап</w:t>
                        </w:r>
                        <w:proofErr w:type="spellEnd"/>
                        <w:r w:rsidRPr="00304861">
                          <w:rPr>
                            <w:rFonts w:ascii="Times New Roman" w:hAnsi="Times New Roman" w:cs="Times New Roman"/>
                            <w:color w:val="000000"/>
                            <w:sz w:val="24"/>
                            <w:szCs w:val="24"/>
                          </w:rPr>
                          <w:t xml:space="preserve"> 1</w:t>
                        </w:r>
                      </w:p>
                    </w:txbxContent>
                  </v:textbox>
                </v:roundrect>
                <v:roundrect id="Скругленный прямоугольник 117" o:spid="_x0000_s1277" style="position:absolute;left:22846;top:21151;width:4533;height:5378;visibility:visible;mso-wrap-style:square;v-text-anchor:middle" arcsize="5637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" fillcolor="window" strokecolor="windowText" strokeweight="1.5pt">
                  <v:stroke joinstyle="miter"/>
                  <v:textbox>
                    <w:txbxContent>
                      <w:p w14:paraId="1222EAF7" w14:textId="77777777" w:rsidR="000F508F" w:rsidRPr="00304861" w:rsidRDefault="000F508F" w:rsidP="000F508F">
                        <w:pPr>
                          <w:pStyle w:val="afd"/>
                          <w:ind w:left="-57" w:right="-113"/>
                          <w:jc w:val="center"/>
                        </w:pPr>
                        <w:r w:rsidRPr="00304861">
                          <w:rPr>
                            <w:rFonts w:eastAsia="Calibri"/>
                            <w:color w:val="000000"/>
                          </w:rPr>
                          <w:t>Етап 2</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19" o:spid="_x0000_s1278" type="#_x0000_t13" style="position:absolute;left:18417;top:8684;width:795;height:28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" adj="10800" filled="f" strokecolor="windowText"/>
                <v:shape id="Стрелка вниз 122" o:spid="_x0000_s1279" type="#_x0000_t67" style="position:absolute;left:11768;top:26434;width:6758;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" adj="10800" fillcolor="window" strokecolor="windowText"/>
                <v:rect id="Прямоугольник 124" o:spid="_x0000_s1280" style="position:absolute;left:33109;top:27422;width:25924;height:66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" fillcolor="window" strokecolor="windowText">
                  <v:stroke dashstyle="dash"/>
                  <v:textbox>
                    <w:txbxContent>
                      <w:p w14:paraId="609CBD8D" w14:textId="77777777" w:rsidR="000F508F" w:rsidRPr="000E0E28" w:rsidRDefault="000F508F" w:rsidP="000F508F">
                        <w:pPr>
                          <w:pStyle w:val="afd"/>
                          <w:ind w:left="-57" w:right="-57"/>
                          <w:rPr>
                            <w:rFonts w:ascii="Arial Narrow" w:hAnsi="Arial Narrow"/>
                            <w:sz w:val="20"/>
                            <w:szCs w:val="20"/>
                          </w:rPr>
                        </w:pPr>
                        <w:r w:rsidRPr="000E0E28">
                          <w:rPr>
                            <w:rFonts w:ascii="Arial Narrow" w:hAnsi="Arial Narrow"/>
                            <w:sz w:val="20"/>
                            <w:szCs w:val="20"/>
                          </w:rPr>
                          <w:t> </w:t>
                        </w:r>
                      </w:p>
                    </w:txbxContent>
                  </v:textbox>
                </v:rect>
                <v:shape id="Стрелка вниз 544" o:spid="_x0000_s1281" type="#_x0000_t67" style="position:absolute;left:45532;top:26458;width:6756;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" adj="10800" fillcolor="window" strokecolor="windowText">
                  <v:textbox>
                    <w:txbxContent>
                      <w:p w14:paraId="7820B06C" w14:textId="77777777" w:rsidR="000F508F" w:rsidRPr="000E0E28" w:rsidRDefault="000F508F" w:rsidP="000F508F">
                        <w:pPr>
                          <w:spacing w:after="0" w:line="240" w:lineRule="auto"/>
                          <w:ind w:left="-57" w:right="-57"/>
                          <w:rPr>
                            <w:rFonts w:ascii="Arial Narrow" w:hAnsi="Arial Narrow"/>
                            <w:sz w:val="20"/>
                            <w:szCs w:val="20"/>
                          </w:rPr>
                        </w:pPr>
                      </w:p>
                    </w:txbxContent>
                  </v:textbox>
                </v:shape>
                <v:rect id="Прямоугольник 545" o:spid="_x0000_s1282" style="position:absolute;left:34099;top:27706;width:24184;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" filled="f" stroked="f">
                  <v:textbox>
                    <w:txbxContent>
                      <w:p w14:paraId="191D1626" w14:textId="77777777" w:rsidR="000F508F" w:rsidRPr="00304861" w:rsidRDefault="000F508F" w:rsidP="000F508F">
                        <w:pPr>
                          <w:pStyle w:val="afd"/>
                          <w:ind w:left="-57" w:right="-57"/>
                          <w:rPr>
                            <w:rFonts w:eastAsia="Calibri"/>
                            <w:color w:val="000000"/>
                          </w:rPr>
                        </w:pPr>
                        <w:r w:rsidRPr="00304861">
                          <w:rPr>
                            <w:rFonts w:eastAsia="Calibri"/>
                            <w:color w:val="000000"/>
                          </w:rPr>
                          <w:t>− Z-показник</w:t>
                        </w:r>
                      </w:p>
                    </w:txbxContent>
                  </v:textbox>
                </v:rect>
                <v:roundrect id="Скругленный прямоугольник 547" o:spid="_x0000_s1283" style="position:absolute;left:28789;top:21168;width:4320;height:5400;visibility:visible;mso-wrap-style:square;v-text-anchor:middle" arcsize="368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" fillcolor="window" strokecolor="windowText" strokeweight="1.5pt">
                  <v:stroke joinstyle="miter"/>
                  <v:textbox>
                    <w:txbxContent>
                      <w:p w14:paraId="0BE76D79" w14:textId="77777777" w:rsidR="000F508F" w:rsidRPr="00304861" w:rsidRDefault="000F508F" w:rsidP="000F508F">
                        <w:pPr>
                          <w:pStyle w:val="afd"/>
                          <w:ind w:left="-113" w:right="-113"/>
                          <w:jc w:val="center"/>
                        </w:pPr>
                        <w:r w:rsidRPr="00304861">
                          <w:rPr>
                            <w:rFonts w:eastAsia="Calibri"/>
                            <w:color w:val="000000"/>
                          </w:rPr>
                          <w:t>Етап 3</w:t>
                        </w:r>
                      </w:p>
                    </w:txbxContent>
                  </v:textbox>
                </v:roundrect>
                <v:line id="Прямая соединительная линия 548" o:spid="_x0000_s1284" style="position:absolute;visibility:visible;mso-wrap-style:square" from="2862,19704" to="25132,198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" strokecolor="windowText" strokeweight=".5pt">
                  <v:stroke joinstyle="miter"/>
                </v:line>
                <v:line id="Прямая соединительная линия 550" o:spid="_x0000_s1285" style="position:absolute;flip:y;visibility:visible;mso-wrap-style:square" from="2862,19229" to="2862,197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" strokecolor="windowText" strokeweight=".5pt">
                  <v:stroke joinstyle="miter"/>
                </v:line>
                <v:shape id="Прямая со стрелкой 557" o:spid="_x0000_s1286" type="#_x0000_t32" style="position:absolute;left:25132;top:19838;width:0;height:13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" strokecolor="windowText" strokeweight=".5pt">
                  <v:stroke endarrow="block" joinstyle="miter"/>
                </v:shape>
                <v:line id="Прямая соединительная линия 558" o:spid="_x0000_s1287" style="position:absolute;flip:x;visibility:visible;mso-wrap-style:square" from="2814,34095" to="30949,34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" strokecolor="windowText" strokeweight=".5pt">
                  <v:stroke joinstyle="miter"/>
                </v:line>
                <v:rect id="Прямоугольник 559" o:spid="_x0000_s1288" style="position:absolute;left:5168;top:34961;width:54236;height:3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" filled="f" strokecolor="windowText">
                  <v:textbox>
                    <w:txbxContent>
                      <w:p w14:paraId="485F813D" w14:textId="77777777" w:rsidR="000F508F" w:rsidRPr="00304861" w:rsidRDefault="000F508F" w:rsidP="000F508F">
                        <w:pPr>
                          <w:pStyle w:val="afd"/>
                          <w:ind w:left="-57" w:right="-57"/>
                          <w:jc w:val="center"/>
                        </w:pPr>
                        <w:r w:rsidRPr="00304861">
                          <w:rPr>
                            <w:rFonts w:eastAsia="Calibri"/>
                            <w:color w:val="000000"/>
                          </w:rPr>
                          <w:t>Визначення впливу невизначеності на показники функціонування банків</w:t>
                        </w:r>
                      </w:p>
                    </w:txbxContent>
                  </v:textbox>
                </v:rect>
                <v:roundrect id="Скругленный прямоугольник 560" o:spid="_x0000_s1289" style="position:absolute;top:35052;width:5905;height:4098;visibility:visible;mso-wrap-style:square;v-text-anchor:middle" arcsize="689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" fillcolor="window" strokecolor="windowText" strokeweight="1.5pt">
                  <v:stroke joinstyle="miter"/>
                  <v:textbox>
                    <w:txbxContent>
                      <w:p w14:paraId="12EDE98A" w14:textId="77777777" w:rsidR="000F508F" w:rsidRPr="00304861" w:rsidRDefault="000F508F" w:rsidP="000F508F">
                        <w:pPr>
                          <w:pStyle w:val="afd"/>
                          <w:ind w:left="-57" w:right="-57"/>
                          <w:jc w:val="center"/>
                        </w:pPr>
                        <w:r w:rsidRPr="00304861">
                          <w:rPr>
                            <w:rFonts w:eastAsia="Calibri"/>
                            <w:color w:val="000000"/>
                          </w:rPr>
                          <w:t>Етап 4</w:t>
                        </w:r>
                      </w:p>
                    </w:txbxContent>
                  </v:textbox>
                </v:roundrect>
                <v:shape id="Прямая со стрелкой 561" o:spid="_x0000_s1290" type="#_x0000_t32" style="position:absolute;left:2862;top:34096;width:0;height:8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" strokecolor="windowText" strokeweight=".5pt">
                  <v:stroke endarrow="block" joinstyle="miter"/>
                </v:shape>
                <v:roundrect id="Скругленный прямоугольник 562" o:spid="_x0000_s1291" style="position:absolute;top:53240;width:6370;height:2934;visibility:visible;mso-wrap-style:square;v-text-anchor:middle" arcsize="4927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" fillcolor="window" strokecolor="windowText" strokeweight="1.5pt">
                  <v:stroke joinstyle="miter"/>
                  <v:textbox>
                    <w:txbxContent>
                      <w:p w14:paraId="4C250795" w14:textId="77777777" w:rsidR="000F508F" w:rsidRPr="00304861" w:rsidRDefault="000F508F" w:rsidP="000F508F">
                        <w:pPr>
                          <w:pStyle w:val="afd"/>
                          <w:ind w:left="-57" w:right="-57"/>
                          <w:jc w:val="center"/>
                        </w:pPr>
                        <w:r w:rsidRPr="00304861">
                          <w:rPr>
                            <w:rFonts w:eastAsia="Calibri"/>
                            <w:color w:val="000000"/>
                          </w:rPr>
                          <w:t>Етап 5</w:t>
                        </w:r>
                      </w:p>
                    </w:txbxContent>
                  </v:textbox>
                </v:roundrect>
                <v:shape id="Прямая со стрелкой 563" o:spid="_x0000_s1292" type="#_x0000_t32" style="position:absolute;left:2862;top:39147;width:90;height:1402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" strokecolor="windowText" strokeweight=".5pt">
                  <v:stroke endarrow="block" joinstyle="miter"/>
                </v:shape>
                <v:line id="Прямая соединительная линия 564" o:spid="_x0000_s1293" style="position:absolute;visibility:visible;mso-wrap-style:square" from="2828,39821" to="5833,39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" strokecolor="windowText" strokeweight=".5pt">
                  <v:stroke startarrow="oval" startarrowwidth="narrow" startarrowlength="short" joinstyle="miter"/>
                </v:line>
                <v:oval id="Овал 565" o:spid="_x0000_s1294" style="position:absolute;left:5404;top:39309;width:1019;height:10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" fillcolor="#7f7f7f" strokecolor="windowText">
                  <v:stroke joinstyle="miter"/>
                </v:oval>
                <v:rect id="Прямоугольник 566" o:spid="_x0000_s1295" style="position:absolute;left:13485;top:39153;width:44798;height:3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" fillcolor="window" strokecolor="windowText">
                  <v:textbox>
                    <w:txbxContent>
                      <w:p w14:paraId="43A0BEAA" w14:textId="77777777" w:rsidR="000F508F" w:rsidRPr="00304861" w:rsidRDefault="000F508F" w:rsidP="000F508F">
                        <w:pPr>
                          <w:pStyle w:val="afd"/>
                          <w:ind w:left="-113" w:right="-113"/>
                          <w:jc w:val="center"/>
                        </w:pPr>
                        <w:r>
                          <w:rPr>
                            <w:rFonts w:eastAsia="Calibri"/>
                            <w:color w:val="000000"/>
                          </w:rPr>
                          <w:t>В</w:t>
                        </w:r>
                        <w:r w:rsidRPr="00304861">
                          <w:rPr>
                            <w:rFonts w:eastAsia="Calibri"/>
                            <w:color w:val="000000"/>
                          </w:rPr>
                          <w:t>ибірк</w:t>
                        </w:r>
                        <w:r>
                          <w:rPr>
                            <w:rFonts w:eastAsia="Calibri"/>
                            <w:color w:val="000000"/>
                          </w:rPr>
                          <w:t>а</w:t>
                        </w:r>
                        <w:r w:rsidRPr="00304861">
                          <w:rPr>
                            <w:rFonts w:eastAsia="Calibri"/>
                            <w:color w:val="000000"/>
                          </w:rPr>
                          <w:t xml:space="preserve"> </w:t>
                        </w:r>
                        <w:r w:rsidRPr="00304861">
                          <w:rPr>
                            <w:rFonts w:eastAsia="Calibri"/>
                            <w:i/>
                            <w:color w:val="000000"/>
                          </w:rPr>
                          <w:t>Х</w:t>
                        </w:r>
                        <w:r w:rsidRPr="00304861">
                          <w:rPr>
                            <w:rFonts w:eastAsia="Calibri"/>
                            <w:color w:val="000000"/>
                          </w:rPr>
                          <w:t xml:space="preserve">: </w:t>
                        </w:r>
                        <w:r w:rsidRPr="00304861">
                          <w:rPr>
                            <w:rFonts w:eastAsia="Calibri"/>
                            <w:i/>
                            <w:color w:val="000000"/>
                          </w:rPr>
                          <w:t>Х</w:t>
                        </w:r>
                        <w:r w:rsidRPr="00304861">
                          <w:rPr>
                            <w:rFonts w:eastAsia="Calibri"/>
                            <w:color w:val="000000"/>
                          </w:rPr>
                          <w:t xml:space="preserve"> = (</w:t>
                        </w:r>
                        <w:r w:rsidRPr="00304861">
                          <w:rPr>
                            <w:rFonts w:eastAsia="Calibri"/>
                            <w:i/>
                            <w:color w:val="000000"/>
                          </w:rPr>
                          <w:t>x</w:t>
                        </w:r>
                        <w:r w:rsidRPr="00304861">
                          <w:rPr>
                            <w:rFonts w:eastAsia="Calibri"/>
                            <w:color w:val="000000"/>
                            <w:vertAlign w:val="subscript"/>
                          </w:rPr>
                          <w:t>1</w:t>
                        </w:r>
                        <w:r w:rsidRPr="00304861">
                          <w:rPr>
                            <w:rFonts w:eastAsia="Calibri"/>
                            <w:color w:val="000000"/>
                          </w:rPr>
                          <w:t xml:space="preserve">, …, </w:t>
                        </w:r>
                        <w:proofErr w:type="spellStart"/>
                        <w:r w:rsidRPr="00304861">
                          <w:rPr>
                            <w:rFonts w:eastAsia="Calibri"/>
                            <w:i/>
                            <w:color w:val="000000"/>
                          </w:rPr>
                          <w:t>x</w:t>
                        </w:r>
                        <w:r w:rsidRPr="00304861">
                          <w:rPr>
                            <w:rFonts w:eastAsia="Calibri"/>
                            <w:i/>
                            <w:color w:val="000000"/>
                            <w:vertAlign w:val="subscript"/>
                          </w:rPr>
                          <w:t>m</w:t>
                        </w:r>
                        <w:proofErr w:type="spellEnd"/>
                        <w:r w:rsidRPr="00304861">
                          <w:rPr>
                            <w:rFonts w:eastAsia="Calibri"/>
                            <w:i/>
                            <w:color w:val="000000"/>
                            <w:vertAlign w:val="subscript"/>
                          </w:rPr>
                          <w:t>-n</w:t>
                        </w:r>
                        <w:r w:rsidRPr="00304861">
                          <w:rPr>
                            <w:rFonts w:eastAsia="Calibri"/>
                            <w:color w:val="000000"/>
                          </w:rPr>
                          <w:t xml:space="preserve">) – обрані </w:t>
                        </w:r>
                        <w:proofErr w:type="spellStart"/>
                        <w:r w:rsidRPr="00304861">
                          <w:rPr>
                            <w:rFonts w:eastAsia="Calibri"/>
                            <w:color w:val="000000"/>
                          </w:rPr>
                          <w:t>макроіндикатори</w:t>
                        </w:r>
                        <w:proofErr w:type="spellEnd"/>
                        <w:r w:rsidRPr="00304861">
                          <w:rPr>
                            <w:rFonts w:eastAsia="Calibri"/>
                            <w:color w:val="000000"/>
                          </w:rPr>
                          <w:t xml:space="preserve"> </w:t>
                        </w:r>
                      </w:p>
                    </w:txbxContent>
                  </v:textbox>
                </v:rect>
                <v:roundrect id="Скругленный прямоугольник 567" o:spid="_x0000_s1296" style="position:absolute;left:8281;top:39206;width:7300;height:3566;visibility:visible;mso-wrap-style:square;v-text-anchor:middle" arcsize="689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" fillcolor="window" strokecolor="windowText" strokeweight="1.5pt">
                  <v:stroke joinstyle="miter"/>
                  <v:textbox>
                    <w:txbxContent>
                      <w:p w14:paraId="08BF49F1" w14:textId="77777777" w:rsidR="000F508F" w:rsidRPr="00304861" w:rsidRDefault="000F508F" w:rsidP="000F508F">
                        <w:pPr>
                          <w:pStyle w:val="afd"/>
                          <w:ind w:left="-57" w:right="-57"/>
                          <w:jc w:val="center"/>
                          <w:rPr>
                            <w:rFonts w:eastAsia="Calibri"/>
                            <w:color w:val="000000"/>
                          </w:rPr>
                        </w:pPr>
                        <w:r w:rsidRPr="00304861">
                          <w:rPr>
                            <w:rFonts w:eastAsia="Calibri"/>
                            <w:color w:val="000000"/>
                          </w:rPr>
                          <w:t>Етап 4.1</w:t>
                        </w:r>
                      </w:p>
                    </w:txbxContent>
                  </v:textbox>
                </v:roundrect>
                <v:rect id="Прямоугольник 568" o:spid="_x0000_s1297" style="position:absolute;left:15107;top:43394;width:43168;height:36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" fillcolor="window" strokecolor="windowText">
                  <v:textbox>
                    <w:txbxContent>
                      <w:p w14:paraId="2D844F49" w14:textId="77777777" w:rsidR="000F508F" w:rsidRPr="00304861" w:rsidRDefault="000F508F" w:rsidP="000F508F">
                        <w:pPr>
                          <w:pStyle w:val="afd"/>
                          <w:ind w:left="-57" w:right="-57"/>
                          <w:jc w:val="center"/>
                        </w:pPr>
                        <w:r>
                          <w:rPr>
                            <w:rFonts w:eastAsia="Calibri"/>
                            <w:color w:val="000000"/>
                          </w:rPr>
                          <w:t>Вибірка</w:t>
                        </w:r>
                        <w:r w:rsidRPr="00304861">
                          <w:rPr>
                            <w:rFonts w:eastAsia="Calibri"/>
                            <w:color w:val="000000"/>
                          </w:rPr>
                          <w:t xml:space="preserve"> </w:t>
                        </w:r>
                        <w:r w:rsidRPr="00304861">
                          <w:rPr>
                            <w:rFonts w:eastAsia="Calibri"/>
                            <w:i/>
                            <w:iCs/>
                            <w:color w:val="000000"/>
                          </w:rPr>
                          <w:t>Y</w:t>
                        </w:r>
                        <w:r w:rsidRPr="00304861">
                          <w:rPr>
                            <w:rFonts w:eastAsia="Calibri"/>
                            <w:color w:val="000000"/>
                          </w:rPr>
                          <w:t>: (</w:t>
                        </w:r>
                        <w:r w:rsidRPr="00304861">
                          <w:rPr>
                            <w:rFonts w:eastAsia="Calibri"/>
                            <w:i/>
                            <w:iCs/>
                            <w:color w:val="000000"/>
                          </w:rPr>
                          <w:t>Y</w:t>
                        </w:r>
                        <w:r w:rsidRPr="00304861">
                          <w:rPr>
                            <w:rFonts w:eastAsia="Calibri"/>
                            <w:color w:val="000000"/>
                          </w:rPr>
                          <w:t xml:space="preserve"> = </w:t>
                        </w:r>
                        <w:proofErr w:type="spellStart"/>
                        <w:r w:rsidRPr="00304861">
                          <w:rPr>
                            <w:rFonts w:eastAsia="Calibri"/>
                            <w:i/>
                            <w:color w:val="000000"/>
                          </w:rPr>
                          <w:t>y</w:t>
                        </w:r>
                        <w:r w:rsidRPr="00304861">
                          <w:rPr>
                            <w:rFonts w:eastAsia="Calibri"/>
                            <w:i/>
                            <w:color w:val="000000"/>
                            <w:vertAlign w:val="subscript"/>
                          </w:rPr>
                          <w:t>n</w:t>
                        </w:r>
                        <w:proofErr w:type="spellEnd"/>
                        <w:r w:rsidRPr="00304861">
                          <w:rPr>
                            <w:rFonts w:eastAsia="Calibri"/>
                            <w:color w:val="000000"/>
                          </w:rPr>
                          <w:t xml:space="preserve">, </w:t>
                        </w:r>
                        <w:r w:rsidRPr="00304861">
                          <w:rPr>
                            <w:rFonts w:eastAsia="Calibri"/>
                            <w:i/>
                            <w:color w:val="000000"/>
                          </w:rPr>
                          <w:t>y</w:t>
                        </w:r>
                        <w:r w:rsidRPr="00304861">
                          <w:rPr>
                            <w:rFonts w:eastAsia="Calibri"/>
                            <w:i/>
                            <w:color w:val="000000"/>
                            <w:vertAlign w:val="subscript"/>
                          </w:rPr>
                          <w:t>n</w:t>
                        </w:r>
                        <w:r w:rsidRPr="00304861">
                          <w:rPr>
                            <w:rFonts w:eastAsia="Calibri"/>
                            <w:color w:val="000000"/>
                            <w:vertAlign w:val="subscript"/>
                          </w:rPr>
                          <w:t>+1</w:t>
                        </w:r>
                        <w:r w:rsidRPr="00304861">
                          <w:rPr>
                            <w:rFonts w:eastAsia="Calibri"/>
                            <w:color w:val="000000"/>
                          </w:rPr>
                          <w:t xml:space="preserve">, …, </w:t>
                        </w:r>
                        <w:proofErr w:type="spellStart"/>
                        <w:r w:rsidRPr="00304861">
                          <w:rPr>
                            <w:rFonts w:eastAsia="Calibri"/>
                            <w:i/>
                            <w:color w:val="000000"/>
                          </w:rPr>
                          <w:t>y</w:t>
                        </w:r>
                        <w:r w:rsidRPr="00304861">
                          <w:rPr>
                            <w:rFonts w:eastAsia="Calibri"/>
                            <w:i/>
                            <w:color w:val="000000"/>
                            <w:vertAlign w:val="subscript"/>
                          </w:rPr>
                          <w:t>m</w:t>
                        </w:r>
                        <w:proofErr w:type="spellEnd"/>
                        <w:r w:rsidRPr="00304861">
                          <w:rPr>
                            <w:rFonts w:eastAsia="Calibri"/>
                            <w:color w:val="000000"/>
                          </w:rPr>
                          <w:t>) –  Z-показник</w:t>
                        </w:r>
                      </w:p>
                    </w:txbxContent>
                  </v:textbox>
                </v:rect>
                <v:roundrect id="Скругленный прямоугольник 569" o:spid="_x0000_s1298" style="position:absolute;left:8215;top:43397;width:7299;height:3658;visibility:visible;mso-wrap-style:square;v-text-anchor:middle" arcsize="689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" fillcolor="window" strokecolor="windowText" strokeweight="1.5pt">
                  <v:stroke joinstyle="miter"/>
                  <v:textbox>
                    <w:txbxContent>
                      <w:p w14:paraId="47E267DB" w14:textId="77777777" w:rsidR="000F508F" w:rsidRPr="00304861" w:rsidRDefault="000F508F" w:rsidP="000F508F">
                        <w:pPr>
                          <w:pStyle w:val="afd"/>
                          <w:ind w:left="-57" w:right="-57"/>
                          <w:jc w:val="center"/>
                          <w:rPr>
                            <w:rFonts w:eastAsia="Calibri"/>
                            <w:color w:val="000000"/>
                          </w:rPr>
                        </w:pPr>
                        <w:r w:rsidRPr="00304861">
                          <w:rPr>
                            <w:rFonts w:eastAsia="Calibri"/>
                            <w:color w:val="000000"/>
                          </w:rPr>
                          <w:t>Етап 4.2</w:t>
                        </w:r>
                      </w:p>
                    </w:txbxContent>
                  </v:textbox>
                </v:roundrect>
                <v:rect id="Прямоугольник 570" o:spid="_x0000_s1299" style="position:absolute;left:15573;top:47659;width:42702;height:42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" fillcolor="window" strokecolor="windowText">
                  <v:textbox>
                    <w:txbxContent>
                      <w:p w14:paraId="53B70936" w14:textId="77777777" w:rsidR="000F508F" w:rsidRPr="00304861" w:rsidRDefault="000F508F" w:rsidP="000F508F">
                        <w:pPr>
                          <w:pStyle w:val="afd"/>
                          <w:ind w:left="-57" w:right="-57"/>
                          <w:jc w:val="center"/>
                          <w:rPr>
                            <w:rFonts w:eastAsia="Calibri"/>
                            <w:color w:val="000000"/>
                          </w:rPr>
                        </w:pPr>
                        <w:r w:rsidRPr="00304861">
                          <w:rPr>
                            <w:rFonts w:eastAsia="Calibri"/>
                            <w:color w:val="000000"/>
                          </w:rPr>
                          <w:t xml:space="preserve">Статистична обробка показників з метою формалізації впливу </w:t>
                        </w:r>
                        <w:proofErr w:type="spellStart"/>
                        <w:r>
                          <w:rPr>
                            <w:rFonts w:eastAsia="Calibri"/>
                            <w:color w:val="000000"/>
                          </w:rPr>
                          <w:t>макрофакторів</w:t>
                        </w:r>
                        <w:proofErr w:type="spellEnd"/>
                        <w:r w:rsidRPr="00304861">
                          <w:rPr>
                            <w:rFonts w:eastAsia="Calibri"/>
                            <w:color w:val="000000"/>
                          </w:rPr>
                          <w:t xml:space="preserve"> на </w:t>
                        </w:r>
                        <w:r>
                          <w:rPr>
                            <w:rFonts w:eastAsia="Calibri"/>
                            <w:color w:val="000000"/>
                          </w:rPr>
                          <w:t>ФСБ</w:t>
                        </w:r>
                      </w:p>
                    </w:txbxContent>
                  </v:textbox>
                </v:rect>
                <v:roundrect id="Скругленный прямоугольник 571" o:spid="_x0000_s1300" style="position:absolute;left:8281;top:47682;width:7292;height:4229;visibility:visible;mso-wrap-style:square;v-text-anchor:middle" arcsize="2682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" fillcolor="window" strokecolor="windowText" strokeweight="1.5pt">
                  <v:stroke joinstyle="miter"/>
                  <v:textbox>
                    <w:txbxContent>
                      <w:p w14:paraId="2FE92F7D" w14:textId="77777777" w:rsidR="000F508F" w:rsidRPr="00304861" w:rsidRDefault="000F508F" w:rsidP="000F508F">
                        <w:pPr>
                          <w:pStyle w:val="afd"/>
                          <w:ind w:left="-57" w:right="-57"/>
                          <w:jc w:val="center"/>
                          <w:rPr>
                            <w:rFonts w:eastAsia="Calibri"/>
                            <w:color w:val="000000"/>
                          </w:rPr>
                        </w:pPr>
                        <w:r w:rsidRPr="00304861">
                          <w:rPr>
                            <w:rFonts w:eastAsia="Calibri"/>
                            <w:color w:val="000000"/>
                          </w:rPr>
                          <w:t>Етап 4.3</w:t>
                        </w:r>
                      </w:p>
                    </w:txbxContent>
                  </v:textbox>
                </v:roundre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572" o:spid="_x0000_s1301" type="#_x0000_t102" style="position:absolute;left:6876;top:41065;width:1346;height:2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" adj="12394,18074,16200" fillcolor="window" strokecolor="windowText"/>
                <v:shape id="Выгнутая влево стрелка 573" o:spid="_x0000_s1302" type="#_x0000_t102" style="position:absolute;left:6876;top:44824;width:1339;height:57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" adj="17851,20164,16200" fillcolor="window" strokecolor="windowText">
                  <v:textbox>
                    <w:txbxContent>
                      <w:p w14:paraId="1FCFA435" w14:textId="77777777" w:rsidR="000F508F" w:rsidRPr="000E0E28" w:rsidRDefault="000F508F" w:rsidP="000F508F">
                        <w:pPr>
                          <w:spacing w:after="0" w:line="240" w:lineRule="auto"/>
                          <w:ind w:left="-57" w:right="-57"/>
                          <w:rPr>
                            <w:rFonts w:ascii="Arial Narrow" w:hAnsi="Arial Narrow"/>
                            <w:sz w:val="20"/>
                            <w:szCs w:val="20"/>
                          </w:rPr>
                        </w:pP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574" o:spid="_x0000_s1303" type="#_x0000_t69" style="position:absolute;left:27272;top:23810;width:1517;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" adj="8141" fillcolor="windowText" strokeweight="1pt"/>
                <v:line id="Прямая соединительная линия 575" o:spid="_x0000_s1304" style="position:absolute;visibility:visible;mso-wrap-style:square" from="30949,26568" to="30949,34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" strokecolor="windowText" strokeweight=".5pt">
                  <v:stroke joinstyle="miter"/>
                </v:line>
                <v:rect id="Прямоугольник 128" o:spid="_x0000_s1305" style="position:absolute;left:19321;top:7;width:39712;height:19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" fillcolor="window" strokecolor="windowText" strokeweight="1pt">
                  <v:textbox>
                    <w:txbxContent>
                      <w:p w14:paraId="7BDB37E7" w14:textId="77777777" w:rsidR="000F508F" w:rsidRPr="00304861" w:rsidRDefault="000F508F" w:rsidP="000F508F">
                        <w:pPr>
                          <w:spacing w:after="0" w:line="240" w:lineRule="auto"/>
                          <w:ind w:left="-113" w:right="-113"/>
                          <w:jc w:val="both"/>
                          <w:rPr>
                            <w:rFonts w:ascii="Times New Roman" w:hAnsi="Times New Roman" w:cs="Times New Roman"/>
                            <w:sz w:val="24"/>
                            <w:szCs w:val="24"/>
                          </w:rPr>
                        </w:pPr>
                        <w:proofErr w:type="spellStart"/>
                        <w:r w:rsidRPr="00304861">
                          <w:rPr>
                            <w:rFonts w:ascii="Times New Roman" w:hAnsi="Times New Roman" w:cs="Times New Roman"/>
                            <w:sz w:val="24"/>
                            <w:szCs w:val="24"/>
                          </w:rPr>
                          <w:t>відповідність</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процесам</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що</w:t>
                        </w:r>
                        <w:proofErr w:type="spellEnd"/>
                        <w:r w:rsidRPr="00304861">
                          <w:rPr>
                            <w:rFonts w:ascii="Times New Roman" w:hAnsi="Times New Roman" w:cs="Times New Roman"/>
                            <w:sz w:val="24"/>
                            <w:szCs w:val="24"/>
                          </w:rPr>
                          <w:t xml:space="preserve"> вони </w:t>
                        </w:r>
                        <w:proofErr w:type="spellStart"/>
                        <w:r w:rsidRPr="00304861">
                          <w:rPr>
                            <w:rFonts w:ascii="Times New Roman" w:hAnsi="Times New Roman" w:cs="Times New Roman"/>
                            <w:sz w:val="24"/>
                            <w:szCs w:val="24"/>
                          </w:rPr>
                          <w:t>описують</w:t>
                        </w:r>
                        <w:proofErr w:type="spellEnd"/>
                        <w:r>
                          <w:rPr>
                            <w:rFonts w:ascii="Times New Roman" w:hAnsi="Times New Roman" w:cs="Times New Roman"/>
                            <w:sz w:val="24"/>
                            <w:szCs w:val="24"/>
                          </w:rPr>
                          <w:t>;</w:t>
                        </w:r>
                      </w:p>
                      <w:p w14:paraId="23FC9108" w14:textId="77777777" w:rsidR="000F508F" w:rsidRPr="00304861" w:rsidRDefault="000F508F" w:rsidP="000F508F">
                        <w:pPr>
                          <w:spacing w:after="0" w:line="240" w:lineRule="auto"/>
                          <w:ind w:left="-113" w:right="-113"/>
                          <w:jc w:val="both"/>
                          <w:rPr>
                            <w:rFonts w:ascii="Times New Roman" w:hAnsi="Times New Roman" w:cs="Times New Roman"/>
                            <w:sz w:val="24"/>
                            <w:szCs w:val="24"/>
                          </w:rPr>
                        </w:pPr>
                        <w:proofErr w:type="spellStart"/>
                        <w:r w:rsidRPr="00304861">
                          <w:rPr>
                            <w:rFonts w:ascii="Times New Roman" w:hAnsi="Times New Roman" w:cs="Times New Roman"/>
                            <w:sz w:val="24"/>
                            <w:szCs w:val="24"/>
                          </w:rPr>
                          <w:t>орієнтованість</w:t>
                        </w:r>
                        <w:proofErr w:type="spellEnd"/>
                        <w:r w:rsidRPr="00304861">
                          <w:rPr>
                            <w:rFonts w:ascii="Times New Roman" w:hAnsi="Times New Roman" w:cs="Times New Roman"/>
                            <w:sz w:val="24"/>
                            <w:szCs w:val="24"/>
                          </w:rPr>
                          <w:t xml:space="preserve"> на </w:t>
                        </w:r>
                        <w:proofErr w:type="spellStart"/>
                        <w:r w:rsidRPr="00304861">
                          <w:rPr>
                            <w:rFonts w:ascii="Times New Roman" w:hAnsi="Times New Roman" w:cs="Times New Roman"/>
                            <w:sz w:val="24"/>
                            <w:szCs w:val="24"/>
                          </w:rPr>
                          <w:t>майбутнє</w:t>
                        </w:r>
                        <w:proofErr w:type="spellEnd"/>
                        <w:r w:rsidRPr="00304861">
                          <w:rPr>
                            <w:rFonts w:ascii="Times New Roman" w:hAnsi="Times New Roman" w:cs="Times New Roman"/>
                            <w:sz w:val="24"/>
                            <w:szCs w:val="24"/>
                          </w:rPr>
                          <w:t xml:space="preserve"> та </w:t>
                        </w:r>
                        <w:proofErr w:type="spellStart"/>
                        <w:r w:rsidRPr="00304861">
                          <w:rPr>
                            <w:rFonts w:ascii="Times New Roman" w:hAnsi="Times New Roman" w:cs="Times New Roman"/>
                            <w:sz w:val="24"/>
                            <w:szCs w:val="24"/>
                          </w:rPr>
                          <w:t>доступність</w:t>
                        </w:r>
                        <w:proofErr w:type="spellEnd"/>
                        <w:r w:rsidRPr="00304861">
                          <w:rPr>
                            <w:rFonts w:ascii="Times New Roman" w:hAnsi="Times New Roman" w:cs="Times New Roman"/>
                            <w:sz w:val="24"/>
                            <w:szCs w:val="24"/>
                          </w:rPr>
                          <w:t xml:space="preserve"> в </w:t>
                        </w:r>
                        <w:proofErr w:type="spellStart"/>
                        <w:r w:rsidRPr="00304861">
                          <w:rPr>
                            <w:rFonts w:ascii="Times New Roman" w:hAnsi="Times New Roman" w:cs="Times New Roman"/>
                            <w:sz w:val="24"/>
                            <w:szCs w:val="24"/>
                          </w:rPr>
                          <w:t>режимі</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близькому</w:t>
                        </w:r>
                        <w:proofErr w:type="spellEnd"/>
                        <w:r w:rsidRPr="00304861">
                          <w:rPr>
                            <w:rFonts w:ascii="Times New Roman" w:hAnsi="Times New Roman" w:cs="Times New Roman"/>
                            <w:sz w:val="24"/>
                            <w:szCs w:val="24"/>
                          </w:rPr>
                          <w:t xml:space="preserve"> до реального часу, </w:t>
                        </w:r>
                        <w:proofErr w:type="spellStart"/>
                        <w:r w:rsidRPr="00304861">
                          <w:rPr>
                            <w:rFonts w:ascii="Times New Roman" w:hAnsi="Times New Roman" w:cs="Times New Roman"/>
                            <w:sz w:val="24"/>
                            <w:szCs w:val="24"/>
                          </w:rPr>
                          <w:t>або</w:t>
                        </w:r>
                        <w:proofErr w:type="spellEnd"/>
                        <w:r w:rsidRPr="00304861">
                          <w:rPr>
                            <w:rFonts w:ascii="Times New Roman" w:hAnsi="Times New Roman" w:cs="Times New Roman"/>
                            <w:sz w:val="24"/>
                            <w:szCs w:val="24"/>
                          </w:rPr>
                          <w:t xml:space="preserve"> з невеликими </w:t>
                        </w:r>
                        <w:proofErr w:type="spellStart"/>
                        <w:r w:rsidRPr="00304861">
                          <w:rPr>
                            <w:rFonts w:ascii="Times New Roman" w:hAnsi="Times New Roman" w:cs="Times New Roman"/>
                            <w:sz w:val="24"/>
                            <w:szCs w:val="24"/>
                          </w:rPr>
                          <w:t>затримками</w:t>
                        </w:r>
                        <w:proofErr w:type="spellEnd"/>
                        <w:r w:rsidRPr="00304861">
                          <w:rPr>
                            <w:rFonts w:ascii="Times New Roman" w:hAnsi="Times New Roman" w:cs="Times New Roman"/>
                            <w:sz w:val="24"/>
                            <w:szCs w:val="24"/>
                          </w:rPr>
                          <w:t>;</w:t>
                        </w:r>
                      </w:p>
                      <w:p w14:paraId="2B5499FA" w14:textId="77777777" w:rsidR="000F508F" w:rsidRPr="00304861" w:rsidRDefault="000F508F" w:rsidP="000F508F">
                        <w:pPr>
                          <w:spacing w:after="0" w:line="240" w:lineRule="auto"/>
                          <w:ind w:left="-113" w:right="-113"/>
                          <w:jc w:val="both"/>
                          <w:rPr>
                            <w:rFonts w:ascii="Times New Roman" w:hAnsi="Times New Roman" w:cs="Times New Roman"/>
                            <w:sz w:val="24"/>
                            <w:szCs w:val="24"/>
                          </w:rPr>
                        </w:pPr>
                        <w:proofErr w:type="spellStart"/>
                        <w:r w:rsidRPr="00304861">
                          <w:rPr>
                            <w:rFonts w:ascii="Times New Roman" w:hAnsi="Times New Roman" w:cs="Times New Roman"/>
                            <w:sz w:val="24"/>
                            <w:szCs w:val="24"/>
                          </w:rPr>
                          <w:t>однозначність</w:t>
                        </w:r>
                        <w:proofErr w:type="spellEnd"/>
                        <w:r w:rsidRPr="00304861">
                          <w:rPr>
                            <w:rFonts w:ascii="Times New Roman" w:hAnsi="Times New Roman" w:cs="Times New Roman"/>
                            <w:sz w:val="24"/>
                            <w:szCs w:val="24"/>
                          </w:rPr>
                          <w:t xml:space="preserve"> – </w:t>
                        </w:r>
                        <w:proofErr w:type="spellStart"/>
                        <w:r w:rsidRPr="00304861">
                          <w:rPr>
                            <w:rFonts w:ascii="Times New Roman" w:hAnsi="Times New Roman" w:cs="Times New Roman"/>
                            <w:sz w:val="24"/>
                            <w:szCs w:val="24"/>
                          </w:rPr>
                          <w:t>значення</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мають</w:t>
                        </w:r>
                        <w:proofErr w:type="spellEnd"/>
                        <w:r w:rsidRPr="00304861">
                          <w:rPr>
                            <w:rFonts w:ascii="Times New Roman" w:hAnsi="Times New Roman" w:cs="Times New Roman"/>
                            <w:sz w:val="24"/>
                            <w:szCs w:val="24"/>
                          </w:rPr>
                          <w:t xml:space="preserve"> однозначно </w:t>
                        </w:r>
                        <w:proofErr w:type="spellStart"/>
                        <w:r w:rsidRPr="00304861">
                          <w:rPr>
                            <w:rFonts w:ascii="Times New Roman" w:hAnsi="Times New Roman" w:cs="Times New Roman"/>
                            <w:sz w:val="24"/>
                            <w:szCs w:val="24"/>
                          </w:rPr>
                          <w:t>інтерпретуватись</w:t>
                        </w:r>
                        <w:proofErr w:type="spellEnd"/>
                        <w:r w:rsidRPr="00304861">
                          <w:rPr>
                            <w:rFonts w:ascii="Times New Roman" w:hAnsi="Times New Roman" w:cs="Times New Roman"/>
                            <w:sz w:val="24"/>
                            <w:szCs w:val="24"/>
                          </w:rPr>
                          <w:t xml:space="preserve"> у </w:t>
                        </w:r>
                        <w:proofErr w:type="spellStart"/>
                        <w:r w:rsidRPr="00304861">
                          <w:rPr>
                            <w:rFonts w:ascii="Times New Roman" w:hAnsi="Times New Roman" w:cs="Times New Roman"/>
                            <w:sz w:val="24"/>
                            <w:szCs w:val="24"/>
                          </w:rPr>
                          <w:t>контексті</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визначення</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впливу</w:t>
                        </w:r>
                        <w:proofErr w:type="spellEnd"/>
                        <w:r>
                          <w:rPr>
                            <w:rFonts w:ascii="Times New Roman" w:hAnsi="Times New Roman" w:cs="Times New Roman"/>
                            <w:sz w:val="24"/>
                            <w:szCs w:val="24"/>
                          </w:rPr>
                          <w:t>;</w:t>
                        </w:r>
                      </w:p>
                      <w:p w14:paraId="67A3DCE4" w14:textId="77777777" w:rsidR="000F508F" w:rsidRPr="00304861" w:rsidRDefault="000F508F" w:rsidP="000F508F">
                        <w:pPr>
                          <w:spacing w:after="0" w:line="240" w:lineRule="auto"/>
                          <w:ind w:left="-113" w:right="-113"/>
                          <w:jc w:val="both"/>
                          <w:rPr>
                            <w:rFonts w:ascii="Times New Roman" w:hAnsi="Times New Roman" w:cs="Times New Roman"/>
                            <w:sz w:val="24"/>
                            <w:szCs w:val="24"/>
                          </w:rPr>
                        </w:pPr>
                        <w:proofErr w:type="spellStart"/>
                        <w:r w:rsidRPr="00304861">
                          <w:rPr>
                            <w:rFonts w:ascii="Times New Roman" w:hAnsi="Times New Roman" w:cs="Times New Roman"/>
                            <w:sz w:val="24"/>
                            <w:szCs w:val="24"/>
                          </w:rPr>
                          <w:t>повнота</w:t>
                        </w:r>
                        <w:proofErr w:type="spellEnd"/>
                        <w:r w:rsidRPr="00304861">
                          <w:rPr>
                            <w:rFonts w:ascii="Times New Roman" w:hAnsi="Times New Roman" w:cs="Times New Roman"/>
                            <w:sz w:val="24"/>
                            <w:szCs w:val="24"/>
                          </w:rPr>
                          <w:t xml:space="preserve"> – </w:t>
                        </w:r>
                        <w:proofErr w:type="spellStart"/>
                        <w:r w:rsidRPr="00304861">
                          <w:rPr>
                            <w:rFonts w:ascii="Times New Roman" w:hAnsi="Times New Roman" w:cs="Times New Roman"/>
                            <w:sz w:val="24"/>
                            <w:szCs w:val="24"/>
                          </w:rPr>
                          <w:t>показники</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мають</w:t>
                        </w:r>
                        <w:proofErr w:type="spellEnd"/>
                        <w:r w:rsidRPr="00304861">
                          <w:rPr>
                            <w:rFonts w:ascii="Times New Roman" w:hAnsi="Times New Roman" w:cs="Times New Roman"/>
                            <w:sz w:val="24"/>
                            <w:szCs w:val="24"/>
                          </w:rPr>
                          <w:t xml:space="preserve"> комплексно </w:t>
                        </w:r>
                        <w:proofErr w:type="spellStart"/>
                        <w:r w:rsidRPr="00304861">
                          <w:rPr>
                            <w:rFonts w:ascii="Times New Roman" w:hAnsi="Times New Roman" w:cs="Times New Roman"/>
                            <w:sz w:val="24"/>
                            <w:szCs w:val="24"/>
                          </w:rPr>
                          <w:t>охарактеризувати</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параметри</w:t>
                        </w:r>
                        <w:proofErr w:type="spellEnd"/>
                        <w:r w:rsidRPr="00304861">
                          <w:rPr>
                            <w:rFonts w:ascii="Times New Roman" w:hAnsi="Times New Roman" w:cs="Times New Roman"/>
                            <w:sz w:val="24"/>
                            <w:szCs w:val="24"/>
                          </w:rPr>
                          <w:t xml:space="preserve"> </w:t>
                        </w:r>
                        <w:proofErr w:type="spellStart"/>
                        <w:r>
                          <w:rPr>
                            <w:rFonts w:ascii="Times New Roman" w:hAnsi="Times New Roman" w:cs="Times New Roman"/>
                            <w:sz w:val="24"/>
                            <w:szCs w:val="24"/>
                          </w:rPr>
                          <w:t>аналізу</w:t>
                        </w:r>
                        <w:proofErr w:type="spellEnd"/>
                        <w:r w:rsidRPr="00304861">
                          <w:rPr>
                            <w:rFonts w:ascii="Times New Roman" w:hAnsi="Times New Roman" w:cs="Times New Roman"/>
                            <w:sz w:val="24"/>
                            <w:szCs w:val="24"/>
                          </w:rPr>
                          <w:t>;</w:t>
                        </w:r>
                      </w:p>
                      <w:p w14:paraId="145E0533" w14:textId="77777777" w:rsidR="000F508F" w:rsidRPr="00304861" w:rsidRDefault="000F508F" w:rsidP="000F508F">
                        <w:pPr>
                          <w:spacing w:after="0" w:line="240" w:lineRule="auto"/>
                          <w:ind w:left="-113" w:right="-113"/>
                          <w:jc w:val="both"/>
                          <w:rPr>
                            <w:rFonts w:ascii="Times New Roman" w:hAnsi="Times New Roman" w:cs="Times New Roman"/>
                            <w:sz w:val="24"/>
                            <w:szCs w:val="24"/>
                          </w:rPr>
                        </w:pPr>
                        <w:proofErr w:type="spellStart"/>
                        <w:r w:rsidRPr="00304861">
                          <w:rPr>
                            <w:rFonts w:ascii="Times New Roman" w:hAnsi="Times New Roman" w:cs="Times New Roman"/>
                            <w:sz w:val="24"/>
                            <w:szCs w:val="24"/>
                          </w:rPr>
                          <w:t>достатність</w:t>
                        </w:r>
                        <w:proofErr w:type="spellEnd"/>
                        <w:r w:rsidRPr="00304861">
                          <w:rPr>
                            <w:rFonts w:ascii="Times New Roman" w:hAnsi="Times New Roman" w:cs="Times New Roman"/>
                            <w:sz w:val="24"/>
                            <w:szCs w:val="24"/>
                          </w:rPr>
                          <w:t xml:space="preserve"> – </w:t>
                        </w:r>
                        <w:proofErr w:type="spellStart"/>
                        <w:r w:rsidRPr="00304861">
                          <w:rPr>
                            <w:rFonts w:ascii="Times New Roman" w:hAnsi="Times New Roman" w:cs="Times New Roman"/>
                            <w:sz w:val="24"/>
                            <w:szCs w:val="24"/>
                          </w:rPr>
                          <w:t>кількість</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має</w:t>
                        </w:r>
                        <w:proofErr w:type="spellEnd"/>
                        <w:r w:rsidRPr="00304861">
                          <w:rPr>
                            <w:rFonts w:ascii="Times New Roman" w:hAnsi="Times New Roman" w:cs="Times New Roman"/>
                            <w:sz w:val="24"/>
                            <w:szCs w:val="24"/>
                          </w:rPr>
                          <w:t xml:space="preserve"> бути </w:t>
                        </w:r>
                        <w:proofErr w:type="spellStart"/>
                        <w:r w:rsidRPr="00304861">
                          <w:rPr>
                            <w:rFonts w:ascii="Times New Roman" w:hAnsi="Times New Roman" w:cs="Times New Roman"/>
                            <w:sz w:val="24"/>
                            <w:szCs w:val="24"/>
                          </w:rPr>
                          <w:t>достатньою</w:t>
                        </w:r>
                        <w:proofErr w:type="spellEnd"/>
                        <w:r w:rsidRPr="00304861">
                          <w:rPr>
                            <w:rFonts w:ascii="Times New Roman" w:hAnsi="Times New Roman" w:cs="Times New Roman"/>
                            <w:sz w:val="24"/>
                            <w:szCs w:val="24"/>
                          </w:rPr>
                          <w:t xml:space="preserve"> для </w:t>
                        </w:r>
                        <w:proofErr w:type="spellStart"/>
                        <w:r w:rsidRPr="00304861">
                          <w:rPr>
                            <w:rFonts w:ascii="Times New Roman" w:hAnsi="Times New Roman" w:cs="Times New Roman"/>
                            <w:sz w:val="24"/>
                            <w:szCs w:val="24"/>
                          </w:rPr>
                          <w:t>формування</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якісних</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оцінок</w:t>
                        </w:r>
                        <w:proofErr w:type="spellEnd"/>
                        <w:r w:rsidRPr="00304861">
                          <w:rPr>
                            <w:rFonts w:ascii="Times New Roman" w:hAnsi="Times New Roman" w:cs="Times New Roman"/>
                            <w:sz w:val="24"/>
                            <w:szCs w:val="24"/>
                          </w:rPr>
                          <w:t xml:space="preserve"> і, </w:t>
                        </w:r>
                        <w:proofErr w:type="spellStart"/>
                        <w:r w:rsidRPr="00304861">
                          <w:rPr>
                            <w:rFonts w:ascii="Times New Roman" w:hAnsi="Times New Roman" w:cs="Times New Roman"/>
                            <w:sz w:val="24"/>
                            <w:szCs w:val="24"/>
                          </w:rPr>
                          <w:t>одночасно</w:t>
                        </w:r>
                        <w:proofErr w:type="spellEnd"/>
                        <w:r w:rsidRPr="00304861">
                          <w:rPr>
                            <w:rFonts w:ascii="Times New Roman" w:hAnsi="Times New Roman" w:cs="Times New Roman"/>
                            <w:sz w:val="24"/>
                            <w:szCs w:val="24"/>
                          </w:rPr>
                          <w:t xml:space="preserve"> з </w:t>
                        </w:r>
                        <w:proofErr w:type="spellStart"/>
                        <w:r w:rsidRPr="00304861">
                          <w:rPr>
                            <w:rFonts w:ascii="Times New Roman" w:hAnsi="Times New Roman" w:cs="Times New Roman"/>
                            <w:sz w:val="24"/>
                            <w:szCs w:val="24"/>
                          </w:rPr>
                          <w:t>цим</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мінімальною</w:t>
                        </w:r>
                        <w:proofErr w:type="spellEnd"/>
                        <w:r w:rsidRPr="00304861">
                          <w:rPr>
                            <w:rFonts w:ascii="Times New Roman" w:hAnsi="Times New Roman" w:cs="Times New Roman"/>
                            <w:sz w:val="24"/>
                            <w:szCs w:val="24"/>
                          </w:rPr>
                          <w:t xml:space="preserve"> для </w:t>
                        </w:r>
                        <w:proofErr w:type="spellStart"/>
                        <w:r w:rsidRPr="00304861">
                          <w:rPr>
                            <w:rFonts w:ascii="Times New Roman" w:hAnsi="Times New Roman" w:cs="Times New Roman"/>
                            <w:sz w:val="24"/>
                            <w:szCs w:val="24"/>
                          </w:rPr>
                          <w:t>уникнення</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зайвого</w:t>
                        </w:r>
                        <w:proofErr w:type="spellEnd"/>
                        <w:r w:rsidRPr="00304861">
                          <w:rPr>
                            <w:rFonts w:ascii="Times New Roman" w:hAnsi="Times New Roman" w:cs="Times New Roman"/>
                            <w:sz w:val="24"/>
                            <w:szCs w:val="24"/>
                          </w:rPr>
                          <w:t xml:space="preserve"> </w:t>
                        </w:r>
                        <w:proofErr w:type="spellStart"/>
                        <w:r w:rsidRPr="00304861">
                          <w:rPr>
                            <w:rFonts w:ascii="Times New Roman" w:hAnsi="Times New Roman" w:cs="Times New Roman"/>
                            <w:sz w:val="24"/>
                            <w:szCs w:val="24"/>
                          </w:rPr>
                          <w:t>ускладнення</w:t>
                        </w:r>
                        <w:proofErr w:type="spellEnd"/>
                        <w:r w:rsidRPr="00304861">
                          <w:rPr>
                            <w:rFonts w:ascii="Times New Roman" w:hAnsi="Times New Roman" w:cs="Times New Roman"/>
                            <w:sz w:val="24"/>
                            <w:szCs w:val="24"/>
                          </w:rPr>
                          <w:t>.</w:t>
                        </w:r>
                      </w:p>
                    </w:txbxContent>
                  </v:textbox>
                </v:rect>
                <v:shapetype id="_x0000_t33" coordsize="21600,21600" o:spt="33" o:oned="t" path="m,l21600,r,21600e" filled="f">
                  <v:stroke joinstyle="miter"/>
                  <v:path arrowok="t" fillok="f" o:connecttype="none"/>
                  <o:lock v:ext="edit" shapetype="t"/>
                </v:shapetype>
                <v:shape id="Соединительная линия уступом 130" o:spid="_x0000_s1306" type="#_x0000_t33" style="position:absolute;left:25132;top:19838;width:5817;height:133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" strokecolor="windowText" strokeweight=".5pt">
                  <v:stroke endarrow="block"/>
                </v:shape>
                <v:rect id="Прямоугольник 131" o:spid="_x0000_s1307" style="position:absolute;left:7;top:27386;width:25125;height:61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" fillcolor="window" strokecolor="windowText" strokeweight="1pt">
                  <v:textbox>
                    <w:txbxContent>
                      <w:p w14:paraId="75FA3E5B" w14:textId="77777777" w:rsidR="000F508F" w:rsidRPr="00304861" w:rsidRDefault="000F508F" w:rsidP="000F508F">
                        <w:pPr>
                          <w:pStyle w:val="afd"/>
                          <w:ind w:left="-57" w:right="-57"/>
                          <w:jc w:val="both"/>
                          <w:rPr>
                            <w:rFonts w:eastAsia="Calibri"/>
                            <w:color w:val="000000"/>
                          </w:rPr>
                        </w:pPr>
                        <w:r w:rsidRPr="00304861">
                          <w:rPr>
                            <w:rFonts w:eastAsia="Calibri"/>
                            <w:color w:val="000000"/>
                          </w:rPr>
                          <w:t xml:space="preserve">− кількісні індикатори на основі </w:t>
                        </w:r>
                        <w:proofErr w:type="spellStart"/>
                        <w:r w:rsidRPr="00304861">
                          <w:rPr>
                            <w:rFonts w:eastAsia="Calibri"/>
                            <w:color w:val="000000"/>
                          </w:rPr>
                          <w:t>макроданих</w:t>
                        </w:r>
                        <w:proofErr w:type="spellEnd"/>
                      </w:p>
                    </w:txbxContent>
                  </v:textbox>
                </v:rect>
                <v:shape id="Прямая со стрелкой 136" o:spid="_x0000_s1308" type="#_x0000_t32" style="position:absolute;left:26752;top:26568;width:0;height:7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" strokecolor="windowText" strokeweight=".5pt">
                  <v:stroke endarrow="block" joinstyle="miter"/>
                </v:shape>
                <w10:anchorlock/>
              </v:group>
            </w:pict>
          </mc:Fallback>
        </mc:AlternateContent>
      </w:r>
    </w:p>
    <w:p w14:paraId="3C769F7B" w14:textId="77777777" w:rsidR="000F508F" w:rsidRPr="00F00EB0" w:rsidRDefault="000F508F" w:rsidP="000F508F">
      <w:pPr>
        <w:spacing w:after="0" w:line="360" w:lineRule="auto"/>
        <w:jc w:val="center"/>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szCs w:val="28"/>
          <w:lang w:val="uk-UA"/>
        </w:rPr>
        <w:t>Рисунок 2.19 – Загальна логіка дослідження впливу макрофакторів на ФСБ [розроблено автором]</w:t>
      </w:r>
    </w:p>
    <w:p w14:paraId="2DD0FA97"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szCs w:val="28"/>
          <w:lang w:val="uk-UA"/>
        </w:rPr>
        <w:lastRenderedPageBreak/>
        <w:t>Для визначення складу макроіндикаторів та показників, що характеризують ФСБ, проведемо дослідження напрацювань вітчизняних та зарубіжних науковців.</w:t>
      </w:r>
    </w:p>
    <w:p w14:paraId="452A4294"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szCs w:val="28"/>
          <w:lang w:val="uk-UA"/>
        </w:rPr>
      </w:pPr>
      <w:r w:rsidRPr="007F74BE">
        <w:rPr>
          <w:rFonts w:ascii="Times New Roman" w:eastAsia="Calibri" w:hAnsi="Times New Roman" w:cs="Times New Roman"/>
          <w:color w:val="000000" w:themeColor="text1"/>
          <w:sz w:val="28"/>
          <w:szCs w:val="28"/>
          <w:lang w:val="uk-UA"/>
        </w:rPr>
        <w:t>Таблиця 2</w:t>
      </w:r>
      <w:r w:rsidRPr="00F00EB0">
        <w:rPr>
          <w:rFonts w:ascii="Times New Roman" w:eastAsia="Calibri" w:hAnsi="Times New Roman" w:cs="Times New Roman"/>
          <w:color w:val="000000" w:themeColor="text1"/>
          <w:sz w:val="28"/>
          <w:szCs w:val="28"/>
          <w:lang w:val="uk-UA"/>
        </w:rPr>
        <w:t>.7 – Зв’язки</w:t>
      </w:r>
      <w:r w:rsidRPr="007F74BE">
        <w:rPr>
          <w:rFonts w:ascii="Times New Roman" w:eastAsia="Calibri" w:hAnsi="Times New Roman" w:cs="Times New Roman"/>
          <w:color w:val="000000" w:themeColor="text1"/>
          <w:sz w:val="28"/>
          <w:szCs w:val="28"/>
          <w:lang w:val="uk-UA"/>
        </w:rPr>
        <w:t xml:space="preserve"> між макро</w:t>
      </w:r>
      <w:r w:rsidRPr="00F00EB0">
        <w:rPr>
          <w:rFonts w:ascii="Times New Roman" w:eastAsia="Calibri" w:hAnsi="Times New Roman" w:cs="Times New Roman"/>
          <w:color w:val="000000" w:themeColor="text1"/>
          <w:sz w:val="28"/>
          <w:szCs w:val="28"/>
          <w:lang w:val="uk-UA"/>
        </w:rPr>
        <w:t xml:space="preserve">індикаторами </w:t>
      </w:r>
      <w:r w:rsidRPr="007F74BE">
        <w:rPr>
          <w:rFonts w:ascii="Times New Roman" w:eastAsia="Calibri" w:hAnsi="Times New Roman" w:cs="Times New Roman"/>
          <w:color w:val="000000" w:themeColor="text1"/>
          <w:sz w:val="28"/>
          <w:szCs w:val="28"/>
          <w:lang w:val="uk-UA"/>
        </w:rPr>
        <w:t xml:space="preserve">та </w:t>
      </w:r>
      <w:r w:rsidRPr="00F00EB0">
        <w:rPr>
          <w:rFonts w:ascii="Times New Roman" w:eastAsia="Calibri" w:hAnsi="Times New Roman" w:cs="Times New Roman"/>
          <w:color w:val="000000" w:themeColor="text1"/>
          <w:sz w:val="28"/>
          <w:szCs w:val="28"/>
          <w:lang w:val="uk-UA"/>
        </w:rPr>
        <w:t>ФСБ [складено автором на основі 70-76]</w:t>
      </w:r>
    </w:p>
    <w:tbl>
      <w:tblPr>
        <w:tblStyle w:val="af0"/>
        <w:tblW w:w="0" w:type="auto"/>
        <w:tblLook w:val="04A0" w:firstRow="1" w:lastRow="0" w:firstColumn="1" w:lastColumn="0" w:noHBand="0" w:noVBand="1"/>
      </w:tblPr>
      <w:tblGrid>
        <w:gridCol w:w="2396"/>
        <w:gridCol w:w="2035"/>
        <w:gridCol w:w="5480"/>
      </w:tblGrid>
      <w:tr w:rsidR="000F508F" w:rsidRPr="00F00EB0" w14:paraId="3D2702AB" w14:textId="77777777" w:rsidTr="003123DE">
        <w:tc>
          <w:tcPr>
            <w:tcW w:w="2396" w:type="dxa"/>
            <w:vAlign w:val="center"/>
          </w:tcPr>
          <w:p w14:paraId="01490BCD" w14:textId="77777777" w:rsidR="000F508F" w:rsidRPr="00F00EB0" w:rsidRDefault="000F508F" w:rsidP="003123DE">
            <w:pPr>
              <w:jc w:val="center"/>
              <w:rPr>
                <w:rFonts w:ascii="Times New Roman" w:eastAsia="Calibri" w:hAnsi="Times New Roman" w:cs="Times New Roman"/>
                <w:color w:val="000000" w:themeColor="text1"/>
                <w:sz w:val="24"/>
                <w:szCs w:val="24"/>
                <w:lang w:val="uk-UA"/>
              </w:rPr>
            </w:pPr>
            <w:r w:rsidRPr="007F74BE">
              <w:rPr>
                <w:rFonts w:ascii="Times New Roman" w:eastAsia="Times New Roman" w:hAnsi="Times New Roman" w:cs="Times New Roman"/>
                <w:color w:val="000000" w:themeColor="text1"/>
                <w:sz w:val="24"/>
                <w:szCs w:val="24"/>
                <w:lang w:val="uk-UA" w:eastAsia="ru-RU"/>
              </w:rPr>
              <w:t>Автори (Рік)</w:t>
            </w:r>
          </w:p>
        </w:tc>
        <w:tc>
          <w:tcPr>
            <w:tcW w:w="2035" w:type="dxa"/>
            <w:vAlign w:val="center"/>
          </w:tcPr>
          <w:p w14:paraId="6A565764" w14:textId="77777777" w:rsidR="000F508F" w:rsidRPr="00F00EB0" w:rsidRDefault="000F508F" w:rsidP="003123DE">
            <w:pPr>
              <w:jc w:val="center"/>
              <w:rPr>
                <w:rFonts w:ascii="Times New Roman" w:eastAsia="Calibri" w:hAnsi="Times New Roman" w:cs="Times New Roman"/>
                <w:color w:val="000000" w:themeColor="text1"/>
                <w:sz w:val="24"/>
                <w:szCs w:val="24"/>
                <w:lang w:val="uk-UA"/>
              </w:rPr>
            </w:pPr>
            <w:r w:rsidRPr="00F00EB0">
              <w:rPr>
                <w:rFonts w:ascii="Times New Roman" w:eastAsia="Times New Roman" w:hAnsi="Times New Roman" w:cs="Times New Roman"/>
                <w:color w:val="000000" w:themeColor="text1"/>
                <w:sz w:val="24"/>
                <w:szCs w:val="24"/>
                <w:lang w:val="uk-UA" w:eastAsia="ru-RU"/>
              </w:rPr>
              <w:t>Макроіндикатори</w:t>
            </w:r>
          </w:p>
        </w:tc>
        <w:tc>
          <w:tcPr>
            <w:tcW w:w="5480" w:type="dxa"/>
            <w:vAlign w:val="center"/>
          </w:tcPr>
          <w:p w14:paraId="0D637FB5" w14:textId="77777777" w:rsidR="000F508F" w:rsidRPr="00F00EB0" w:rsidRDefault="000F508F" w:rsidP="003123DE">
            <w:pPr>
              <w:jc w:val="center"/>
              <w:rPr>
                <w:rFonts w:ascii="Times New Roman" w:eastAsia="Calibri" w:hAnsi="Times New Roman" w:cs="Times New Roman"/>
                <w:color w:val="000000" w:themeColor="text1"/>
                <w:sz w:val="24"/>
                <w:szCs w:val="24"/>
                <w:lang w:val="uk-UA"/>
              </w:rPr>
            </w:pPr>
            <w:r w:rsidRPr="007F74BE">
              <w:rPr>
                <w:rFonts w:ascii="Times New Roman" w:eastAsia="Times New Roman" w:hAnsi="Times New Roman" w:cs="Times New Roman"/>
                <w:color w:val="000000" w:themeColor="text1"/>
                <w:sz w:val="24"/>
                <w:szCs w:val="24"/>
                <w:lang w:val="uk-UA" w:eastAsia="ru-RU"/>
              </w:rPr>
              <w:t>Висновки</w:t>
            </w:r>
          </w:p>
        </w:tc>
      </w:tr>
      <w:tr w:rsidR="000F508F" w:rsidRPr="00F00EB0" w14:paraId="7360B944" w14:textId="77777777" w:rsidTr="003123DE">
        <w:tc>
          <w:tcPr>
            <w:tcW w:w="2396" w:type="dxa"/>
            <w:vAlign w:val="center"/>
          </w:tcPr>
          <w:p w14:paraId="1C9E31A4" w14:textId="77777777" w:rsidR="000F508F" w:rsidRPr="00F00EB0" w:rsidRDefault="000F508F" w:rsidP="003123DE">
            <w:pPr>
              <w:ind w:left="-57" w:right="-57"/>
              <w:jc w:val="center"/>
              <w:rPr>
                <w:rFonts w:ascii="Times New Roman" w:eastAsia="Calibri" w:hAnsi="Times New Roman" w:cs="Times New Roman"/>
                <w:color w:val="000000" w:themeColor="text1"/>
                <w:sz w:val="24"/>
                <w:szCs w:val="24"/>
                <w:lang w:val="uk-UA"/>
              </w:rPr>
            </w:pPr>
            <w:r w:rsidRPr="00F00EB0">
              <w:rPr>
                <w:rFonts w:ascii="Times New Roman" w:eastAsia="Times New Roman" w:hAnsi="Times New Roman" w:cs="Times New Roman"/>
                <w:color w:val="000000" w:themeColor="text1"/>
                <w:sz w:val="24"/>
                <w:szCs w:val="24"/>
                <w:lang w:val="uk-UA" w:eastAsia="ru-RU"/>
              </w:rPr>
              <w:t>Р. </w:t>
            </w:r>
            <w:r w:rsidRPr="007F74BE">
              <w:rPr>
                <w:rFonts w:ascii="Times New Roman" w:eastAsia="Times New Roman" w:hAnsi="Times New Roman" w:cs="Times New Roman"/>
                <w:color w:val="000000" w:themeColor="text1"/>
                <w:sz w:val="24"/>
                <w:szCs w:val="24"/>
                <w:lang w:val="uk-UA" w:eastAsia="ru-RU"/>
              </w:rPr>
              <w:t>Дьякону</w:t>
            </w:r>
            <w:r w:rsidRPr="00F00EB0">
              <w:rPr>
                <w:rFonts w:ascii="Times New Roman" w:eastAsia="Times New Roman" w:hAnsi="Times New Roman" w:cs="Times New Roman"/>
                <w:color w:val="000000" w:themeColor="text1"/>
                <w:sz w:val="24"/>
                <w:szCs w:val="24"/>
                <w:lang w:val="uk-UA" w:eastAsia="ru-RU"/>
              </w:rPr>
              <w:t>,</w:t>
            </w:r>
            <w:r w:rsidRPr="007F74BE">
              <w:rPr>
                <w:rFonts w:ascii="Times New Roman" w:eastAsia="Times New Roman" w:hAnsi="Times New Roman" w:cs="Times New Roman"/>
                <w:color w:val="000000" w:themeColor="text1"/>
                <w:sz w:val="24"/>
                <w:szCs w:val="24"/>
                <w:lang w:val="uk-UA" w:eastAsia="ru-RU"/>
              </w:rPr>
              <w:t xml:space="preserve"> </w:t>
            </w:r>
            <w:r w:rsidRPr="00F00EB0">
              <w:rPr>
                <w:rFonts w:ascii="Times New Roman" w:eastAsia="Times New Roman" w:hAnsi="Times New Roman" w:cs="Times New Roman"/>
                <w:color w:val="000000" w:themeColor="text1"/>
                <w:sz w:val="24"/>
                <w:szCs w:val="24"/>
                <w:lang w:val="uk-UA" w:eastAsia="ru-RU"/>
              </w:rPr>
              <w:t>С. </w:t>
            </w:r>
            <w:r w:rsidRPr="007F74BE">
              <w:rPr>
                <w:rFonts w:ascii="Times New Roman" w:eastAsia="Times New Roman" w:hAnsi="Times New Roman" w:cs="Times New Roman"/>
                <w:color w:val="000000" w:themeColor="text1"/>
                <w:sz w:val="24"/>
                <w:szCs w:val="24"/>
                <w:lang w:val="uk-UA" w:eastAsia="ru-RU"/>
              </w:rPr>
              <w:t>Оанея</w:t>
            </w:r>
          </w:p>
        </w:tc>
        <w:tc>
          <w:tcPr>
            <w:tcW w:w="2035" w:type="dxa"/>
            <w:vAlign w:val="center"/>
          </w:tcPr>
          <w:p w14:paraId="7BE31A0B" w14:textId="77777777" w:rsidR="000F508F" w:rsidRPr="00F00EB0" w:rsidRDefault="000F508F" w:rsidP="003123DE">
            <w:pPr>
              <w:jc w:val="center"/>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ВВП, процентна ставка</w:t>
            </w:r>
          </w:p>
        </w:tc>
        <w:tc>
          <w:tcPr>
            <w:tcW w:w="5480" w:type="dxa"/>
            <w:vAlign w:val="center"/>
          </w:tcPr>
          <w:p w14:paraId="526B2469" w14:textId="77777777" w:rsidR="000F508F" w:rsidRPr="00F00EB0" w:rsidRDefault="000F508F" w:rsidP="003123DE">
            <w:pPr>
              <w:jc w:val="both"/>
              <w:rPr>
                <w:rFonts w:ascii="Times New Roman" w:eastAsia="Calibri" w:hAnsi="Times New Roman" w:cs="Times New Roman"/>
                <w:color w:val="000000" w:themeColor="text1"/>
                <w:sz w:val="24"/>
                <w:szCs w:val="24"/>
                <w:lang w:val="uk-UA"/>
              </w:rPr>
            </w:pPr>
            <w:r w:rsidRPr="007F74BE">
              <w:rPr>
                <w:rFonts w:ascii="Times New Roman" w:eastAsia="Times New Roman" w:hAnsi="Times New Roman" w:cs="Times New Roman"/>
                <w:color w:val="000000" w:themeColor="text1"/>
                <w:sz w:val="24"/>
                <w:szCs w:val="24"/>
                <w:lang w:val="uk-UA" w:eastAsia="ru-RU"/>
              </w:rPr>
              <w:t xml:space="preserve">Модель показує, що на </w:t>
            </w:r>
            <w:r w:rsidRPr="00F00EB0">
              <w:rPr>
                <w:rFonts w:ascii="Times New Roman" w:eastAsia="Times New Roman" w:hAnsi="Times New Roman" w:cs="Times New Roman"/>
                <w:color w:val="000000" w:themeColor="text1"/>
                <w:sz w:val="24"/>
                <w:szCs w:val="24"/>
                <w:lang w:val="uk-UA" w:eastAsia="ru-RU"/>
              </w:rPr>
              <w:t>ФСБ впливають ВВП та процентна ставка</w:t>
            </w:r>
          </w:p>
        </w:tc>
      </w:tr>
      <w:tr w:rsidR="000F508F" w:rsidRPr="00F00EB0" w14:paraId="38DBEC7D" w14:textId="77777777" w:rsidTr="003123DE">
        <w:tc>
          <w:tcPr>
            <w:tcW w:w="2396" w:type="dxa"/>
            <w:vAlign w:val="center"/>
          </w:tcPr>
          <w:p w14:paraId="60B05FD6" w14:textId="77777777" w:rsidR="000F508F" w:rsidRPr="00F00EB0" w:rsidRDefault="000F508F" w:rsidP="003123DE">
            <w:pPr>
              <w:ind w:left="-57" w:right="-57"/>
              <w:jc w:val="center"/>
              <w:rPr>
                <w:rFonts w:ascii="Times New Roman" w:eastAsia="Calibri" w:hAnsi="Times New Roman" w:cs="Times New Roman"/>
                <w:color w:val="000000" w:themeColor="text1"/>
                <w:sz w:val="24"/>
                <w:szCs w:val="24"/>
                <w:lang w:val="uk-UA"/>
              </w:rPr>
            </w:pPr>
            <w:r w:rsidRPr="00F00EB0">
              <w:rPr>
                <w:rFonts w:ascii="Times New Roman" w:eastAsia="Times New Roman" w:hAnsi="Times New Roman" w:cs="Times New Roman"/>
                <w:color w:val="000000" w:themeColor="text1"/>
                <w:sz w:val="24"/>
                <w:szCs w:val="24"/>
                <w:lang w:val="uk-UA" w:eastAsia="ru-RU"/>
              </w:rPr>
              <w:t>Х. </w:t>
            </w:r>
            <w:r w:rsidRPr="007F74BE">
              <w:rPr>
                <w:rFonts w:ascii="Times New Roman" w:eastAsia="Times New Roman" w:hAnsi="Times New Roman" w:cs="Times New Roman"/>
                <w:color w:val="000000" w:themeColor="text1"/>
                <w:sz w:val="24"/>
                <w:szCs w:val="24"/>
                <w:lang w:val="uk-UA" w:eastAsia="ru-RU"/>
              </w:rPr>
              <w:t>Пан</w:t>
            </w:r>
            <w:r w:rsidRPr="00F00EB0">
              <w:rPr>
                <w:rFonts w:ascii="Times New Roman" w:eastAsia="Times New Roman" w:hAnsi="Times New Roman" w:cs="Times New Roman"/>
                <w:color w:val="000000" w:themeColor="text1"/>
                <w:sz w:val="24"/>
                <w:szCs w:val="24"/>
                <w:lang w:val="uk-UA" w:eastAsia="ru-RU"/>
              </w:rPr>
              <w:t>,</w:t>
            </w:r>
            <w:r w:rsidRPr="007F74BE">
              <w:rPr>
                <w:rFonts w:ascii="Times New Roman" w:eastAsia="Times New Roman" w:hAnsi="Times New Roman" w:cs="Times New Roman"/>
                <w:color w:val="000000" w:themeColor="text1"/>
                <w:sz w:val="24"/>
                <w:szCs w:val="24"/>
                <w:lang w:val="uk-UA" w:eastAsia="ru-RU"/>
              </w:rPr>
              <w:t xml:space="preserve"> </w:t>
            </w:r>
            <w:r w:rsidRPr="00F00EB0">
              <w:rPr>
                <w:rFonts w:ascii="Times New Roman" w:eastAsia="Times New Roman" w:hAnsi="Times New Roman" w:cs="Times New Roman"/>
                <w:color w:val="000000" w:themeColor="text1"/>
                <w:sz w:val="24"/>
                <w:szCs w:val="24"/>
                <w:lang w:val="uk-UA" w:eastAsia="ru-RU"/>
              </w:rPr>
              <w:t>С. </w:t>
            </w:r>
            <w:r w:rsidRPr="007F74BE">
              <w:rPr>
                <w:rFonts w:ascii="Times New Roman" w:eastAsia="Times New Roman" w:hAnsi="Times New Roman" w:cs="Times New Roman"/>
                <w:color w:val="000000" w:themeColor="text1"/>
                <w:sz w:val="24"/>
                <w:szCs w:val="24"/>
                <w:lang w:val="uk-UA" w:eastAsia="ru-RU"/>
              </w:rPr>
              <w:t>Ван</w:t>
            </w:r>
          </w:p>
        </w:tc>
        <w:tc>
          <w:tcPr>
            <w:tcW w:w="2035" w:type="dxa"/>
            <w:vAlign w:val="center"/>
          </w:tcPr>
          <w:p w14:paraId="69597193" w14:textId="77777777" w:rsidR="000F508F" w:rsidRPr="00F00EB0" w:rsidRDefault="000F508F" w:rsidP="003123DE">
            <w:pPr>
              <w:jc w:val="center"/>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ВВП, ціни на житло</w:t>
            </w:r>
          </w:p>
        </w:tc>
        <w:tc>
          <w:tcPr>
            <w:tcW w:w="5480" w:type="dxa"/>
            <w:vAlign w:val="center"/>
          </w:tcPr>
          <w:p w14:paraId="276716A1" w14:textId="77777777" w:rsidR="000F508F" w:rsidRPr="00F00EB0" w:rsidRDefault="000F508F" w:rsidP="003123DE">
            <w:pPr>
              <w:jc w:val="both"/>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Низьке економічне зростання спричинило небажаний попит на житло, що вплинуло на ФСБ</w:t>
            </w:r>
          </w:p>
        </w:tc>
      </w:tr>
      <w:tr w:rsidR="000F508F" w:rsidRPr="00F00EB0" w14:paraId="6FE7F00B" w14:textId="77777777" w:rsidTr="003123DE">
        <w:tc>
          <w:tcPr>
            <w:tcW w:w="2396" w:type="dxa"/>
            <w:vAlign w:val="center"/>
          </w:tcPr>
          <w:p w14:paraId="680C549E" w14:textId="77777777" w:rsidR="000F508F" w:rsidRPr="00F00EB0" w:rsidRDefault="000F508F" w:rsidP="003123DE">
            <w:pPr>
              <w:ind w:left="-57" w:right="-57"/>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М. Чіхак, Н. Хессе</w:t>
            </w:r>
          </w:p>
        </w:tc>
        <w:tc>
          <w:tcPr>
            <w:tcW w:w="2035" w:type="dxa"/>
            <w:vAlign w:val="center"/>
          </w:tcPr>
          <w:p w14:paraId="3C17301A" w14:textId="77777777" w:rsidR="000F508F" w:rsidRPr="00F00EB0" w:rsidRDefault="000F508F" w:rsidP="003123DE">
            <w:pPr>
              <w:jc w:val="center"/>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ВВП, інфляція, процентна ставка та зростання обмінного курсу</w:t>
            </w:r>
          </w:p>
        </w:tc>
        <w:tc>
          <w:tcPr>
            <w:tcW w:w="5480" w:type="dxa"/>
            <w:vAlign w:val="center"/>
          </w:tcPr>
          <w:p w14:paraId="609D3534" w14:textId="77777777" w:rsidR="000F508F" w:rsidRPr="00F00EB0" w:rsidRDefault="000F508F" w:rsidP="003123DE">
            <w:pPr>
              <w:jc w:val="both"/>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Економічне зростання підвищить ФСБ.</w:t>
            </w:r>
          </w:p>
          <w:p w14:paraId="0A0EEAFA" w14:textId="77777777" w:rsidR="000F508F" w:rsidRPr="00F00EB0" w:rsidRDefault="000F508F" w:rsidP="003123DE">
            <w:pPr>
              <w:jc w:val="both"/>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Між інфляцією та ФСБ наявна нелінійна негативна залежність.</w:t>
            </w:r>
          </w:p>
          <w:p w14:paraId="79593F8D" w14:textId="77777777" w:rsidR="000F508F" w:rsidRPr="00F00EB0" w:rsidRDefault="000F508F" w:rsidP="003123DE">
            <w:pPr>
              <w:jc w:val="both"/>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Зростання валютного курсу знизить ФСБ</w:t>
            </w:r>
          </w:p>
        </w:tc>
      </w:tr>
      <w:tr w:rsidR="000F508F" w:rsidRPr="00F00EB0" w14:paraId="3955AC6A" w14:textId="77777777" w:rsidTr="003123DE">
        <w:tc>
          <w:tcPr>
            <w:tcW w:w="2396" w:type="dxa"/>
            <w:vAlign w:val="center"/>
          </w:tcPr>
          <w:p w14:paraId="2FF0BE86" w14:textId="77777777" w:rsidR="000F508F" w:rsidRPr="00F00EB0" w:rsidRDefault="000F508F" w:rsidP="003123DE">
            <w:pPr>
              <w:ind w:left="-57" w:right="-57"/>
              <w:jc w:val="center"/>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В. Соедармоно, Ф. Махрух, А. Тараз</w:t>
            </w:r>
          </w:p>
        </w:tc>
        <w:tc>
          <w:tcPr>
            <w:tcW w:w="2035" w:type="dxa"/>
            <w:vAlign w:val="center"/>
          </w:tcPr>
          <w:p w14:paraId="41C9DD24" w14:textId="77777777" w:rsidR="000F508F" w:rsidRPr="00F00EB0" w:rsidRDefault="000F508F" w:rsidP="003123DE">
            <w:pPr>
              <w:jc w:val="center"/>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ВВП</w:t>
            </w:r>
          </w:p>
        </w:tc>
        <w:tc>
          <w:tcPr>
            <w:tcW w:w="5480" w:type="dxa"/>
            <w:vAlign w:val="center"/>
          </w:tcPr>
          <w:p w14:paraId="78358C56" w14:textId="77777777" w:rsidR="000F508F" w:rsidRPr="00F00EB0" w:rsidRDefault="000F508F" w:rsidP="003123DE">
            <w:pPr>
              <w:jc w:val="both"/>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Економічне зростання здатне пом’якшити ризикову поведінку банків, що підвищить ФСБ</w:t>
            </w:r>
          </w:p>
        </w:tc>
      </w:tr>
      <w:tr w:rsidR="000F508F" w:rsidRPr="00F00EB0" w14:paraId="3653193F" w14:textId="77777777" w:rsidTr="003123DE">
        <w:tc>
          <w:tcPr>
            <w:tcW w:w="2396" w:type="dxa"/>
            <w:vAlign w:val="center"/>
          </w:tcPr>
          <w:p w14:paraId="26C42B03" w14:textId="77777777" w:rsidR="000F508F" w:rsidRPr="00F00EB0" w:rsidRDefault="000F508F" w:rsidP="003123DE">
            <w:pPr>
              <w:ind w:left="-57" w:right="-57"/>
              <w:jc w:val="center"/>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К. Акрам і О. Ейтрхейм</w:t>
            </w:r>
          </w:p>
        </w:tc>
        <w:tc>
          <w:tcPr>
            <w:tcW w:w="2035" w:type="dxa"/>
            <w:vMerge w:val="restart"/>
            <w:vAlign w:val="center"/>
          </w:tcPr>
          <w:p w14:paraId="4EB2D706" w14:textId="77777777" w:rsidR="000F508F" w:rsidRPr="00F00EB0" w:rsidRDefault="000F508F" w:rsidP="003123DE">
            <w:pPr>
              <w:jc w:val="center"/>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Процентна ставка</w:t>
            </w:r>
          </w:p>
        </w:tc>
        <w:tc>
          <w:tcPr>
            <w:tcW w:w="5480" w:type="dxa"/>
            <w:vAlign w:val="center"/>
          </w:tcPr>
          <w:p w14:paraId="3DEFDF37" w14:textId="77777777" w:rsidR="000F508F" w:rsidRPr="00F00EB0" w:rsidRDefault="000F508F" w:rsidP="003123DE">
            <w:pPr>
              <w:spacing w:after="200" w:line="276" w:lineRule="auto"/>
              <w:jc w:val="both"/>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Збереження стабільних і низьких процентних ставок не підвищує ФСБ</w:t>
            </w:r>
          </w:p>
        </w:tc>
      </w:tr>
      <w:tr w:rsidR="000F508F" w:rsidRPr="00F00EB0" w14:paraId="52060765" w14:textId="77777777" w:rsidTr="003123DE">
        <w:tc>
          <w:tcPr>
            <w:tcW w:w="2396" w:type="dxa"/>
            <w:vAlign w:val="center"/>
          </w:tcPr>
          <w:p w14:paraId="2CFC5EAE" w14:textId="77777777" w:rsidR="000F508F" w:rsidRPr="00F00EB0" w:rsidRDefault="000F508F" w:rsidP="003123DE">
            <w:pPr>
              <w:ind w:left="-57" w:right="-57"/>
              <w:jc w:val="center"/>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Дж. Дріфіл, З. Ротонді, П. Савона, С. Заццара</w:t>
            </w:r>
          </w:p>
        </w:tc>
        <w:tc>
          <w:tcPr>
            <w:tcW w:w="2035" w:type="dxa"/>
            <w:vMerge/>
            <w:vAlign w:val="center"/>
          </w:tcPr>
          <w:p w14:paraId="68C8F60D" w14:textId="77777777" w:rsidR="000F508F" w:rsidRPr="00F00EB0" w:rsidRDefault="000F508F" w:rsidP="003123DE">
            <w:pPr>
              <w:jc w:val="center"/>
              <w:rPr>
                <w:rFonts w:ascii="Times New Roman" w:eastAsia="Calibri" w:hAnsi="Times New Roman" w:cs="Times New Roman"/>
                <w:color w:val="000000" w:themeColor="text1"/>
                <w:sz w:val="24"/>
                <w:szCs w:val="24"/>
                <w:lang w:val="uk-UA"/>
              </w:rPr>
            </w:pPr>
          </w:p>
        </w:tc>
        <w:tc>
          <w:tcPr>
            <w:tcW w:w="5480" w:type="dxa"/>
            <w:vAlign w:val="center"/>
          </w:tcPr>
          <w:p w14:paraId="00943D73" w14:textId="77777777" w:rsidR="000F508F" w:rsidRPr="00F00EB0" w:rsidRDefault="000F508F" w:rsidP="003123DE">
            <w:pPr>
              <w:jc w:val="both"/>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Дії центрального банку щодо згладжування процентної ставки підвищили ФСБ</w:t>
            </w:r>
          </w:p>
        </w:tc>
      </w:tr>
      <w:tr w:rsidR="000F508F" w:rsidRPr="00F00EB0" w14:paraId="60684203" w14:textId="77777777" w:rsidTr="003123DE">
        <w:tc>
          <w:tcPr>
            <w:tcW w:w="2396" w:type="dxa"/>
            <w:vAlign w:val="center"/>
          </w:tcPr>
          <w:p w14:paraId="4C568462" w14:textId="77777777" w:rsidR="000F508F" w:rsidRPr="00F00EB0" w:rsidRDefault="000F508F" w:rsidP="003123DE">
            <w:pPr>
              <w:ind w:left="-57" w:right="-57"/>
              <w:jc w:val="center"/>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Дж. Х.  Бойд, Р. Левін, Б. Д. Сміт</w:t>
            </w:r>
          </w:p>
        </w:tc>
        <w:tc>
          <w:tcPr>
            <w:tcW w:w="2035" w:type="dxa"/>
            <w:vMerge w:val="restart"/>
            <w:vAlign w:val="center"/>
          </w:tcPr>
          <w:p w14:paraId="2E218EFA" w14:textId="77777777" w:rsidR="000F508F" w:rsidRPr="00F00EB0" w:rsidRDefault="000F508F" w:rsidP="003123DE">
            <w:pPr>
              <w:jc w:val="center"/>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Інфляція</w:t>
            </w:r>
          </w:p>
        </w:tc>
        <w:tc>
          <w:tcPr>
            <w:tcW w:w="5480" w:type="dxa"/>
            <w:vAlign w:val="center"/>
          </w:tcPr>
          <w:p w14:paraId="5876CB76" w14:textId="77777777" w:rsidR="000F508F" w:rsidRPr="00F00EB0" w:rsidRDefault="000F508F" w:rsidP="003123DE">
            <w:pPr>
              <w:jc w:val="both"/>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Між інфляцією та ФСБ наявна нелінійна негативна залежність.</w:t>
            </w:r>
          </w:p>
        </w:tc>
      </w:tr>
      <w:tr w:rsidR="000F508F" w:rsidRPr="00D00194" w14:paraId="1BB0BC6D" w14:textId="77777777" w:rsidTr="003123DE">
        <w:tc>
          <w:tcPr>
            <w:tcW w:w="2396" w:type="dxa"/>
            <w:vAlign w:val="center"/>
          </w:tcPr>
          <w:p w14:paraId="1AB94642" w14:textId="77777777" w:rsidR="000F508F" w:rsidRPr="00F00EB0" w:rsidRDefault="000F508F" w:rsidP="003123DE">
            <w:pPr>
              <w:ind w:left="-57" w:right="-57"/>
              <w:jc w:val="center"/>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А. Крісте, І. Лупу</w:t>
            </w:r>
          </w:p>
        </w:tc>
        <w:tc>
          <w:tcPr>
            <w:tcW w:w="2035" w:type="dxa"/>
            <w:vMerge/>
            <w:vAlign w:val="center"/>
          </w:tcPr>
          <w:p w14:paraId="50C90B4C" w14:textId="77777777" w:rsidR="000F508F" w:rsidRPr="00F00EB0" w:rsidRDefault="000F508F" w:rsidP="003123DE">
            <w:pPr>
              <w:jc w:val="both"/>
              <w:rPr>
                <w:rFonts w:ascii="Times New Roman" w:eastAsia="Calibri" w:hAnsi="Times New Roman" w:cs="Times New Roman"/>
                <w:color w:val="000000" w:themeColor="text1"/>
                <w:sz w:val="24"/>
                <w:szCs w:val="24"/>
                <w:lang w:val="uk-UA"/>
              </w:rPr>
            </w:pPr>
          </w:p>
        </w:tc>
        <w:tc>
          <w:tcPr>
            <w:tcW w:w="5480" w:type="dxa"/>
            <w:vAlign w:val="center"/>
          </w:tcPr>
          <w:p w14:paraId="4BC33ABA" w14:textId="77777777" w:rsidR="000F508F" w:rsidRPr="00F00EB0" w:rsidRDefault="000F508F" w:rsidP="003123DE">
            <w:pPr>
              <w:jc w:val="both"/>
              <w:rPr>
                <w:rFonts w:ascii="Times New Roman" w:eastAsia="Calibri" w:hAnsi="Times New Roman" w:cs="Times New Roman"/>
                <w:color w:val="000000" w:themeColor="text1"/>
                <w:sz w:val="24"/>
                <w:szCs w:val="24"/>
                <w:lang w:val="uk-UA"/>
              </w:rPr>
            </w:pPr>
            <w:r w:rsidRPr="00F00EB0">
              <w:rPr>
                <w:rFonts w:ascii="Times New Roman" w:eastAsia="Calibri" w:hAnsi="Times New Roman" w:cs="Times New Roman"/>
                <w:color w:val="000000" w:themeColor="text1"/>
                <w:sz w:val="24"/>
                <w:szCs w:val="24"/>
                <w:lang w:val="uk-UA"/>
              </w:rPr>
              <w:t>Існує компроміс між інфляцією та ФСБ</w:t>
            </w:r>
          </w:p>
        </w:tc>
      </w:tr>
    </w:tbl>
    <w:p w14:paraId="663966AE"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szCs w:val="28"/>
          <w:lang w:val="uk-UA"/>
        </w:rPr>
      </w:pPr>
    </w:p>
    <w:p w14:paraId="43250D2F" w14:textId="77777777" w:rsidR="000F508F" w:rsidRPr="00F00EB0" w:rsidRDefault="000F508F" w:rsidP="000F508F">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Узагальнивши результати дослідження, як базові для визначення впливу макроіндикаторів на ФСБ будемо використовувати показник ВВП (GDP), інфляції (Inflation) та обмінного курсу долара США до гривні (Еxch_rate).</w:t>
      </w:r>
    </w:p>
    <w:p w14:paraId="7F779418" w14:textId="77777777" w:rsidR="000F508F" w:rsidRPr="00F00EB0" w:rsidRDefault="000F508F" w:rsidP="000F508F">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Для вибору результативного показника, що характеризує ФСБ, будемо базуватись на результатах досліджень науковців та дослідників МВФ. </w:t>
      </w:r>
    </w:p>
    <w:p w14:paraId="29795CA0" w14:textId="77777777" w:rsidR="000F508F" w:rsidRPr="00F00EB0" w:rsidRDefault="000F508F" w:rsidP="000F508F">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Результати проведеного дослідження дали змогу зробити висновок, що інтегрованою мірою ФСБ на рівні окремих банків є Z-показник. Він дозволяє порівняти буфери ФСБ (капіталізацію та прибуток) з ризиком (мінливість прибутку) (формула 3.1).</w:t>
      </w:r>
    </w:p>
    <w:p w14:paraId="2FE31C00" w14:textId="77777777" w:rsidR="000F508F" w:rsidRPr="00F00EB0" w:rsidRDefault="000F508F" w:rsidP="000F508F">
      <w:pPr>
        <w:spacing w:line="240" w:lineRule="auto"/>
        <w:rPr>
          <w:rFonts w:ascii="Times New Roman" w:hAnsi="Times New Roman" w:cs="Times New Roman"/>
          <w:color w:val="000000" w:themeColor="text1"/>
          <w:szCs w:val="28"/>
          <w:lang w:val="uk-UA"/>
        </w:rPr>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14"/>
        <w:gridCol w:w="807"/>
      </w:tblGrid>
      <w:tr w:rsidR="000F508F" w:rsidRPr="00F00EB0" w14:paraId="5C64173B" w14:textId="77777777" w:rsidTr="003123DE">
        <w:trPr>
          <w:trHeight w:val="321"/>
        </w:trPr>
        <w:tc>
          <w:tcPr>
            <w:tcW w:w="10173" w:type="dxa"/>
          </w:tcPr>
          <w:p w14:paraId="36B5F67B" w14:textId="77777777" w:rsidR="000F508F" w:rsidRPr="00F00EB0" w:rsidRDefault="00E36248" w:rsidP="003123DE">
            <w:pPr>
              <w:rPr>
                <w:rFonts w:ascii="Times New Roman" w:hAnsi="Times New Roman" w:cs="Times New Roman"/>
                <w:i/>
                <w:color w:val="000000" w:themeColor="text1"/>
                <w:szCs w:val="28"/>
                <w:lang w:val="uk-UA"/>
              </w:rPr>
            </w:pPr>
            <m:oMathPara>
              <m:oMathParaPr>
                <m:jc m:val="center"/>
              </m:oMathParaPr>
              <m:oMath>
                <m:sSub>
                  <m:sSubPr>
                    <m:ctrlPr>
                      <w:rPr>
                        <w:rFonts w:ascii="Cambria Math" w:hAnsi="Cambria Math" w:cs="Times New Roman"/>
                        <w:i/>
                        <w:color w:val="000000" w:themeColor="text1"/>
                        <w:szCs w:val="28"/>
                        <w:lang w:val="uk-UA"/>
                      </w:rPr>
                    </m:ctrlPr>
                  </m:sSubPr>
                  <m:e>
                    <m:r>
                      <w:rPr>
                        <w:rFonts w:ascii="Cambria Math" w:hAnsi="Cambria Math" w:cs="Times New Roman"/>
                        <w:color w:val="000000" w:themeColor="text1"/>
                        <w:szCs w:val="28"/>
                        <w:lang w:val="uk-UA"/>
                      </w:rPr>
                      <m:t>Z</m:t>
                    </m:r>
                  </m:e>
                  <m:sub>
                    <m:r>
                      <w:rPr>
                        <w:rFonts w:ascii="Cambria Math" w:hAnsi="Cambria Math" w:cs="Times New Roman"/>
                        <w:color w:val="000000" w:themeColor="text1"/>
                        <w:szCs w:val="28"/>
                        <w:lang w:val="uk-UA"/>
                      </w:rPr>
                      <m:t>i</m:t>
                    </m:r>
                  </m:sub>
                </m:sSub>
                <m:r>
                  <w:rPr>
                    <w:rFonts w:ascii="Cambria Math" w:hAnsi="Cambria Math" w:cs="Times New Roman"/>
                    <w:color w:val="000000" w:themeColor="text1"/>
                    <w:szCs w:val="28"/>
                    <w:lang w:val="uk-UA"/>
                  </w:rPr>
                  <m:t>=</m:t>
                </m:r>
                <m:f>
                  <m:fPr>
                    <m:ctrlPr>
                      <w:rPr>
                        <w:rFonts w:ascii="Cambria Math" w:hAnsi="Cambria Math" w:cs="Times New Roman"/>
                        <w:i/>
                        <w:color w:val="000000" w:themeColor="text1"/>
                        <w:szCs w:val="28"/>
                        <w:lang w:val="uk-UA"/>
                      </w:rPr>
                    </m:ctrlPr>
                  </m:fPr>
                  <m:num>
                    <m:sSub>
                      <m:sSubPr>
                        <m:ctrlPr>
                          <w:rPr>
                            <w:rFonts w:ascii="Cambria Math" w:hAnsi="Cambria Math" w:cs="Times New Roman"/>
                            <w:i/>
                            <w:color w:val="000000" w:themeColor="text1"/>
                            <w:szCs w:val="28"/>
                            <w:lang w:val="uk-UA"/>
                          </w:rPr>
                        </m:ctrlPr>
                      </m:sSubPr>
                      <m:e>
                        <m:r>
                          <w:rPr>
                            <w:rFonts w:ascii="Cambria Math" w:hAnsi="Cambria Math" w:cs="Times New Roman"/>
                            <w:color w:val="000000" w:themeColor="text1"/>
                            <w:szCs w:val="28"/>
                            <w:lang w:val="uk-UA"/>
                          </w:rPr>
                          <m:t>ROA</m:t>
                        </m:r>
                      </m:e>
                      <m:sub>
                        <m:r>
                          <w:rPr>
                            <w:rFonts w:ascii="Cambria Math" w:hAnsi="Cambria Math" w:cs="Times New Roman"/>
                            <w:color w:val="000000" w:themeColor="text1"/>
                            <w:szCs w:val="28"/>
                            <w:lang w:val="uk-UA"/>
                          </w:rPr>
                          <m:t>i</m:t>
                        </m:r>
                      </m:sub>
                    </m:sSub>
                    <m:r>
                      <w:rPr>
                        <w:rFonts w:ascii="Cambria Math" w:hAnsi="Cambria Math" w:cs="Times New Roman"/>
                        <w:color w:val="000000" w:themeColor="text1"/>
                        <w:szCs w:val="28"/>
                        <w:lang w:val="uk-UA"/>
                      </w:rPr>
                      <m:t>+</m:t>
                    </m:r>
                    <m:f>
                      <m:fPr>
                        <m:ctrlPr>
                          <w:rPr>
                            <w:rFonts w:ascii="Cambria Math" w:hAnsi="Cambria Math" w:cs="Times New Roman"/>
                            <w:i/>
                            <w:color w:val="000000" w:themeColor="text1"/>
                            <w:szCs w:val="28"/>
                            <w:lang w:val="uk-UA"/>
                          </w:rPr>
                        </m:ctrlPr>
                      </m:fPr>
                      <m:num>
                        <m:sSub>
                          <m:sSubPr>
                            <m:ctrlPr>
                              <w:rPr>
                                <w:rFonts w:ascii="Cambria Math" w:hAnsi="Cambria Math" w:cs="Times New Roman"/>
                                <w:i/>
                                <w:color w:val="000000" w:themeColor="text1"/>
                                <w:szCs w:val="28"/>
                                <w:lang w:val="uk-UA"/>
                              </w:rPr>
                            </m:ctrlPr>
                          </m:sSubPr>
                          <m:e>
                            <m:r>
                              <w:rPr>
                                <w:rFonts w:ascii="Cambria Math" w:hAnsi="Cambria Math" w:cs="Times New Roman"/>
                                <w:color w:val="000000" w:themeColor="text1"/>
                                <w:szCs w:val="28"/>
                                <w:lang w:val="uk-UA"/>
                              </w:rPr>
                              <m:t>ВК</m:t>
                            </m:r>
                          </m:e>
                          <m:sub>
                            <m:r>
                              <w:rPr>
                                <w:rFonts w:ascii="Cambria Math" w:hAnsi="Cambria Math" w:cs="Times New Roman"/>
                                <w:color w:val="000000" w:themeColor="text1"/>
                                <w:szCs w:val="28"/>
                                <w:lang w:val="uk-UA"/>
                              </w:rPr>
                              <m:t>і</m:t>
                            </m:r>
                          </m:sub>
                        </m:sSub>
                      </m:num>
                      <m:den>
                        <m:sSub>
                          <m:sSubPr>
                            <m:ctrlPr>
                              <w:rPr>
                                <w:rFonts w:ascii="Cambria Math" w:hAnsi="Cambria Math" w:cs="Times New Roman"/>
                                <w:i/>
                                <w:color w:val="000000" w:themeColor="text1"/>
                                <w:szCs w:val="28"/>
                                <w:lang w:val="uk-UA"/>
                              </w:rPr>
                            </m:ctrlPr>
                          </m:sSubPr>
                          <m:e>
                            <m:r>
                              <w:rPr>
                                <w:rFonts w:ascii="Cambria Math" w:hAnsi="Cambria Math" w:cs="Times New Roman"/>
                                <w:color w:val="000000" w:themeColor="text1"/>
                                <w:szCs w:val="28"/>
                                <w:lang w:val="uk-UA"/>
                              </w:rPr>
                              <m:t>А</m:t>
                            </m:r>
                          </m:e>
                          <m:sub>
                            <m:r>
                              <w:rPr>
                                <w:rFonts w:ascii="Cambria Math" w:hAnsi="Cambria Math" w:cs="Times New Roman"/>
                                <w:color w:val="000000" w:themeColor="text1"/>
                                <w:szCs w:val="28"/>
                                <w:lang w:val="uk-UA"/>
                              </w:rPr>
                              <m:t>і</m:t>
                            </m:r>
                          </m:sub>
                        </m:sSub>
                      </m:den>
                    </m:f>
                  </m:num>
                  <m:den>
                    <m:rad>
                      <m:radPr>
                        <m:degHide m:val="1"/>
                        <m:ctrlPr>
                          <w:rPr>
                            <w:rFonts w:ascii="Cambria Math" w:hAnsi="Cambria Math" w:cs="Times New Roman"/>
                            <w:i/>
                            <w:color w:val="000000" w:themeColor="text1"/>
                            <w:szCs w:val="28"/>
                            <w:lang w:val="uk-UA"/>
                          </w:rPr>
                        </m:ctrlPr>
                      </m:radPr>
                      <m:deg/>
                      <m:e>
                        <m:sSup>
                          <m:sSupPr>
                            <m:ctrlPr>
                              <w:rPr>
                                <w:rFonts w:ascii="Cambria Math" w:hAnsi="Cambria Math" w:cs="Times New Roman"/>
                                <w:i/>
                                <w:color w:val="000000" w:themeColor="text1"/>
                                <w:szCs w:val="28"/>
                                <w:lang w:val="uk-UA"/>
                              </w:rPr>
                            </m:ctrlPr>
                          </m:sSupPr>
                          <m:e>
                            <m:r>
                              <w:rPr>
                                <w:rFonts w:ascii="Cambria Math" w:hAnsi="Cambria Math" w:cs="Times New Roman"/>
                                <w:color w:val="000000" w:themeColor="text1"/>
                                <w:szCs w:val="28"/>
                                <w:lang w:val="uk-UA"/>
                              </w:rPr>
                              <m:t>σ</m:t>
                            </m:r>
                          </m:e>
                          <m:sup>
                            <m:r>
                              <w:rPr>
                                <w:rFonts w:ascii="Cambria Math" w:hAnsi="Cambria Math" w:cs="Times New Roman"/>
                                <w:color w:val="000000" w:themeColor="text1"/>
                                <w:szCs w:val="28"/>
                                <w:lang w:val="uk-UA"/>
                              </w:rPr>
                              <m:t>2</m:t>
                            </m:r>
                          </m:sup>
                        </m:sSup>
                        <m:r>
                          <w:rPr>
                            <w:rFonts w:ascii="Cambria Math" w:hAnsi="Cambria Math" w:cs="Times New Roman"/>
                            <w:color w:val="000000" w:themeColor="text1"/>
                            <w:szCs w:val="28"/>
                            <w:lang w:val="uk-UA"/>
                          </w:rPr>
                          <m:t>(</m:t>
                        </m:r>
                        <m:sSub>
                          <m:sSubPr>
                            <m:ctrlPr>
                              <w:rPr>
                                <w:rFonts w:ascii="Cambria Math" w:hAnsi="Cambria Math" w:cs="Times New Roman"/>
                                <w:i/>
                                <w:color w:val="000000" w:themeColor="text1"/>
                                <w:szCs w:val="28"/>
                                <w:lang w:val="uk-UA"/>
                              </w:rPr>
                            </m:ctrlPr>
                          </m:sSubPr>
                          <m:e>
                            <m:r>
                              <w:rPr>
                                <w:rFonts w:ascii="Cambria Math" w:hAnsi="Cambria Math" w:cs="Times New Roman"/>
                                <w:color w:val="000000" w:themeColor="text1"/>
                                <w:szCs w:val="28"/>
                                <w:lang w:val="uk-UA"/>
                              </w:rPr>
                              <m:t>ROA</m:t>
                            </m:r>
                          </m:e>
                          <m:sub>
                            <m:r>
                              <w:rPr>
                                <w:rFonts w:ascii="Cambria Math" w:hAnsi="Cambria Math" w:cs="Times New Roman"/>
                                <w:color w:val="000000" w:themeColor="text1"/>
                                <w:szCs w:val="28"/>
                                <w:lang w:val="uk-UA"/>
                              </w:rPr>
                              <m:t>i</m:t>
                            </m:r>
                          </m:sub>
                        </m:sSub>
                        <m:r>
                          <w:rPr>
                            <w:rFonts w:ascii="Cambria Math" w:hAnsi="Cambria Math" w:cs="Times New Roman"/>
                            <w:color w:val="000000" w:themeColor="text1"/>
                            <w:szCs w:val="28"/>
                            <w:lang w:val="uk-UA"/>
                          </w:rPr>
                          <m:t>)</m:t>
                        </m:r>
                      </m:e>
                    </m:rad>
                  </m:den>
                </m:f>
              </m:oMath>
            </m:oMathPara>
          </w:p>
          <w:p w14:paraId="7DBD9549" w14:textId="77777777" w:rsidR="000F508F" w:rsidRPr="00F00EB0" w:rsidRDefault="000F508F" w:rsidP="003123DE">
            <w:pPr>
              <w:rPr>
                <w:rFonts w:ascii="Times New Roman" w:hAnsi="Times New Roman" w:cs="Times New Roman"/>
                <w:color w:val="000000" w:themeColor="text1"/>
                <w:szCs w:val="28"/>
                <w:lang w:val="uk-UA"/>
              </w:rPr>
            </w:pPr>
          </w:p>
        </w:tc>
        <w:tc>
          <w:tcPr>
            <w:tcW w:w="815" w:type="dxa"/>
            <w:vAlign w:val="center"/>
          </w:tcPr>
          <w:p w14:paraId="6D151218" w14:textId="77777777" w:rsidR="000F508F" w:rsidRPr="00F00EB0" w:rsidRDefault="000F508F" w:rsidP="003123DE">
            <w:pPr>
              <w:jc w:val="center"/>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(3.1)</w:t>
            </w:r>
          </w:p>
        </w:tc>
      </w:tr>
    </w:tbl>
    <w:p w14:paraId="06DC1DA9" w14:textId="77777777" w:rsidR="000F508F" w:rsidRPr="00F00EB0" w:rsidRDefault="000F508F" w:rsidP="000F508F">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де Z</w:t>
      </w:r>
      <w:r w:rsidRPr="00F00EB0">
        <w:rPr>
          <w:rFonts w:ascii="Times New Roman" w:hAnsi="Times New Roman" w:cs="Times New Roman"/>
          <w:color w:val="000000" w:themeColor="text1"/>
          <w:sz w:val="28"/>
          <w:szCs w:val="28"/>
          <w:vertAlign w:val="subscript"/>
          <w:lang w:val="uk-UA"/>
        </w:rPr>
        <w:t>і</w:t>
      </w:r>
      <w:r w:rsidRPr="00F00EB0">
        <w:rPr>
          <w:rFonts w:ascii="Times New Roman" w:hAnsi="Times New Roman" w:cs="Times New Roman"/>
          <w:color w:val="000000" w:themeColor="text1"/>
          <w:sz w:val="28"/>
          <w:szCs w:val="28"/>
          <w:lang w:val="uk-UA"/>
        </w:rPr>
        <w:t>– інтегративний показник ФСБ;</w:t>
      </w:r>
    </w:p>
    <w:p w14:paraId="456A8D19" w14:textId="77777777" w:rsidR="000F508F" w:rsidRPr="00F00EB0" w:rsidRDefault="000F508F" w:rsidP="000F508F">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 xml:space="preserve">    ROA – прибутковість активів;</w:t>
      </w:r>
    </w:p>
    <w:p w14:paraId="23B3D478" w14:textId="77777777" w:rsidR="000F508F" w:rsidRPr="00F00EB0" w:rsidRDefault="000F508F" w:rsidP="000F508F">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    ВК – власний капітал (у відсотках від активів);</w:t>
      </w:r>
    </w:p>
    <w:p w14:paraId="44EAD802" w14:textId="77777777" w:rsidR="000F508F" w:rsidRPr="00F00EB0" w:rsidRDefault="000F508F" w:rsidP="000F508F">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    А – сукупні активи;</w:t>
      </w:r>
    </w:p>
    <w:p w14:paraId="006DAB75" w14:textId="77777777" w:rsidR="000F508F" w:rsidRPr="00F00EB0" w:rsidRDefault="000F508F" w:rsidP="000F508F">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    </w:t>
      </w:r>
      <m:oMath>
        <m:sSup>
          <m:sSupPr>
            <m:ctrlPr>
              <w:rPr>
                <w:rFonts w:ascii="Cambria Math" w:hAnsi="Cambria Math" w:cs="Times New Roman"/>
                <w:color w:val="000000" w:themeColor="text1"/>
                <w:sz w:val="28"/>
                <w:szCs w:val="28"/>
                <w:lang w:val="uk-UA"/>
              </w:rPr>
            </m:ctrlPr>
          </m:sSupPr>
          <m:e>
            <m:r>
              <w:rPr>
                <w:rFonts w:ascii="Cambria Math" w:hAnsi="Cambria Math" w:cs="Times New Roman"/>
                <w:color w:val="000000" w:themeColor="text1"/>
                <w:sz w:val="28"/>
                <w:szCs w:val="28"/>
                <w:lang w:val="uk-UA"/>
              </w:rPr>
              <m:t>σ</m:t>
            </m:r>
          </m:e>
          <m:sup>
            <m:r>
              <m:rPr>
                <m:sty m:val="p"/>
              </m:rPr>
              <w:rPr>
                <w:rFonts w:ascii="Cambria Math" w:hAnsi="Cambria Math" w:cs="Times New Roman"/>
                <w:color w:val="000000" w:themeColor="text1"/>
                <w:sz w:val="28"/>
                <w:szCs w:val="28"/>
                <w:lang w:val="uk-UA"/>
              </w:rPr>
              <m:t>2</m:t>
            </m:r>
          </m:sup>
        </m:sSup>
        <m:r>
          <m:rPr>
            <m:sty m:val="p"/>
          </m:rPr>
          <w:rPr>
            <w:rFonts w:ascii="Cambria Math" w:hAnsi="Cambria Math" w:cs="Times New Roman"/>
            <w:color w:val="000000" w:themeColor="text1"/>
            <w:sz w:val="28"/>
            <w:szCs w:val="28"/>
            <w:lang w:val="uk-UA"/>
          </w:rPr>
          <m:t>(</m:t>
        </m:r>
      </m:oMath>
      <w:r w:rsidRPr="00F00EB0">
        <w:rPr>
          <w:rFonts w:ascii="Times New Roman" w:hAnsi="Times New Roman" w:cs="Times New Roman"/>
          <w:color w:val="000000" w:themeColor="text1"/>
          <w:sz w:val="28"/>
          <w:szCs w:val="28"/>
          <w:lang w:val="uk-UA"/>
        </w:rPr>
        <w:t>ROA) – дисперсія прибутковості активів як приблизний показник волатильності прибутку;</w:t>
      </w:r>
    </w:p>
    <w:p w14:paraId="0A575C1B" w14:textId="77777777" w:rsidR="000F508F" w:rsidRPr="00F00EB0" w:rsidRDefault="000F508F" w:rsidP="000F508F">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     і – період, протягом якого здійснюється дослідження [1].</w:t>
      </w:r>
    </w:p>
    <w:p w14:paraId="54753EEA" w14:textId="77777777" w:rsidR="000F508F" w:rsidRPr="00F00EB0" w:rsidRDefault="000F508F" w:rsidP="000F508F">
      <w:pPr>
        <w:spacing w:after="0" w:line="360" w:lineRule="auto"/>
        <w:ind w:firstLine="709"/>
        <w:jc w:val="both"/>
        <w:rPr>
          <w:rFonts w:ascii="Times New Roman" w:hAnsi="Times New Roman" w:cs="Times New Roman"/>
          <w:color w:val="000000" w:themeColor="text1"/>
          <w:szCs w:val="28"/>
          <w:lang w:val="uk-UA"/>
        </w:rPr>
      </w:pPr>
    </w:p>
    <w:p w14:paraId="30FB8AD0" w14:textId="77777777" w:rsidR="000F508F" w:rsidRPr="00F00EB0" w:rsidRDefault="000F508F" w:rsidP="000F508F">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Ключовою перевагою цього показника є те, що він має чіткий (негативний) зв’язок з імовірністю неплатоспроможності банку (вищий Z-показник означає меншу ймовірність неплатоспроможності [1]. За результатами досліджень доведено, що в середньому Z-показник може передбачити 76 % банкрутств банків, при цьому його прогностична для прогнозування дефолту банку залишається стабільною протягом трирічного вікна вперед.</w:t>
      </w:r>
    </w:p>
    <w:p w14:paraId="3D0909A8"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hAnsi="Times New Roman" w:cs="Times New Roman"/>
          <w:color w:val="000000" w:themeColor="text1"/>
          <w:sz w:val="28"/>
          <w:szCs w:val="28"/>
          <w:lang w:val="uk-UA"/>
        </w:rPr>
        <w:t xml:space="preserve">Результати його розрахунку на даних </w:t>
      </w:r>
      <w:r w:rsidRPr="00F00EB0">
        <w:rPr>
          <w:rFonts w:ascii="Times New Roman" w:eastAsia="Times New Roman" w:hAnsi="Times New Roman" w:cs="Times New Roman"/>
          <w:color w:val="000000" w:themeColor="text1"/>
          <w:kern w:val="1"/>
          <w:sz w:val="28"/>
          <w:szCs w:val="24"/>
          <w:lang w:val="uk-UA" w:eastAsia="ru-RU"/>
        </w:rPr>
        <w:t>АТ КБ «ПриватБанк» та банківської системи України</w:t>
      </w:r>
      <w:r w:rsidRPr="00F00EB0">
        <w:rPr>
          <w:rFonts w:ascii="Times New Roman" w:hAnsi="Times New Roman" w:cs="Times New Roman"/>
          <w:color w:val="000000" w:themeColor="text1"/>
          <w:sz w:val="28"/>
          <w:szCs w:val="28"/>
          <w:lang w:val="uk-UA"/>
        </w:rPr>
        <w:t xml:space="preserve"> </w:t>
      </w:r>
      <w:r w:rsidRPr="00F00EB0">
        <w:rPr>
          <w:rFonts w:ascii="Times New Roman" w:eastAsia="Calibri" w:hAnsi="Times New Roman" w:cs="Times New Roman"/>
          <w:color w:val="000000" w:themeColor="text1"/>
          <w:sz w:val="28"/>
          <w:szCs w:val="28"/>
          <w:lang w:val="uk-UA" w:eastAsia="ru-RU"/>
        </w:rPr>
        <w:t>за 2016-2022 роки представлено на рисунку 2.20.</w:t>
      </w:r>
    </w:p>
    <w:p w14:paraId="1EC43F6F" w14:textId="77777777" w:rsidR="000F508F" w:rsidRPr="00F00EB0" w:rsidRDefault="000F508F" w:rsidP="000F508F">
      <w:pPr>
        <w:spacing w:after="0" w:line="360" w:lineRule="auto"/>
        <w:ind w:firstLine="709"/>
        <w:jc w:val="both"/>
        <w:rPr>
          <w:rFonts w:ascii="Times New Roman" w:hAnsi="Times New Roman" w:cs="Times New Roman"/>
          <w:color w:val="000000" w:themeColor="text1"/>
          <w:sz w:val="28"/>
          <w:szCs w:val="28"/>
          <w:lang w:val="uk-UA"/>
        </w:rPr>
      </w:pPr>
    </w:p>
    <w:p w14:paraId="69C25126" w14:textId="77777777" w:rsidR="000F508F" w:rsidRPr="00F00EB0" w:rsidRDefault="000F508F" w:rsidP="000F508F">
      <w:pPr>
        <w:widowControl w:val="0"/>
        <w:spacing w:after="0" w:line="360" w:lineRule="auto"/>
        <w:jc w:val="both"/>
        <w:rPr>
          <w:rFonts w:ascii="Times New Roman" w:eastAsia="Calibri" w:hAnsi="Times New Roman" w:cs="Times New Roman"/>
          <w:color w:val="000000" w:themeColor="text1"/>
          <w:sz w:val="28"/>
          <w:szCs w:val="28"/>
          <w:lang w:val="uk-UA" w:eastAsia="ru-RU"/>
        </w:rPr>
      </w:pPr>
      <w:r w:rsidRPr="00F00EB0">
        <w:rPr>
          <w:noProof/>
          <w:color w:val="000000" w:themeColor="text1"/>
          <w:lang w:eastAsia="ru-RU"/>
          <w14:ligatures w14:val="standardContextual"/>
        </w:rPr>
        <w:drawing>
          <wp:inline distT="0" distB="0" distL="0" distR="0" wp14:anchorId="1FD3E3CE" wp14:editId="1ED72497">
            <wp:extent cx="6299835" cy="3145971"/>
            <wp:effectExtent l="0" t="0" r="5715" b="0"/>
            <wp:docPr id="1904424848" name="Диаграмма 1">
              <a:extLst xmlns:a="http://schemas.openxmlformats.org/drawingml/2006/main">
                <a:ext uri="{FF2B5EF4-FFF2-40B4-BE49-F238E27FC236}">
                  <a16:creationId xmlns:a16="http://schemas.microsoft.com/office/drawing/2014/main" id="{933DE783-7D92-7391-3A87-ACA3D3F531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5EB0181D" w14:textId="77777777" w:rsidR="000F508F" w:rsidRPr="00F00EB0" w:rsidRDefault="000F508F" w:rsidP="000F508F">
      <w:pPr>
        <w:widowControl w:val="0"/>
        <w:spacing w:after="0" w:line="360" w:lineRule="auto"/>
        <w:jc w:val="center"/>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 xml:space="preserve">Рисунок 2.20 – Динаміка </w:t>
      </w:r>
      <w:r w:rsidRPr="00F00EB0">
        <w:rPr>
          <w:rFonts w:ascii="Times New Roman" w:hAnsi="Times New Roman" w:cs="Times New Roman"/>
          <w:color w:val="000000" w:themeColor="text1"/>
          <w:sz w:val="28"/>
          <w:szCs w:val="28"/>
          <w:lang w:val="uk-UA"/>
        </w:rPr>
        <w:t xml:space="preserve">Z-показника </w:t>
      </w:r>
      <w:r w:rsidRPr="00F00EB0">
        <w:rPr>
          <w:rFonts w:ascii="Times New Roman" w:eastAsia="Times New Roman" w:hAnsi="Times New Roman" w:cs="Times New Roman"/>
          <w:color w:val="000000" w:themeColor="text1"/>
          <w:kern w:val="1"/>
          <w:sz w:val="28"/>
          <w:szCs w:val="24"/>
          <w:lang w:val="uk-UA" w:eastAsia="ru-RU"/>
        </w:rPr>
        <w:t>АТ КБ «ПриватБанк»</w:t>
      </w:r>
      <w:r w:rsidRPr="00F00EB0">
        <w:rPr>
          <w:rFonts w:ascii="Times New Roman" w:hAnsi="Times New Roman" w:cs="Times New Roman"/>
          <w:color w:val="000000" w:themeColor="text1"/>
          <w:sz w:val="28"/>
          <w:szCs w:val="28"/>
          <w:lang w:val="uk-UA"/>
        </w:rPr>
        <w:t xml:space="preserve"> та банківської системи України </w:t>
      </w:r>
      <w:r w:rsidRPr="00F00EB0">
        <w:rPr>
          <w:rFonts w:ascii="Times New Roman" w:eastAsia="Calibri" w:hAnsi="Times New Roman" w:cs="Times New Roman"/>
          <w:color w:val="000000" w:themeColor="text1"/>
          <w:sz w:val="28"/>
          <w:szCs w:val="28"/>
          <w:lang w:val="uk-UA" w:eastAsia="ru-RU"/>
        </w:rPr>
        <w:t>за 2016-2022 роки [розраховано автором на основі 53-59, 63]</w:t>
      </w:r>
    </w:p>
    <w:p w14:paraId="2499ED4C" w14:textId="77777777" w:rsidR="000F508F" w:rsidRPr="00F00EB0" w:rsidRDefault="000F508F" w:rsidP="000F508F">
      <w:pPr>
        <w:autoSpaceDE w:val="0"/>
        <w:autoSpaceDN w:val="0"/>
        <w:adjustRightInd w:val="0"/>
        <w:spacing w:after="0" w:line="360" w:lineRule="auto"/>
        <w:ind w:firstLine="709"/>
        <w:contextualSpacing/>
        <w:jc w:val="both"/>
        <w:rPr>
          <w:rFonts w:ascii="Times New Roman" w:eastAsia="Calibri" w:hAnsi="Times New Roman" w:cs="Times New Roman"/>
          <w:color w:val="000000" w:themeColor="text1"/>
          <w:kern w:val="1"/>
          <w:sz w:val="28"/>
          <w:lang w:val="uk-UA" w:eastAsia="ru-RU" w:bidi="hi-IN"/>
        </w:rPr>
      </w:pPr>
    </w:p>
    <w:p w14:paraId="40315181" w14:textId="77777777" w:rsidR="000F508F" w:rsidRPr="00F00EB0" w:rsidRDefault="000F508F" w:rsidP="000F508F">
      <w:pPr>
        <w:autoSpaceDE w:val="0"/>
        <w:autoSpaceDN w:val="0"/>
        <w:adjustRightInd w:val="0"/>
        <w:spacing w:after="0" w:line="360" w:lineRule="auto"/>
        <w:ind w:firstLine="709"/>
        <w:contextualSpacing/>
        <w:jc w:val="both"/>
        <w:rPr>
          <w:rFonts w:ascii="Times New Roman" w:eastAsia="Calibri" w:hAnsi="Times New Roman" w:cs="Times New Roman"/>
          <w:color w:val="000000" w:themeColor="text1"/>
          <w:kern w:val="1"/>
          <w:sz w:val="28"/>
          <w:lang w:val="uk-UA" w:eastAsia="ru-RU" w:bidi="hi-IN"/>
        </w:rPr>
      </w:pPr>
      <w:r w:rsidRPr="00F00EB0">
        <w:rPr>
          <w:rFonts w:ascii="Times New Roman" w:eastAsia="Calibri" w:hAnsi="Times New Roman" w:cs="Times New Roman"/>
          <w:color w:val="000000" w:themeColor="text1"/>
          <w:kern w:val="1"/>
          <w:sz w:val="28"/>
          <w:lang w:val="uk-UA" w:eastAsia="ru-RU" w:bidi="hi-IN"/>
        </w:rPr>
        <w:lastRenderedPageBreak/>
        <w:t xml:space="preserve">Наведені дані свідчать, що ФСБ в усі періоди, крім періоду націоналізації, знаходиться на вищому рівні, ніж фінансова стійкість банківської системи України в цілому. Основною причиною цього є стійка до загроз та ефективна бізнес-модель банку, трансформована після націоналізації. Як результат банком забезпечується відносно високий рівень ФСБ попри негативний вплив пандемічної кризи (зниження рівня ФСБ у 2020 році) та функціонування в умовах війни (зниження рівня ФСБ у 2022 році), оскільки він має достатньо високі показники прибутковості та сталість в отриманні прибутку. </w:t>
      </w:r>
    </w:p>
    <w:p w14:paraId="3F1093FC"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lang w:val="uk-UA"/>
        </w:rPr>
      </w:pPr>
      <w:r w:rsidRPr="00F00EB0">
        <w:rPr>
          <w:rFonts w:ascii="Times New Roman" w:eastAsia="Calibri" w:hAnsi="Times New Roman" w:cs="Times New Roman"/>
          <w:color w:val="000000" w:themeColor="text1"/>
          <w:sz w:val="28"/>
          <w:lang w:val="uk-UA"/>
        </w:rPr>
        <w:t xml:space="preserve">Статистична база показників формується з даних за 2017-2022 рр. (додаток Л), при цьому для отримання коректних статистичних висновків ряди даних було нормалізовано та перевірено на наявність мультиколінеарності (відповідно до матриці парних коефіцієнтів кореляції всі коефіцієнти |r|&lt;0.7, що дозволяє зробити висновок про відсутність мультиколінеарності факторів). </w:t>
      </w:r>
    </w:p>
    <w:p w14:paraId="7A0A0761"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lang w:val="uk-UA"/>
        </w:rPr>
      </w:pPr>
      <w:r w:rsidRPr="00F00EB0">
        <w:rPr>
          <w:rFonts w:ascii="Times New Roman" w:eastAsia="Calibri" w:hAnsi="Times New Roman" w:cs="Times New Roman"/>
          <w:color w:val="000000" w:themeColor="text1"/>
          <w:sz w:val="28"/>
          <w:lang w:val="uk-UA"/>
        </w:rPr>
        <w:t>Рівняння регресії побудовано методом найменших квадратів (МНК), оскільки було виконані необхідні статистичні вимоги.</w:t>
      </w:r>
    </w:p>
    <w:p w14:paraId="6DCA1676" w14:textId="77777777" w:rsidR="000F508F" w:rsidRPr="00F00EB0" w:rsidRDefault="000F508F" w:rsidP="000F508F">
      <w:pPr>
        <w:pStyle w:val="ae"/>
        <w:numPr>
          <w:ilvl w:val="0"/>
          <w:numId w:val="31"/>
        </w:numPr>
        <w:tabs>
          <w:tab w:val="left" w:pos="1134"/>
        </w:tabs>
        <w:spacing w:after="0" w:line="360" w:lineRule="auto"/>
        <w:ind w:left="0" w:firstLine="709"/>
        <w:jc w:val="both"/>
        <w:rPr>
          <w:rFonts w:ascii="Times New Roman" w:eastAsia="Calibri" w:hAnsi="Times New Roman" w:cs="Times New Roman"/>
          <w:color w:val="000000" w:themeColor="text1"/>
          <w:sz w:val="28"/>
          <w:lang w:val="uk-UA"/>
        </w:rPr>
      </w:pPr>
      <w:r w:rsidRPr="00F00EB0">
        <w:rPr>
          <w:rFonts w:ascii="Times New Roman" w:eastAsia="Calibri" w:hAnsi="Times New Roman" w:cs="Times New Roman"/>
          <w:color w:val="000000" w:themeColor="text1"/>
          <w:sz w:val="28"/>
          <w:lang w:val="uk-UA"/>
        </w:rPr>
        <w:t xml:space="preserve">перевірка наявності гетероскедастичності на основі оцінки коефіцієнта рангової кореляції Спірмена. За результатами розрахунків ці коефіцієнти </w:t>
      </w:r>
    </w:p>
    <w:p w14:paraId="7CCCA161" w14:textId="77777777" w:rsidR="000F508F" w:rsidRPr="00F00EB0" w:rsidRDefault="000F508F" w:rsidP="000F508F">
      <w:pPr>
        <w:pStyle w:val="ae"/>
        <w:numPr>
          <w:ilvl w:val="0"/>
          <w:numId w:val="31"/>
        </w:numPr>
        <w:tabs>
          <w:tab w:val="left" w:pos="1134"/>
        </w:tabs>
        <w:spacing w:after="0" w:line="360" w:lineRule="auto"/>
        <w:ind w:left="0" w:firstLine="709"/>
        <w:jc w:val="both"/>
        <w:rPr>
          <w:rFonts w:ascii="Times New Roman" w:eastAsia="Calibri" w:hAnsi="Times New Roman" w:cs="Times New Roman"/>
          <w:color w:val="000000" w:themeColor="text1"/>
          <w:sz w:val="28"/>
          <w:lang w:val="uk-UA"/>
        </w:rPr>
      </w:pPr>
      <w:r w:rsidRPr="00F00EB0">
        <w:rPr>
          <w:rFonts w:ascii="Times New Roman" w:eastAsia="Calibri" w:hAnsi="Times New Roman" w:cs="Times New Roman"/>
          <w:color w:val="000000" w:themeColor="text1"/>
          <w:sz w:val="28"/>
          <w:lang w:val="uk-UA"/>
        </w:rPr>
        <w:t>статистично незначущі та ранговий кореляційний зв’язок між оцінками незначний. На основі перевірки гіпотези H0 визначено, що гетероскедастичність відсутня;</w:t>
      </w:r>
    </w:p>
    <w:p w14:paraId="5157F176" w14:textId="77777777" w:rsidR="000F508F" w:rsidRPr="00F00EB0" w:rsidRDefault="000F508F" w:rsidP="000F508F">
      <w:pPr>
        <w:pStyle w:val="ae"/>
        <w:numPr>
          <w:ilvl w:val="0"/>
          <w:numId w:val="31"/>
        </w:numPr>
        <w:tabs>
          <w:tab w:val="left" w:pos="1134"/>
        </w:tabs>
        <w:spacing w:after="0" w:line="360" w:lineRule="auto"/>
        <w:ind w:left="0" w:firstLine="709"/>
        <w:jc w:val="both"/>
        <w:rPr>
          <w:rFonts w:ascii="Times New Roman" w:eastAsia="Calibri" w:hAnsi="Times New Roman" w:cs="Times New Roman"/>
          <w:color w:val="000000" w:themeColor="text1"/>
          <w:sz w:val="28"/>
          <w:lang w:val="uk-UA"/>
        </w:rPr>
      </w:pPr>
      <w:r w:rsidRPr="00F00EB0">
        <w:rPr>
          <w:rFonts w:ascii="Times New Roman" w:eastAsia="Calibri" w:hAnsi="Times New Roman" w:cs="Times New Roman"/>
          <w:color w:val="000000" w:themeColor="text1"/>
          <w:sz w:val="28"/>
          <w:lang w:val="uk-UA"/>
        </w:rPr>
        <w:t>перевірка на наявність автокореляції залишків. Важливою умовою побудови якісної регресійної МНК моделі є незалежність значень випадкових відхилень від значень відхилень в інших спостереженнях. Для визначення ступеня автокореляції обчислено коефіцієнт автокореляції r1 та перевірено його значущість за допомогою критерію стандартної помилки. Оскільки -1.236 &lt; r1 = -0.818 &lt; 1.236, то властивість незалежності залишків виконується. Автокореляція відсутня;</w:t>
      </w:r>
    </w:p>
    <w:p w14:paraId="35D71302" w14:textId="77777777" w:rsidR="000F508F" w:rsidRPr="00F00EB0" w:rsidRDefault="000F508F" w:rsidP="000F508F">
      <w:pPr>
        <w:pStyle w:val="ae"/>
        <w:numPr>
          <w:ilvl w:val="0"/>
          <w:numId w:val="31"/>
        </w:numPr>
        <w:tabs>
          <w:tab w:val="left" w:pos="1134"/>
        </w:tabs>
        <w:spacing w:after="0" w:line="360" w:lineRule="auto"/>
        <w:ind w:left="0" w:firstLine="709"/>
        <w:jc w:val="both"/>
        <w:rPr>
          <w:rFonts w:ascii="Times New Roman" w:eastAsia="Calibri" w:hAnsi="Times New Roman" w:cs="Times New Roman"/>
          <w:color w:val="000000" w:themeColor="text1"/>
          <w:sz w:val="28"/>
          <w:lang w:val="uk-UA"/>
        </w:rPr>
      </w:pPr>
      <w:r w:rsidRPr="00F00EB0">
        <w:rPr>
          <w:rFonts w:ascii="Times New Roman" w:eastAsia="Calibri" w:hAnsi="Times New Roman" w:cs="Times New Roman"/>
          <w:color w:val="000000" w:themeColor="text1"/>
          <w:sz w:val="28"/>
          <w:lang w:val="uk-UA"/>
        </w:rPr>
        <w:t xml:space="preserve">перевірка нормальності розподілу залишкової компоненти з використанням RS-критерію. Розрахункове значення RS-критерію (3.291) потрапляє в інтервал (2,7-3,7), отже, виконується властивість нормального </w:t>
      </w:r>
      <w:r w:rsidRPr="00F00EB0">
        <w:rPr>
          <w:rFonts w:ascii="Times New Roman" w:eastAsia="Calibri" w:hAnsi="Times New Roman" w:cs="Times New Roman"/>
          <w:color w:val="000000" w:themeColor="text1"/>
          <w:sz w:val="28"/>
          <w:lang w:val="uk-UA"/>
        </w:rPr>
        <w:lastRenderedPageBreak/>
        <w:t>розподілу. Таким чином, модель адекватна нормальності розподілу залишкової компоненти.</w:t>
      </w:r>
    </w:p>
    <w:p w14:paraId="17011716"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lang w:val="uk-UA"/>
        </w:rPr>
      </w:pPr>
      <w:r w:rsidRPr="00F00EB0">
        <w:rPr>
          <w:rFonts w:ascii="Times New Roman" w:eastAsia="Calibri" w:hAnsi="Times New Roman" w:cs="Times New Roman"/>
          <w:color w:val="000000" w:themeColor="text1"/>
          <w:sz w:val="28"/>
          <w:lang w:val="uk-UA"/>
        </w:rPr>
        <w:t xml:space="preserve">За результатами розрахунків отримано рівняння множинної регресії (3.2): </w:t>
      </w:r>
    </w:p>
    <w:p w14:paraId="1FDF54ED"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lang w:val="uk-UA"/>
        </w:rPr>
      </w:pPr>
    </w:p>
    <w:p w14:paraId="55C9C8D6" w14:textId="77777777" w:rsidR="000F508F" w:rsidRPr="00F00EB0" w:rsidRDefault="000F508F" w:rsidP="000F508F">
      <w:pPr>
        <w:spacing w:after="0" w:line="360" w:lineRule="auto"/>
        <w:jc w:val="right"/>
        <w:rPr>
          <w:rFonts w:ascii="Times New Roman" w:eastAsia="Calibri" w:hAnsi="Times New Roman" w:cs="Times New Roman"/>
          <w:i/>
          <w:color w:val="000000" w:themeColor="text1"/>
          <w:sz w:val="26"/>
          <w:szCs w:val="26"/>
          <w:lang w:val="uk-UA"/>
        </w:rPr>
      </w:pPr>
      <m:oMath>
        <m:r>
          <w:rPr>
            <w:rFonts w:ascii="Cambria Math" w:eastAsia="Calibri" w:hAnsi="Cambria Math" w:cs="Times New Roman"/>
            <w:color w:val="000000" w:themeColor="text1"/>
            <w:sz w:val="26"/>
            <w:szCs w:val="26"/>
            <w:lang w:val="uk-UA"/>
          </w:rPr>
          <m:t>Z=-0,6439+6,5544 GDP+0,1199Inflation-8,6233Exc</m:t>
        </m:r>
        <m:sSub>
          <m:sSubPr>
            <m:ctrlPr>
              <w:rPr>
                <w:rFonts w:ascii="Cambria Math" w:eastAsia="Calibri" w:hAnsi="Cambria Math" w:cs="Times New Roman"/>
                <w:i/>
                <w:color w:val="000000" w:themeColor="text1"/>
                <w:sz w:val="26"/>
                <w:szCs w:val="26"/>
                <w:lang w:val="uk-UA"/>
              </w:rPr>
            </m:ctrlPr>
          </m:sSubPr>
          <m:e>
            <m:r>
              <w:rPr>
                <w:rFonts w:ascii="Cambria Math" w:eastAsia="Calibri" w:hAnsi="Cambria Math" w:cs="Times New Roman"/>
                <w:color w:val="000000" w:themeColor="text1"/>
                <w:sz w:val="26"/>
                <w:szCs w:val="26"/>
                <w:lang w:val="uk-UA"/>
              </w:rPr>
              <m:t>h</m:t>
            </m:r>
          </m:e>
          <m:sub>
            <m:r>
              <w:rPr>
                <w:rFonts w:ascii="Cambria Math" w:eastAsia="Calibri" w:hAnsi="Cambria Math" w:cs="Times New Roman"/>
                <w:color w:val="000000" w:themeColor="text1"/>
                <w:sz w:val="26"/>
                <w:szCs w:val="26"/>
                <w:lang w:val="uk-UA"/>
              </w:rPr>
              <m:t>rate</m:t>
            </m:r>
          </m:sub>
        </m:sSub>
      </m:oMath>
      <w:r w:rsidRPr="00F00EB0">
        <w:rPr>
          <w:rFonts w:ascii="Times New Roman" w:eastAsia="Calibri" w:hAnsi="Times New Roman" w:cs="Times New Roman"/>
          <w:i/>
          <w:color w:val="000000" w:themeColor="text1"/>
          <w:sz w:val="26"/>
          <w:szCs w:val="26"/>
          <w:lang w:val="uk-UA"/>
        </w:rPr>
        <w:t xml:space="preserve"> </w:t>
      </w:r>
      <w:r w:rsidRPr="00F00EB0">
        <w:rPr>
          <w:rFonts w:ascii="Times New Roman" w:eastAsia="Calibri" w:hAnsi="Times New Roman" w:cs="Times New Roman"/>
          <w:i/>
          <w:color w:val="000000" w:themeColor="text1"/>
          <w:sz w:val="26"/>
          <w:szCs w:val="26"/>
          <w:lang w:val="uk-UA"/>
        </w:rPr>
        <w:tab/>
      </w:r>
      <w:r w:rsidRPr="00F00EB0">
        <w:rPr>
          <w:rFonts w:ascii="Times New Roman" w:eastAsia="Calibri" w:hAnsi="Times New Roman" w:cs="Times New Roman"/>
          <w:i/>
          <w:color w:val="000000" w:themeColor="text1"/>
          <w:sz w:val="26"/>
          <w:szCs w:val="26"/>
          <w:lang w:val="uk-UA"/>
        </w:rPr>
        <w:tab/>
      </w:r>
      <w:r w:rsidRPr="00F00EB0">
        <w:rPr>
          <w:rFonts w:ascii="Times New Roman" w:eastAsia="Calibri" w:hAnsi="Times New Roman" w:cs="Times New Roman"/>
          <w:iCs/>
          <w:color w:val="000000" w:themeColor="text1"/>
          <w:sz w:val="28"/>
          <w:szCs w:val="28"/>
          <w:lang w:val="uk-UA"/>
        </w:rPr>
        <w:t>(3.2)</w:t>
      </w:r>
    </w:p>
    <w:p w14:paraId="392A912F"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lang w:val="uk-UA"/>
        </w:rPr>
      </w:pPr>
    </w:p>
    <w:p w14:paraId="311090F1"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lang w:val="uk-UA"/>
        </w:rPr>
      </w:pPr>
      <w:r w:rsidRPr="00F00EB0">
        <w:rPr>
          <w:rFonts w:ascii="Times New Roman" w:eastAsia="Calibri" w:hAnsi="Times New Roman" w:cs="Times New Roman"/>
          <w:color w:val="000000" w:themeColor="text1"/>
          <w:sz w:val="28"/>
          <w:lang w:val="uk-UA"/>
        </w:rPr>
        <w:t xml:space="preserve">Економічна інтерпретація параметрів моделі дозволяє визначити, що зростання реального ВВП на 1 млн грн. призводить до збільшення </w:t>
      </w:r>
      <w:r w:rsidRPr="00F00EB0">
        <w:rPr>
          <w:rFonts w:ascii="Times New Roman" w:hAnsi="Times New Roman" w:cs="Times New Roman"/>
          <w:color w:val="000000" w:themeColor="text1"/>
          <w:sz w:val="28"/>
          <w:szCs w:val="28"/>
          <w:lang w:val="uk-UA"/>
        </w:rPr>
        <w:t xml:space="preserve">Z-показника </w:t>
      </w:r>
      <w:r w:rsidRPr="00F00EB0">
        <w:rPr>
          <w:rFonts w:ascii="Times New Roman" w:eastAsia="Calibri" w:hAnsi="Times New Roman" w:cs="Times New Roman"/>
          <w:color w:val="000000" w:themeColor="text1"/>
          <w:sz w:val="28"/>
          <w:lang w:val="uk-UA"/>
        </w:rPr>
        <w:t xml:space="preserve">в середньому на 6,554 в.п.; збільшення інфляції на 1 в.п. призводить до збільшення </w:t>
      </w:r>
      <w:r w:rsidRPr="00F00EB0">
        <w:rPr>
          <w:rFonts w:ascii="Times New Roman" w:hAnsi="Times New Roman" w:cs="Times New Roman"/>
          <w:color w:val="000000" w:themeColor="text1"/>
          <w:sz w:val="28"/>
          <w:szCs w:val="28"/>
          <w:lang w:val="uk-UA"/>
        </w:rPr>
        <w:t>Z-показника</w:t>
      </w:r>
      <w:r w:rsidRPr="00F00EB0">
        <w:rPr>
          <w:rFonts w:ascii="Times New Roman" w:eastAsia="Calibri" w:hAnsi="Times New Roman" w:cs="Times New Roman"/>
          <w:color w:val="000000" w:themeColor="text1"/>
          <w:sz w:val="28"/>
          <w:lang w:val="uk-UA"/>
        </w:rPr>
        <w:t xml:space="preserve"> в середньому на 0,12 в.п.; збільшення курсу долару США до національної валюти на 1 од. призводить до зменшення </w:t>
      </w:r>
      <w:r w:rsidRPr="00F00EB0">
        <w:rPr>
          <w:rFonts w:ascii="Times New Roman" w:hAnsi="Times New Roman" w:cs="Times New Roman"/>
          <w:color w:val="000000" w:themeColor="text1"/>
          <w:sz w:val="28"/>
          <w:szCs w:val="28"/>
          <w:lang w:val="uk-UA"/>
        </w:rPr>
        <w:t>Z-показника</w:t>
      </w:r>
      <w:r w:rsidRPr="00F00EB0">
        <w:rPr>
          <w:rFonts w:ascii="Times New Roman" w:eastAsia="Calibri" w:hAnsi="Times New Roman" w:cs="Times New Roman"/>
          <w:color w:val="000000" w:themeColor="text1"/>
          <w:sz w:val="28"/>
          <w:lang w:val="uk-UA"/>
        </w:rPr>
        <w:t xml:space="preserve"> в середньому на 8,623 в.п. Найбільший вплив на результативну ознаку (значення </w:t>
      </w:r>
      <w:r w:rsidRPr="00F00EB0">
        <w:rPr>
          <w:rFonts w:ascii="Times New Roman" w:hAnsi="Times New Roman" w:cs="Times New Roman"/>
          <w:color w:val="000000" w:themeColor="text1"/>
          <w:sz w:val="28"/>
          <w:szCs w:val="28"/>
          <w:lang w:val="uk-UA"/>
        </w:rPr>
        <w:t>Z-показника</w:t>
      </w:r>
      <w:r w:rsidRPr="00F00EB0">
        <w:rPr>
          <w:rFonts w:ascii="Times New Roman" w:eastAsia="Calibri" w:hAnsi="Times New Roman" w:cs="Times New Roman"/>
          <w:color w:val="000000" w:themeColor="text1"/>
          <w:sz w:val="28"/>
          <w:lang w:val="uk-UA"/>
        </w:rPr>
        <w:t>) має фактор «Реальний ВВП» (r = 0,6312), отже, при побудові моделі він увійде до регресійного рівняння першим.</w:t>
      </w:r>
    </w:p>
    <w:p w14:paraId="6395315C"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lang w:val="uk-UA"/>
        </w:rPr>
      </w:pPr>
      <w:r w:rsidRPr="00F00EB0">
        <w:rPr>
          <w:rFonts w:ascii="Times New Roman" w:eastAsia="Calibri" w:hAnsi="Times New Roman" w:cs="Times New Roman"/>
          <w:color w:val="000000" w:themeColor="text1"/>
          <w:sz w:val="28"/>
          <w:lang w:val="uk-UA"/>
        </w:rPr>
        <w:t xml:space="preserve">За максимальним коефіцієнтом β1=0,731 робимо висновок, що найбільший вплив на значення </w:t>
      </w:r>
      <w:r w:rsidRPr="00F00EB0">
        <w:rPr>
          <w:rFonts w:ascii="Times New Roman" w:hAnsi="Times New Roman" w:cs="Times New Roman"/>
          <w:color w:val="000000" w:themeColor="text1"/>
          <w:sz w:val="28"/>
          <w:szCs w:val="28"/>
          <w:lang w:val="uk-UA"/>
        </w:rPr>
        <w:t>Z-показника</w:t>
      </w:r>
      <w:r w:rsidRPr="00F00EB0">
        <w:rPr>
          <w:rFonts w:ascii="Times New Roman" w:eastAsia="Calibri" w:hAnsi="Times New Roman" w:cs="Times New Roman"/>
          <w:color w:val="000000" w:themeColor="text1"/>
          <w:sz w:val="28"/>
          <w:lang w:val="uk-UA"/>
        </w:rPr>
        <w:t xml:space="preserve"> надає фактор «Реальний ВВП». </w:t>
      </w:r>
    </w:p>
    <w:p w14:paraId="6D937F05"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lang w:val="uk-UA"/>
        </w:rPr>
        <w:t xml:space="preserve">Статистична значущість рівняння перевірена за допомогою коефіцієнта детермінації та критерію Фішера. Встановлено, що відповідно до аналітичних даних 82,82 % загальної варіабельності </w:t>
      </w:r>
      <w:r w:rsidRPr="00F00EB0">
        <w:rPr>
          <w:rFonts w:ascii="Times New Roman" w:hAnsi="Times New Roman" w:cs="Times New Roman"/>
          <w:color w:val="000000" w:themeColor="text1"/>
          <w:sz w:val="28"/>
          <w:szCs w:val="28"/>
          <w:lang w:val="uk-UA"/>
        </w:rPr>
        <w:t>Z-показника</w:t>
      </w:r>
      <w:r w:rsidRPr="00F00EB0">
        <w:rPr>
          <w:rFonts w:ascii="Times New Roman" w:eastAsia="Calibri" w:hAnsi="Times New Roman" w:cs="Times New Roman"/>
          <w:color w:val="000000" w:themeColor="text1"/>
          <w:sz w:val="28"/>
          <w:lang w:val="uk-UA"/>
        </w:rPr>
        <w:t xml:space="preserve"> пояснюється зміною реального ВВП. </w:t>
      </w:r>
      <w:r w:rsidRPr="00F00EB0">
        <w:rPr>
          <w:rFonts w:ascii="Times New Roman" w:eastAsia="Calibri" w:hAnsi="Times New Roman" w:cs="Times New Roman"/>
          <w:color w:val="000000" w:themeColor="text1"/>
          <w:sz w:val="28"/>
          <w:szCs w:val="28"/>
          <w:lang w:val="uk-UA"/>
        </w:rPr>
        <w:t xml:space="preserve">Попри те, що вплив макрофакторів, включених до моделі, є статистично значущим, для повного моделювання впливу операційного середовища на ФСБ необхідне додавання додаткових змінних, які підвищать якість моделі та ефективність її використання для забезпечення ФСБ. </w:t>
      </w:r>
    </w:p>
    <w:p w14:paraId="4E7CD289" w14:textId="77777777" w:rsidR="000F508F" w:rsidRPr="00F00EB0" w:rsidRDefault="000F508F" w:rsidP="000F508F">
      <w:pPr>
        <w:spacing w:after="0" w:line="360" w:lineRule="auto"/>
        <w:ind w:firstLine="709"/>
        <w:jc w:val="both"/>
        <w:rPr>
          <w:rFonts w:ascii="Times New Roman" w:eastAsia="Calibri" w:hAnsi="Times New Roman" w:cs="Times New Roman"/>
          <w:color w:val="000000" w:themeColor="text1"/>
          <w:sz w:val="28"/>
          <w:szCs w:val="28"/>
          <w:lang w:val="uk-UA"/>
        </w:rPr>
      </w:pPr>
      <w:r w:rsidRPr="00F00EB0">
        <w:rPr>
          <w:rFonts w:ascii="Times New Roman" w:eastAsia="Calibri" w:hAnsi="Times New Roman" w:cs="Times New Roman"/>
          <w:color w:val="000000" w:themeColor="text1"/>
          <w:sz w:val="28"/>
          <w:szCs w:val="28"/>
          <w:lang w:val="uk-UA"/>
        </w:rPr>
        <w:t xml:space="preserve">Базуючись на даних прогнозу НБУ (базовий сценарій), очікується зростання ВВП, відповідно, це буде позитивно впливати на рівень ФСБ. Водночас в умовах повномасштабної військової агресії, що набула затяжного характеру, у разі зростання безпекових ризиків, макропоказники будуть погіршуватись, відповідно ФСБ буде знижуватись. </w:t>
      </w:r>
    </w:p>
    <w:p w14:paraId="25A5A504" w14:textId="77777777" w:rsidR="000F508F" w:rsidRPr="00F00EB0" w:rsidRDefault="000F508F" w:rsidP="000F508F">
      <w:pPr>
        <w:autoSpaceDE w:val="0"/>
        <w:autoSpaceDN w:val="0"/>
        <w:adjustRightInd w:val="0"/>
        <w:spacing w:after="0" w:line="360" w:lineRule="auto"/>
        <w:contextualSpacing/>
        <w:jc w:val="both"/>
        <w:rPr>
          <w:rFonts w:ascii="Times New Roman" w:eastAsia="Calibri" w:hAnsi="Times New Roman" w:cs="Times New Roman"/>
          <w:color w:val="000000" w:themeColor="text1"/>
          <w:kern w:val="1"/>
          <w:sz w:val="28"/>
          <w:lang w:val="uk-UA" w:eastAsia="ru-RU" w:bidi="hi-IN"/>
        </w:rPr>
      </w:pPr>
    </w:p>
    <w:p w14:paraId="28A999BA" w14:textId="77777777" w:rsidR="000F508F" w:rsidRDefault="000F508F">
      <w:pPr>
        <w:rPr>
          <w:rFonts w:ascii="Times New Roman" w:eastAsia="Calibri" w:hAnsi="Times New Roman" w:cs="Times New Roman"/>
          <w:color w:val="000000" w:themeColor="text1"/>
          <w:kern w:val="1"/>
          <w:sz w:val="28"/>
          <w:lang w:val="uk-UA" w:eastAsia="ru-RU" w:bidi="hi-IN"/>
        </w:rPr>
      </w:pPr>
      <w:r>
        <w:rPr>
          <w:rFonts w:ascii="Times New Roman" w:eastAsia="Calibri" w:hAnsi="Times New Roman" w:cs="Times New Roman"/>
          <w:color w:val="000000" w:themeColor="text1"/>
          <w:kern w:val="1"/>
          <w:sz w:val="28"/>
          <w:lang w:val="uk-UA" w:eastAsia="ru-RU" w:bidi="hi-IN"/>
        </w:rPr>
        <w:br w:type="page"/>
      </w:r>
    </w:p>
    <w:p w14:paraId="3AF6E860" w14:textId="77777777" w:rsidR="009515BC" w:rsidRPr="00F00EB0" w:rsidRDefault="009515BC" w:rsidP="009515BC">
      <w:pPr>
        <w:autoSpaceDE w:val="0"/>
        <w:autoSpaceDN w:val="0"/>
        <w:adjustRightInd w:val="0"/>
        <w:spacing w:after="0" w:line="360" w:lineRule="auto"/>
        <w:ind w:firstLine="709"/>
        <w:contextualSpacing/>
        <w:jc w:val="both"/>
        <w:rPr>
          <w:rFonts w:ascii="Times New Roman" w:eastAsia="Calibri" w:hAnsi="Times New Roman" w:cs="Times New Roman"/>
          <w:color w:val="000000" w:themeColor="text1"/>
          <w:kern w:val="1"/>
          <w:sz w:val="28"/>
          <w:lang w:val="uk-UA" w:eastAsia="ru-RU" w:bidi="hi-IN"/>
        </w:rPr>
      </w:pPr>
    </w:p>
    <w:p w14:paraId="27901D9D" w14:textId="3C3BD086" w:rsidR="00337505" w:rsidRPr="00F00EB0" w:rsidRDefault="0047503B" w:rsidP="0047503B">
      <w:pPr>
        <w:pStyle w:val="10"/>
        <w:rPr>
          <w:rFonts w:cs="Times New Roman"/>
          <w:b/>
          <w:color w:val="000000" w:themeColor="text1"/>
          <w:lang w:val="uk-UA"/>
        </w:rPr>
      </w:pPr>
      <w:bookmarkStart w:id="20" w:name="_Toc137414309"/>
      <w:r w:rsidRPr="00F00EB0">
        <w:rPr>
          <w:rFonts w:cs="Times New Roman"/>
          <w:b/>
          <w:color w:val="000000" w:themeColor="text1"/>
          <w:lang w:val="uk-UA"/>
        </w:rPr>
        <w:t>ВИСНОВКИ</w:t>
      </w:r>
      <w:bookmarkEnd w:id="20"/>
      <w:r w:rsidRPr="00F00EB0">
        <w:rPr>
          <w:rFonts w:cs="Times New Roman"/>
          <w:b/>
          <w:color w:val="000000" w:themeColor="text1"/>
          <w:lang w:val="uk-UA"/>
        </w:rPr>
        <w:t xml:space="preserve"> </w:t>
      </w:r>
    </w:p>
    <w:p w14:paraId="0101551A" w14:textId="77777777" w:rsidR="001F1EE1" w:rsidRPr="00F00EB0" w:rsidRDefault="001F1EE1" w:rsidP="006A3CEA">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p>
    <w:p w14:paraId="2B2A7B7F" w14:textId="77777777" w:rsidR="001F1EE1" w:rsidRPr="00F00EB0" w:rsidRDefault="001F1EE1" w:rsidP="006A3CEA">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p>
    <w:p w14:paraId="215D9A39" w14:textId="37DC7A0F" w:rsidR="009B1475" w:rsidRPr="00F00EB0" w:rsidRDefault="00F2098E" w:rsidP="00AE3A28">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За результатами теоретичного дослідження зроблені наступні висновки.</w:t>
      </w:r>
    </w:p>
    <w:p w14:paraId="758D52C6" w14:textId="77777777" w:rsidR="007B083B" w:rsidRPr="00F00EB0" w:rsidRDefault="00EA6C18" w:rsidP="00AE3A28">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Поняття «ФСБ» пропонуємо розглядати за якісним (здатність протистояти потрясінням та усуненню фінансових дисбалансів, що виникають ендогенно або в результаті значних несприятливих і непередбачених подій, та підтримувати фінансову рівновагу) та кількісним (структурне поняття, що характеризується системою показників, які свідчать про ефективне використання наявних ресурсів та виконання покладених на нього функцій, при цьому ці показники мають  як відповідати регуляторним нормам, так і таргетам, визначеним стратегією та бізнес-моделлю) підходом.</w:t>
      </w:r>
    </w:p>
    <w:p w14:paraId="5445807D" w14:textId="1B41F645" w:rsidR="007B083B" w:rsidRPr="00F00EB0" w:rsidRDefault="007B083B" w:rsidP="00AE3A28">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Зовнішні фактори впливу на ФСБ запропоновано поділяти на: фактори непостійної дії; загальної дії, що виникають як результат взаємодії економічних агентів у довгостроковій перспективі, та виникають на глобальному, національному та регіональному рівнях; прямої дії насамперед через вплив державного регулювання та нагляду. Банки мають бути готові адаптуватися до змін у зовнішньому середовищі та розробляти стратегії для зменшення негативного впливу цих факторів на свою діяльність.</w:t>
      </w:r>
    </w:p>
    <w:p w14:paraId="4EE736F8" w14:textId="43B6BB8A" w:rsidR="007B083B" w:rsidRPr="00F00EB0" w:rsidRDefault="007B083B" w:rsidP="00AE3A28">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eastAsia="ru-RU"/>
        </w:rPr>
        <w:t>Для систематизації внутрішніх факторів впливу на ФСБ запропоновано використовувати такі критеріальні ознаки, які визначаються в контексті кількісної оцінки її рівня (рівень капіталізації банку, ризикові позиції, ліквідність, рентабельність та інші фінансові показники). На основі аналізу цих критеріїв можна ідентифікувати ті внутрішні фактори, які мають суттєвий вплив на ФСБ та приймати відповідні рішення для її забезпечення та успішної діяльності банку.</w:t>
      </w:r>
    </w:p>
    <w:p w14:paraId="6170E821" w14:textId="7BC5FD24" w:rsidR="00F2098E" w:rsidRPr="00F00EB0" w:rsidRDefault="00F2098E" w:rsidP="00AE3A28">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F00EB0">
        <w:rPr>
          <w:rFonts w:ascii="Times New Roman" w:hAnsi="Times New Roman" w:cs="Times New Roman"/>
          <w:color w:val="000000" w:themeColor="text1"/>
          <w:sz w:val="28"/>
          <w:szCs w:val="28"/>
          <w:lang w:val="uk-UA"/>
        </w:rPr>
        <w:t xml:space="preserve">Механізм забезпечення ФСБ – це сукупність об’єктної та суб’єктної складових, взаємодія яких реалізується на основі функціональної складової, включаючи планування, аналіз, регулювання та контроль, що передбачають </w:t>
      </w:r>
      <w:r w:rsidRPr="00F00EB0">
        <w:rPr>
          <w:rFonts w:ascii="Times New Roman" w:hAnsi="Times New Roman" w:cs="Times New Roman"/>
          <w:color w:val="000000" w:themeColor="text1"/>
          <w:sz w:val="28"/>
          <w:szCs w:val="28"/>
          <w:lang w:val="uk-UA"/>
        </w:rPr>
        <w:lastRenderedPageBreak/>
        <w:t>систематичне проведення інформаційно-пов’язаних етапів для визначення впливу факторів на ФСБ.</w:t>
      </w:r>
    </w:p>
    <w:p w14:paraId="656C7B7C" w14:textId="1C461CFD" w:rsidR="00F2098E" w:rsidRPr="00F00EB0" w:rsidRDefault="00F2098E" w:rsidP="00AE3A28">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Об’єктна складова механізму забезпечення ФСБ передбачає вивчення тих об’єктів, які визначають її динамічний рівень. Базуючись на теорії управління, це можуть бути виключно внутрішні фактори, що детермінують її рівень. </w:t>
      </w:r>
    </w:p>
    <w:p w14:paraId="5267DC96" w14:textId="26E4729A" w:rsidR="00F2098E" w:rsidRPr="00F00EB0" w:rsidRDefault="00F2098E" w:rsidP="00AE3A28">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Суб’єктна складова механізму забезпечення ФСБ  включає управлінський персонал банку (внутрішні) НБУ та інші державні органи (зовнішні).</w:t>
      </w:r>
    </w:p>
    <w:p w14:paraId="22B3D5AA" w14:textId="3E59FEAC" w:rsidR="00F2098E" w:rsidRPr="00F00EB0" w:rsidRDefault="00F2098E" w:rsidP="00AE3A28">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Функціональна складова механізму забезпечення ФСБ – це сукупність методів та інструментів, що забезпечують ефективну реалізацію функцій планування, аналізу, регулювання та контролю.</w:t>
      </w:r>
    </w:p>
    <w:p w14:paraId="4C2659A7" w14:textId="0E014D39" w:rsidR="00F2098E" w:rsidRPr="00F00EB0" w:rsidRDefault="00F2098E" w:rsidP="00AE3A28">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Забезпечення ФСБ потребує нормативно-правової, інформаційної та програмно-технічної підтримки шляхом створення відповідних правил, стандартів, систем та інфраструктури.</w:t>
      </w:r>
    </w:p>
    <w:p w14:paraId="5A8EC935" w14:textId="57EE20C8" w:rsidR="001D5205" w:rsidRPr="00F00EB0" w:rsidRDefault="009B1475" w:rsidP="00AE3A28">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eastAsia="ru-RU"/>
        </w:rPr>
        <w:t>Базою</w:t>
      </w:r>
      <w:r w:rsidR="001D5205" w:rsidRPr="00F00EB0">
        <w:rPr>
          <w:rFonts w:ascii="Times New Roman" w:eastAsia="Times New Roman" w:hAnsi="Times New Roman" w:cs="Times New Roman"/>
          <w:color w:val="000000" w:themeColor="text1"/>
          <w:sz w:val="28"/>
          <w:szCs w:val="28"/>
          <w:lang w:val="uk-UA" w:eastAsia="ru-RU"/>
        </w:rPr>
        <w:t xml:space="preserve"> дослідження у роботі є фінансова стійкість банківської системи України та результати діяльності </w:t>
      </w:r>
      <w:r w:rsidR="001D5205" w:rsidRPr="00F00EB0">
        <w:rPr>
          <w:rFonts w:ascii="Times New Roman" w:hAnsi="Times New Roman" w:cs="Times New Roman"/>
          <w:bCs/>
          <w:color w:val="000000" w:themeColor="text1"/>
          <w:sz w:val="28"/>
          <w:szCs w:val="28"/>
          <w:shd w:val="clear" w:color="auto" w:fill="FFFFFF"/>
          <w:lang w:val="uk-UA"/>
        </w:rPr>
        <w:t>АТ КБ «ПриватБанк»</w:t>
      </w:r>
      <w:r w:rsidR="001D5205" w:rsidRPr="00F00EB0">
        <w:rPr>
          <w:rFonts w:ascii="Times New Roman" w:hAnsi="Times New Roman" w:cs="Times New Roman"/>
          <w:color w:val="000000" w:themeColor="text1"/>
          <w:sz w:val="28"/>
          <w:szCs w:val="28"/>
          <w:lang w:val="uk-UA"/>
        </w:rPr>
        <w:t xml:space="preserve"> за 2015-2022 рр.</w:t>
      </w:r>
    </w:p>
    <w:p w14:paraId="15C7F732" w14:textId="779D0D82" w:rsidR="009B1475" w:rsidRPr="00F00EB0" w:rsidRDefault="009B1475" w:rsidP="009B1475">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Ми визначили, що функціонування банківської системи на мікро- та макрорівнях здійснюється в умовах безпрецедентного рівня зовнішніх загроз, ключовими з яких є: повномасштабне вторгнення Росії в Україну та можлива подальша ескалація конфлікту (ключова геополітична загроза); світова рецесія, зростання світових цін на сировину та продовольство, високий рівень інфляції та жорстка монетарна політика країн-партнерів (геоекономічні загрози); падіння ВВП України, збільшення залежності від зовнішньої допомоги, зростання інфляції, нестабільності валютного курсу (економіко-фінансові загрози); зростання зовнішньої міграції (соціальна загроза); зростання кіберзагроз, пошкодження та руйнування об'єктів інфраструктури, зокрема енергетичної, та перебої з електропостачанням (технологічна загроза).</w:t>
      </w:r>
    </w:p>
    <w:p w14:paraId="1A6634AC" w14:textId="5245A4F2" w:rsidR="009B1475" w:rsidRPr="00F00EB0" w:rsidRDefault="009B1475" w:rsidP="009B1475">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uk-UA"/>
        </w:rPr>
      </w:pPr>
      <w:r w:rsidRPr="00F00EB0">
        <w:rPr>
          <w:rFonts w:ascii="Times New Roman" w:eastAsia="Times New Roman" w:hAnsi="Times New Roman" w:cs="Times New Roman"/>
          <w:color w:val="000000" w:themeColor="text1"/>
          <w:sz w:val="28"/>
          <w:szCs w:val="28"/>
          <w:lang w:val="uk-UA" w:eastAsia="uk-UA"/>
        </w:rPr>
        <w:t xml:space="preserve">Загальною тенденцією є те, що комплексна взаємодія та реалізація цих загроз може призвести до зменшення платоспроможного попиту на банківські послуги, погіршення кредитної якості позичальників зростання недіючих кредитів та зниження якості активів, обмеження можливостей банків у фінансуванні </w:t>
      </w:r>
      <w:r w:rsidRPr="00F00EB0">
        <w:rPr>
          <w:rFonts w:ascii="Times New Roman" w:eastAsia="Times New Roman" w:hAnsi="Times New Roman" w:cs="Times New Roman"/>
          <w:color w:val="000000" w:themeColor="text1"/>
          <w:sz w:val="28"/>
          <w:szCs w:val="28"/>
          <w:lang w:val="uk-UA" w:eastAsia="uk-UA"/>
        </w:rPr>
        <w:lastRenderedPageBreak/>
        <w:t>економіки, зростання валютного та операційного ризиків. Це створює критичну загрозу для ФСБ.</w:t>
      </w:r>
    </w:p>
    <w:p w14:paraId="332CC0C6" w14:textId="282444A9" w:rsidR="009B1475" w:rsidRPr="00F00EB0" w:rsidRDefault="009B1475" w:rsidP="009B1475">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eastAsia="ru-RU"/>
        </w:rPr>
        <w:t xml:space="preserve">За результатами аналізу фінансової стійкості </w:t>
      </w:r>
      <w:r w:rsidRPr="00F00EB0">
        <w:rPr>
          <w:rFonts w:ascii="Times New Roman" w:hAnsi="Times New Roman" w:cs="Times New Roman"/>
          <w:bCs/>
          <w:color w:val="000000" w:themeColor="text1"/>
          <w:sz w:val="28"/>
          <w:szCs w:val="28"/>
          <w:shd w:val="clear" w:color="auto" w:fill="FFFFFF"/>
          <w:lang w:val="uk-UA"/>
        </w:rPr>
        <w:t>АТ КБ «ПриватБанк»</w:t>
      </w:r>
      <w:r w:rsidRPr="00F00EB0">
        <w:rPr>
          <w:rFonts w:ascii="Times New Roman" w:hAnsi="Times New Roman" w:cs="Times New Roman"/>
          <w:color w:val="000000" w:themeColor="text1"/>
          <w:sz w:val="28"/>
          <w:szCs w:val="28"/>
          <w:lang w:val="uk-UA"/>
        </w:rPr>
        <w:t xml:space="preserve"> за 2015-2022 рр. ми зробили наступні висновки. </w:t>
      </w:r>
    </w:p>
    <w:p w14:paraId="3D85EBB0" w14:textId="500142B4" w:rsidR="00AE3A28" w:rsidRPr="00F00EB0" w:rsidRDefault="009B1475" w:rsidP="00AE3A28">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В</w:t>
      </w:r>
      <w:r w:rsidR="001D5205" w:rsidRPr="00F00EB0">
        <w:rPr>
          <w:rFonts w:ascii="Times New Roman" w:eastAsia="Calibri" w:hAnsi="Times New Roman" w:cs="Times New Roman"/>
          <w:color w:val="000000" w:themeColor="text1"/>
          <w:sz w:val="28"/>
          <w:szCs w:val="28"/>
          <w:lang w:val="uk-UA" w:eastAsia="ru-RU"/>
        </w:rPr>
        <w:t>нутрішніми факторами, які можуть знизити рівень ФСБ,</w:t>
      </w:r>
      <w:r w:rsidR="00AE3A28" w:rsidRPr="00F00EB0">
        <w:rPr>
          <w:rFonts w:ascii="Times New Roman" w:eastAsia="Calibri" w:hAnsi="Times New Roman" w:cs="Times New Roman"/>
          <w:color w:val="000000" w:themeColor="text1"/>
          <w:sz w:val="28"/>
          <w:szCs w:val="28"/>
          <w:lang w:val="uk-UA" w:eastAsia="ru-RU"/>
        </w:rPr>
        <w:t xml:space="preserve"> є: ризик ліквідності (короткостроковий характер ресурсів банку може знизити рівень ФСБ через відтоки коштів у разі погіршення ситуації в країні); погіршення якості кредитного портфеля через несприятливі зміни в операційному середовищі банку та позичальників; операційний ризик (пошкодження та знищення активів, збої в роботі банківських інформаційних систем, в тому числі через кібератаки, що можуть призвести до втрати даних, порушення клієнтської довіри та збитків, а також призупинення звичайної діяльності банку).</w:t>
      </w:r>
    </w:p>
    <w:p w14:paraId="49B07C8E" w14:textId="5B68D206" w:rsidR="00AE3A28" w:rsidRPr="00F00EB0" w:rsidRDefault="00AE3A28" w:rsidP="00857B2A">
      <w:pPr>
        <w:widowControl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F00EB0">
        <w:rPr>
          <w:rFonts w:ascii="Times New Roman" w:eastAsia="Calibri" w:hAnsi="Times New Roman" w:cs="Times New Roman"/>
          <w:color w:val="000000" w:themeColor="text1"/>
          <w:sz w:val="28"/>
          <w:szCs w:val="28"/>
          <w:lang w:val="uk-UA" w:eastAsia="ru-RU"/>
        </w:rPr>
        <w:t>Позитивно на рівень ФСБ впливає достатність капіталу банку та його статус як державного, що надаватиме підтрим</w:t>
      </w:r>
      <w:r w:rsidR="00857B2A" w:rsidRPr="00F00EB0">
        <w:rPr>
          <w:rFonts w:ascii="Times New Roman" w:eastAsia="Calibri" w:hAnsi="Times New Roman" w:cs="Times New Roman"/>
          <w:color w:val="000000" w:themeColor="text1"/>
          <w:sz w:val="28"/>
          <w:szCs w:val="28"/>
          <w:lang w:val="uk-UA" w:eastAsia="ru-RU"/>
        </w:rPr>
        <w:t>ку в разі зниження капіталізації; ефективна бізнес-модель, що дозволяє банку безперебійно</w:t>
      </w:r>
      <w:r w:rsidRPr="00F00EB0">
        <w:rPr>
          <w:rFonts w:ascii="Times New Roman" w:eastAsia="Calibri" w:hAnsi="Times New Roman" w:cs="Times New Roman"/>
          <w:color w:val="000000" w:themeColor="text1"/>
          <w:sz w:val="28"/>
          <w:szCs w:val="28"/>
          <w:lang w:val="uk-UA" w:eastAsia="ru-RU"/>
        </w:rPr>
        <w:t xml:space="preserve"> генерувати прибуток</w:t>
      </w:r>
      <w:r w:rsidR="00857B2A" w:rsidRPr="00F00EB0">
        <w:rPr>
          <w:rFonts w:ascii="Times New Roman" w:eastAsia="Calibri" w:hAnsi="Times New Roman" w:cs="Times New Roman"/>
          <w:color w:val="000000" w:themeColor="text1"/>
          <w:sz w:val="28"/>
          <w:szCs w:val="28"/>
          <w:lang w:val="uk-UA" w:eastAsia="ru-RU"/>
        </w:rPr>
        <w:t>,</w:t>
      </w:r>
      <w:r w:rsidRPr="00F00EB0">
        <w:rPr>
          <w:rFonts w:ascii="Times New Roman" w:eastAsia="Calibri" w:hAnsi="Times New Roman" w:cs="Times New Roman"/>
          <w:color w:val="000000" w:themeColor="text1"/>
          <w:sz w:val="28"/>
          <w:szCs w:val="28"/>
          <w:lang w:val="uk-UA" w:eastAsia="ru-RU"/>
        </w:rPr>
        <w:t xml:space="preserve"> </w:t>
      </w:r>
      <w:r w:rsidR="00857B2A" w:rsidRPr="00F00EB0">
        <w:rPr>
          <w:rFonts w:ascii="Times New Roman" w:eastAsia="Calibri" w:hAnsi="Times New Roman" w:cs="Times New Roman"/>
          <w:color w:val="000000" w:themeColor="text1"/>
          <w:sz w:val="28"/>
          <w:szCs w:val="28"/>
          <w:lang w:val="uk-UA" w:eastAsia="ru-RU"/>
        </w:rPr>
        <w:t>що підвищує рівень його ФСБ</w:t>
      </w:r>
      <w:r w:rsidRPr="00F00EB0">
        <w:rPr>
          <w:rFonts w:ascii="Times New Roman" w:eastAsia="Calibri" w:hAnsi="Times New Roman" w:cs="Times New Roman"/>
          <w:color w:val="000000" w:themeColor="text1"/>
          <w:sz w:val="28"/>
          <w:szCs w:val="28"/>
          <w:lang w:val="uk-UA" w:eastAsia="ru-RU"/>
        </w:rPr>
        <w:t xml:space="preserve">. </w:t>
      </w:r>
      <w:r w:rsidR="00857B2A" w:rsidRPr="00F00EB0">
        <w:rPr>
          <w:rFonts w:ascii="Times New Roman" w:eastAsia="Calibri" w:hAnsi="Times New Roman" w:cs="Times New Roman"/>
          <w:color w:val="000000" w:themeColor="text1"/>
          <w:sz w:val="28"/>
          <w:szCs w:val="28"/>
          <w:lang w:val="uk-UA" w:eastAsia="ru-RU"/>
        </w:rPr>
        <w:t xml:space="preserve">Водночас доцільно оптимізувати структуру прибутку в частині зменшення залежності від результатів переоцінки портфелю цінних паперів та валют, оскільки вони є непрогнозованими та не залежать від діяльності банку.  </w:t>
      </w:r>
    </w:p>
    <w:p w14:paraId="6402CD4A" w14:textId="423A0610" w:rsidR="00AD4724" w:rsidRPr="00F00EB0" w:rsidRDefault="006D2DFE" w:rsidP="009B1475">
      <w:pPr>
        <w:widowControl w:val="0"/>
        <w:tabs>
          <w:tab w:val="left" w:pos="4020"/>
        </w:tabs>
        <w:spacing w:after="0" w:line="360" w:lineRule="auto"/>
        <w:ind w:right="-1" w:firstLine="709"/>
        <w:jc w:val="both"/>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 xml:space="preserve">Встановлено, що механізм забезпечення </w:t>
      </w:r>
      <w:r w:rsidR="009B1475" w:rsidRPr="00F00EB0">
        <w:rPr>
          <w:rFonts w:ascii="Times New Roman" w:eastAsia="Times New Roman" w:hAnsi="Times New Roman" w:cs="Times New Roman"/>
          <w:color w:val="000000" w:themeColor="text1"/>
          <w:sz w:val="28"/>
          <w:szCs w:val="28"/>
          <w:lang w:val="uk-UA" w:eastAsia="ru-RU"/>
        </w:rPr>
        <w:t xml:space="preserve">фінансової стійкості </w:t>
      </w:r>
      <w:r w:rsidR="009B1475" w:rsidRPr="00F00EB0">
        <w:rPr>
          <w:rFonts w:ascii="Times New Roman" w:hAnsi="Times New Roman" w:cs="Times New Roman"/>
          <w:bCs/>
          <w:color w:val="000000" w:themeColor="text1"/>
          <w:sz w:val="28"/>
          <w:szCs w:val="28"/>
          <w:shd w:val="clear" w:color="auto" w:fill="FFFFFF"/>
          <w:lang w:val="uk-UA"/>
        </w:rPr>
        <w:t xml:space="preserve">АТ КБ «ПриватБанк» </w:t>
      </w:r>
      <w:r w:rsidRPr="00F00EB0">
        <w:rPr>
          <w:rFonts w:ascii="Times New Roman" w:eastAsia="Times New Roman" w:hAnsi="Times New Roman" w:cs="Times New Roman"/>
          <w:color w:val="000000" w:themeColor="text1"/>
          <w:sz w:val="28"/>
          <w:szCs w:val="28"/>
          <w:lang w:val="uk-UA"/>
        </w:rPr>
        <w:t xml:space="preserve">містить всі </w:t>
      </w:r>
      <w:r w:rsidR="009B1475" w:rsidRPr="00F00EB0">
        <w:rPr>
          <w:rFonts w:ascii="Times New Roman" w:eastAsia="Times New Roman" w:hAnsi="Times New Roman" w:cs="Times New Roman"/>
          <w:color w:val="000000" w:themeColor="text1"/>
          <w:sz w:val="28"/>
          <w:szCs w:val="28"/>
          <w:lang w:val="uk-UA"/>
        </w:rPr>
        <w:t>складові</w:t>
      </w:r>
      <w:r w:rsidR="004459CE" w:rsidRPr="00F00EB0">
        <w:rPr>
          <w:rFonts w:ascii="Times New Roman" w:eastAsia="Times New Roman" w:hAnsi="Times New Roman" w:cs="Times New Roman"/>
          <w:color w:val="000000" w:themeColor="text1"/>
          <w:sz w:val="28"/>
          <w:szCs w:val="28"/>
          <w:lang w:val="uk-UA"/>
        </w:rPr>
        <w:t xml:space="preserve">, необхідні </w:t>
      </w:r>
      <w:r w:rsidR="009B1475" w:rsidRPr="00F00EB0">
        <w:rPr>
          <w:rFonts w:ascii="Times New Roman" w:eastAsia="Times New Roman" w:hAnsi="Times New Roman" w:cs="Times New Roman"/>
          <w:color w:val="000000" w:themeColor="text1"/>
          <w:sz w:val="28"/>
          <w:szCs w:val="28"/>
          <w:lang w:val="uk-UA"/>
        </w:rPr>
        <w:t xml:space="preserve">для </w:t>
      </w:r>
      <w:r w:rsidR="004459CE" w:rsidRPr="00F00EB0">
        <w:rPr>
          <w:rFonts w:ascii="Times New Roman" w:eastAsia="Times New Roman" w:hAnsi="Times New Roman" w:cs="Times New Roman"/>
          <w:color w:val="000000" w:themeColor="text1"/>
          <w:sz w:val="28"/>
          <w:szCs w:val="28"/>
          <w:lang w:val="uk-UA"/>
        </w:rPr>
        <w:t xml:space="preserve">її </w:t>
      </w:r>
      <w:r w:rsidR="009B1475" w:rsidRPr="00F00EB0">
        <w:rPr>
          <w:rFonts w:ascii="Times New Roman" w:eastAsia="Times New Roman" w:hAnsi="Times New Roman" w:cs="Times New Roman"/>
          <w:color w:val="000000" w:themeColor="text1"/>
          <w:sz w:val="28"/>
          <w:szCs w:val="28"/>
          <w:lang w:val="uk-UA"/>
        </w:rPr>
        <w:t xml:space="preserve">підтримання </w:t>
      </w:r>
      <w:r w:rsidR="004459CE" w:rsidRPr="00F00EB0">
        <w:rPr>
          <w:rFonts w:ascii="Times New Roman" w:eastAsia="Times New Roman" w:hAnsi="Times New Roman" w:cs="Times New Roman"/>
          <w:color w:val="000000" w:themeColor="text1"/>
          <w:sz w:val="28"/>
          <w:szCs w:val="28"/>
          <w:lang w:val="uk-UA"/>
        </w:rPr>
        <w:t xml:space="preserve">на достатньому рівні. З метою адаптації до характеристик операційного середовища були внесені зміни в організаційну складову (створено антикризовий штаб), інструментарій </w:t>
      </w:r>
      <w:r w:rsidR="004459CE" w:rsidRPr="00F00EB0">
        <w:rPr>
          <w:rFonts w:ascii="Times New Roman" w:eastAsia="Calibri" w:hAnsi="Times New Roman" w:cs="Times New Roman"/>
          <w:color w:val="000000" w:themeColor="text1"/>
          <w:sz w:val="28"/>
          <w:szCs w:val="28"/>
          <w:lang w:val="uk-UA"/>
        </w:rPr>
        <w:t>антикризового управління ризиками було переглянутий, здійснюється постійний моніторинг з метою отримання фактичних та прогнозних даних щодо ключових показників діяльності, що коригувались протягом 2022 року та можуть коригуватись далі.</w:t>
      </w:r>
    </w:p>
    <w:p w14:paraId="1D87BD94" w14:textId="14045B6B" w:rsidR="001D5205" w:rsidRPr="00F00EB0" w:rsidRDefault="001E21E9" w:rsidP="001D5205">
      <w:pPr>
        <w:pStyle w:val="ae"/>
        <w:tabs>
          <w:tab w:val="left" w:pos="1276"/>
          <w:tab w:val="left" w:pos="1418"/>
          <w:tab w:val="left" w:pos="1560"/>
        </w:tabs>
        <w:spacing w:after="0" w:line="360" w:lineRule="auto"/>
        <w:ind w:left="0" w:firstLine="709"/>
        <w:jc w:val="both"/>
        <w:rPr>
          <w:rFonts w:ascii="Times New Roman" w:hAnsi="Times New Roman" w:cs="Times New Roman"/>
          <w:bCs/>
          <w:color w:val="000000" w:themeColor="text1"/>
          <w:sz w:val="28"/>
          <w:szCs w:val="28"/>
          <w:shd w:val="clear" w:color="auto" w:fill="FFFFFF"/>
          <w:lang w:val="uk-UA"/>
        </w:rPr>
      </w:pPr>
      <w:r w:rsidRPr="00F00EB0">
        <w:rPr>
          <w:rFonts w:ascii="Times New Roman" w:hAnsi="Times New Roman" w:cs="Times New Roman"/>
          <w:bCs/>
          <w:color w:val="000000" w:themeColor="text1"/>
          <w:sz w:val="28"/>
          <w:szCs w:val="28"/>
          <w:shd w:val="clear" w:color="auto" w:fill="FFFFFF"/>
          <w:lang w:val="uk-UA"/>
        </w:rPr>
        <w:t xml:space="preserve"> </w:t>
      </w:r>
    </w:p>
    <w:p w14:paraId="5DBB7AB2" w14:textId="77777777" w:rsidR="00337505" w:rsidRPr="00F00EB0" w:rsidRDefault="00337505">
      <w:pPr>
        <w:rPr>
          <w:rFonts w:ascii="Times New Roman" w:eastAsiaTheme="majorEastAsia" w:hAnsi="Times New Roman" w:cs="Times New Roman"/>
          <w:b/>
          <w:color w:val="000000" w:themeColor="text1"/>
          <w:sz w:val="28"/>
          <w:szCs w:val="32"/>
          <w:lang w:val="uk-UA"/>
        </w:rPr>
      </w:pPr>
      <w:r w:rsidRPr="00F00EB0">
        <w:rPr>
          <w:rFonts w:ascii="Times New Roman" w:hAnsi="Times New Roman" w:cs="Times New Roman"/>
          <w:b/>
          <w:color w:val="000000" w:themeColor="text1"/>
          <w:lang w:val="uk-UA"/>
        </w:rPr>
        <w:br w:type="page"/>
      </w:r>
    </w:p>
    <w:p w14:paraId="5136BEA0" w14:textId="0119A203" w:rsidR="0047503B" w:rsidRPr="00F00EB0" w:rsidRDefault="00337505" w:rsidP="0047503B">
      <w:pPr>
        <w:pStyle w:val="10"/>
        <w:rPr>
          <w:rFonts w:cs="Times New Roman"/>
          <w:b/>
          <w:color w:val="000000" w:themeColor="text1"/>
          <w:lang w:val="uk-UA"/>
        </w:rPr>
      </w:pPr>
      <w:bookmarkStart w:id="21" w:name="_Toc137414310"/>
      <w:r w:rsidRPr="00F00EB0">
        <w:rPr>
          <w:rFonts w:cs="Times New Roman"/>
          <w:b/>
          <w:color w:val="000000" w:themeColor="text1"/>
          <w:lang w:val="uk-UA"/>
        </w:rPr>
        <w:lastRenderedPageBreak/>
        <w:t>СПИСОК ВИКОРИСТАНИХ ДЖЕРЕЛ</w:t>
      </w:r>
      <w:bookmarkEnd w:id="21"/>
    </w:p>
    <w:p w14:paraId="60A6FBE0" w14:textId="77777777" w:rsidR="00337505" w:rsidRPr="00F00EB0" w:rsidRDefault="00337505" w:rsidP="00337505">
      <w:pPr>
        <w:rPr>
          <w:rFonts w:ascii="Times New Roman" w:hAnsi="Times New Roman" w:cs="Times New Roman"/>
          <w:color w:val="000000" w:themeColor="text1"/>
          <w:lang w:val="uk-UA"/>
        </w:rPr>
      </w:pPr>
    </w:p>
    <w:p w14:paraId="630F0507" w14:textId="77777777" w:rsidR="007C3155" w:rsidRPr="00F00EB0" w:rsidRDefault="007C3155" w:rsidP="0028539A">
      <w:pPr>
        <w:spacing w:after="0" w:line="360" w:lineRule="auto"/>
        <w:jc w:val="both"/>
        <w:rPr>
          <w:rFonts w:ascii="Times New Roman" w:hAnsi="Times New Roman" w:cs="Times New Roman"/>
          <w:color w:val="000000" w:themeColor="text1"/>
          <w:sz w:val="28"/>
          <w:szCs w:val="28"/>
          <w:lang w:val="uk-UA"/>
        </w:rPr>
      </w:pPr>
    </w:p>
    <w:p w14:paraId="38608E49" w14:textId="77777777" w:rsidR="00D069C2" w:rsidRPr="00F00EB0" w:rsidRDefault="00D069C2" w:rsidP="0028539A">
      <w:pPr>
        <w:spacing w:after="0" w:line="360" w:lineRule="auto"/>
        <w:jc w:val="both"/>
        <w:rPr>
          <w:rFonts w:ascii="Times New Roman" w:hAnsi="Times New Roman" w:cs="Times New Roman"/>
          <w:color w:val="000000" w:themeColor="text1"/>
          <w:sz w:val="28"/>
          <w:szCs w:val="28"/>
          <w:lang w:val="uk-UA"/>
        </w:rPr>
      </w:pPr>
    </w:p>
    <w:p w14:paraId="6B3F6261"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Demirgüç-Kunt A., Detragiache E., Tressel T. Banking on the Principles: Compliance with Basel Core Principles and Bank Soundness. </w:t>
      </w:r>
      <w:r w:rsidRPr="00F00EB0">
        <w:rPr>
          <w:rFonts w:ascii="Times New Roman" w:hAnsi="Times New Roman" w:cs="Times New Roman"/>
          <w:i/>
          <w:iCs/>
          <w:color w:val="000000" w:themeColor="text1"/>
          <w:sz w:val="28"/>
          <w:szCs w:val="28"/>
          <w:lang w:val="uk-UA"/>
        </w:rPr>
        <w:t>Journal of Financial Intermediation.</w:t>
      </w:r>
      <w:r w:rsidRPr="00F00EB0">
        <w:rPr>
          <w:rFonts w:ascii="Times New Roman" w:hAnsi="Times New Roman" w:cs="Times New Roman"/>
          <w:color w:val="000000" w:themeColor="text1"/>
          <w:sz w:val="28"/>
          <w:szCs w:val="28"/>
          <w:lang w:val="uk-UA"/>
        </w:rPr>
        <w:t xml:space="preserve"> 2008. № 17(4). Р. 511-542.</w:t>
      </w:r>
    </w:p>
    <w:p w14:paraId="79AE1799" w14:textId="562945D6"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Ingves S. Banking Crisis from an International Perspective. IMF.  </w:t>
      </w:r>
      <w:hyperlink r:id="rId102" w:history="1">
        <w:r w:rsidRPr="00F00EB0">
          <w:rPr>
            <w:rStyle w:val="a6"/>
            <w:rFonts w:ascii="Times New Roman" w:hAnsi="Times New Roman" w:cs="Times New Roman"/>
            <w:color w:val="000000" w:themeColor="text1"/>
            <w:sz w:val="28"/>
            <w:szCs w:val="28"/>
            <w:lang w:val="uk-UA"/>
          </w:rPr>
          <w:t>URL: http://www.imf.org/external/np/speeches/2003/040803.htm</w:t>
        </w:r>
      </w:hyperlink>
      <w:r w:rsidRPr="00F00EB0">
        <w:rPr>
          <w:rFonts w:ascii="Times New Roman" w:hAnsi="Times New Roman" w:cs="Times New Roman"/>
          <w:color w:val="000000" w:themeColor="text1"/>
          <w:sz w:val="28"/>
          <w:szCs w:val="28"/>
          <w:lang w:val="uk-UA"/>
        </w:rPr>
        <w:t xml:space="preserve"> (дата звернення: 15.05.2023).</w:t>
      </w:r>
    </w:p>
    <w:p w14:paraId="26CC4C3C" w14:textId="77777777" w:rsidR="00D069C2" w:rsidRPr="00F00EB0" w:rsidRDefault="00D069C2" w:rsidP="00CF72CF">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Агрес О.Г. Сутність поняття фінансова стійкість банку та фактори, що на неї впливають. </w:t>
      </w:r>
      <w:r w:rsidRPr="00F00EB0">
        <w:rPr>
          <w:rFonts w:ascii="Times New Roman" w:hAnsi="Times New Roman" w:cs="Times New Roman"/>
          <w:i/>
          <w:iCs/>
          <w:color w:val="000000" w:themeColor="text1"/>
          <w:sz w:val="28"/>
          <w:szCs w:val="28"/>
          <w:lang w:val="uk-UA"/>
        </w:rPr>
        <w:t>Сталий розвиток країни в рамках Європейської інтеграції</w:t>
      </w:r>
      <w:r w:rsidRPr="00F00EB0">
        <w:rPr>
          <w:rFonts w:ascii="Times New Roman" w:hAnsi="Times New Roman" w:cs="Times New Roman"/>
          <w:color w:val="000000" w:themeColor="text1"/>
          <w:sz w:val="28"/>
          <w:szCs w:val="28"/>
          <w:lang w:val="uk-UA"/>
        </w:rPr>
        <w:t>. Тези міжнародної вузівської науково-практичної конференції студентів, аспірантів і молодих учених ЖДТУ (м. Житомир, 27 жовтня 2016 року). URI: </w:t>
      </w:r>
      <w:hyperlink r:id="rId103" w:history="1">
        <w:r w:rsidRPr="00F00EB0">
          <w:rPr>
            <w:rFonts w:ascii="Times New Roman" w:hAnsi="Times New Roman" w:cs="Times New Roman"/>
            <w:color w:val="000000" w:themeColor="text1"/>
            <w:sz w:val="28"/>
            <w:szCs w:val="28"/>
            <w:lang w:val="uk-UA"/>
          </w:rPr>
          <w:t>http://eztuir.ztu.edu.ua/123456789/5494</w:t>
        </w:r>
      </w:hyperlink>
      <w:r w:rsidRPr="00F00EB0">
        <w:rPr>
          <w:rFonts w:ascii="Times New Roman" w:hAnsi="Times New Roman" w:cs="Times New Roman"/>
          <w:color w:val="000000" w:themeColor="text1"/>
          <w:sz w:val="28"/>
          <w:szCs w:val="28"/>
          <w:lang w:val="uk-UA"/>
        </w:rPr>
        <w:t xml:space="preserve"> (дата звернення: 01.05.2023).</w:t>
      </w:r>
    </w:p>
    <w:p w14:paraId="069552D2"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Балансові дані банків. </w:t>
      </w:r>
      <w:r w:rsidRPr="00F00EB0">
        <w:rPr>
          <w:rFonts w:ascii="Times New Roman" w:hAnsi="Times New Roman" w:cs="Times New Roman"/>
          <w:i/>
          <w:iCs/>
          <w:color w:val="000000" w:themeColor="text1"/>
          <w:sz w:val="28"/>
          <w:szCs w:val="28"/>
          <w:lang w:val="uk-UA"/>
        </w:rPr>
        <w:t>Національний банк України.</w:t>
      </w:r>
      <w:r w:rsidRPr="00F00EB0">
        <w:rPr>
          <w:rFonts w:ascii="Times New Roman" w:hAnsi="Times New Roman" w:cs="Times New Roman"/>
          <w:color w:val="000000" w:themeColor="text1"/>
          <w:sz w:val="28"/>
          <w:szCs w:val="28"/>
          <w:lang w:val="uk-UA"/>
        </w:rPr>
        <w:t xml:space="preserve"> 2023. URL: https://bank.gov.ua/ua/statistic/supervision-statist/data-supervision#1 (дата звернення: 01.05.2023).</w:t>
      </w:r>
    </w:p>
    <w:p w14:paraId="2996FE88"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Барановський О. І. Стійкість банківської системи України. </w:t>
      </w:r>
      <w:r w:rsidRPr="00F00EB0">
        <w:rPr>
          <w:rFonts w:ascii="Times New Roman" w:hAnsi="Times New Roman" w:cs="Times New Roman"/>
          <w:i/>
          <w:iCs/>
          <w:color w:val="000000" w:themeColor="text1"/>
          <w:sz w:val="28"/>
          <w:szCs w:val="28"/>
          <w:lang w:val="uk-UA"/>
        </w:rPr>
        <w:t xml:space="preserve">Фінанси України. </w:t>
      </w:r>
      <w:r w:rsidRPr="00F00EB0">
        <w:rPr>
          <w:rFonts w:ascii="Times New Roman" w:hAnsi="Times New Roman" w:cs="Times New Roman"/>
          <w:color w:val="000000" w:themeColor="text1"/>
          <w:sz w:val="28"/>
          <w:szCs w:val="28"/>
          <w:lang w:val="uk-UA"/>
        </w:rPr>
        <w:t>2007. № 9. С. 75-87.</w:t>
      </w:r>
    </w:p>
    <w:p w14:paraId="20AF82BF"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Безродна О. С. Планування відновлення діяльності банків як напрям мінімізації ризику зміни їх фінансової стійкості. </w:t>
      </w:r>
      <w:r w:rsidRPr="00F00EB0">
        <w:rPr>
          <w:rFonts w:ascii="Times New Roman" w:hAnsi="Times New Roman" w:cs="Times New Roman"/>
          <w:i/>
          <w:iCs/>
          <w:color w:val="000000" w:themeColor="text1"/>
          <w:sz w:val="28"/>
          <w:szCs w:val="28"/>
          <w:lang w:val="uk-UA"/>
        </w:rPr>
        <w:t>Фінансово-економічна інтеграція України: вплив на соціально-економічний розвиток держави та регіонів</w:t>
      </w:r>
      <w:r w:rsidRPr="00F00EB0">
        <w:rPr>
          <w:rFonts w:ascii="Times New Roman" w:hAnsi="Times New Roman" w:cs="Times New Roman"/>
          <w:color w:val="000000" w:themeColor="text1"/>
          <w:sz w:val="28"/>
          <w:szCs w:val="28"/>
          <w:lang w:val="uk-UA"/>
        </w:rPr>
        <w:t xml:space="preserve"> : матеріали наукового круглого столу, 28 квіт. 2020 р.. Х., 2020. С. 5-7.</w:t>
      </w:r>
    </w:p>
    <w:p w14:paraId="08379CFA"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Біляєва В. Ю. Забезпечення фінансової стійкості банку засобами фінансового інжинірингу: дис.... канд. екон. наук: 08.00.08. Харків: ХНЕУ ім. С. Кузнеця, 2017. 360 с. https://www.hneu.edu.ua/wp-content/uploads/2018/11/Bilyayeva-V.Yu_.-Disertaciya-Vchenna-rada-D-64.055.02-2017.pdf</w:t>
      </w:r>
    </w:p>
    <w:p w14:paraId="588DD027"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 xml:space="preserve">Богун M. M. Управління фінансовою стійкістю банків як невід’ємною складової національної економіки України. </w:t>
      </w:r>
      <w:r w:rsidRPr="00F00EB0">
        <w:rPr>
          <w:rFonts w:ascii="Times New Roman" w:hAnsi="Times New Roman" w:cs="Times New Roman"/>
          <w:i/>
          <w:iCs/>
          <w:color w:val="000000" w:themeColor="text1"/>
          <w:sz w:val="28"/>
          <w:szCs w:val="28"/>
          <w:lang w:val="uk-UA"/>
        </w:rPr>
        <w:t xml:space="preserve">Економіка та підприємництво. </w:t>
      </w:r>
      <w:r w:rsidRPr="00F00EB0">
        <w:rPr>
          <w:rFonts w:ascii="Times New Roman" w:hAnsi="Times New Roman" w:cs="Times New Roman"/>
          <w:color w:val="000000" w:themeColor="text1"/>
          <w:sz w:val="28"/>
          <w:szCs w:val="28"/>
          <w:lang w:val="uk-UA"/>
        </w:rPr>
        <w:t>2021. Вип. 46. С. 73–85.</w:t>
      </w:r>
    </w:p>
    <w:p w14:paraId="53773DE3"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Бодрецький М. В. Принципи планування відновлення діяльності банку та фінансування в кризових ситуаціях. </w:t>
      </w:r>
      <w:r w:rsidRPr="00F00EB0">
        <w:rPr>
          <w:rFonts w:ascii="Times New Roman" w:hAnsi="Times New Roman" w:cs="Times New Roman"/>
          <w:i/>
          <w:iCs/>
          <w:color w:val="000000" w:themeColor="text1"/>
          <w:sz w:val="28"/>
          <w:szCs w:val="28"/>
          <w:lang w:val="uk-UA"/>
        </w:rPr>
        <w:t>Економічні студії</w:t>
      </w:r>
      <w:r w:rsidRPr="00F00EB0">
        <w:rPr>
          <w:rFonts w:ascii="Times New Roman" w:hAnsi="Times New Roman" w:cs="Times New Roman"/>
          <w:color w:val="000000" w:themeColor="text1"/>
          <w:sz w:val="28"/>
          <w:szCs w:val="28"/>
          <w:lang w:val="uk-UA"/>
        </w:rPr>
        <w:t>. 2020. № 4 (30). С. 7-12.</w:t>
      </w:r>
    </w:p>
    <w:p w14:paraId="208DFF83"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Бриштіна В. В., Клюско Л. А. Управління антикризовою фінансовою стійкістю банків. </w:t>
      </w:r>
      <w:r w:rsidRPr="00F00EB0">
        <w:rPr>
          <w:rFonts w:ascii="Times New Roman" w:hAnsi="Times New Roman" w:cs="Times New Roman"/>
          <w:i/>
          <w:iCs/>
          <w:color w:val="000000" w:themeColor="text1"/>
          <w:sz w:val="28"/>
          <w:szCs w:val="28"/>
          <w:lang w:val="uk-UA"/>
        </w:rPr>
        <w:t xml:space="preserve">Збірник наукових праць Університету державної фіскальної служби України. </w:t>
      </w:r>
      <w:r w:rsidRPr="00F00EB0">
        <w:rPr>
          <w:rFonts w:ascii="Times New Roman" w:hAnsi="Times New Roman" w:cs="Times New Roman"/>
          <w:color w:val="000000" w:themeColor="text1"/>
          <w:sz w:val="28"/>
          <w:szCs w:val="28"/>
          <w:lang w:val="uk-UA"/>
        </w:rPr>
        <w:t>2017. № 1. С. 37-53.</w:t>
      </w:r>
    </w:p>
    <w:p w14:paraId="02901A76"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Васькович І.М. Забезпечення фінансової стійкості банків України в умовах ринку: автореф. дис. … канд. екон. наук : 08.04.01. Львів, 2006. 19 с.</w:t>
      </w:r>
    </w:p>
    <w:p w14:paraId="6D53DA7C"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Вінниченко О. В., Громакова В. В. Теоретичні аспекти фінансової стійкості банку. </w:t>
      </w:r>
      <w:r w:rsidRPr="00F00EB0">
        <w:rPr>
          <w:rFonts w:ascii="Times New Roman" w:hAnsi="Times New Roman" w:cs="Times New Roman"/>
          <w:i/>
          <w:iCs/>
          <w:color w:val="000000" w:themeColor="text1"/>
          <w:sz w:val="28"/>
          <w:szCs w:val="28"/>
          <w:lang w:val="uk-UA"/>
        </w:rPr>
        <w:t>Бізнес Інформ.</w:t>
      </w:r>
      <w:r w:rsidRPr="00F00EB0">
        <w:rPr>
          <w:rFonts w:ascii="Times New Roman" w:hAnsi="Times New Roman" w:cs="Times New Roman"/>
          <w:color w:val="000000" w:themeColor="text1"/>
          <w:sz w:val="28"/>
          <w:szCs w:val="28"/>
          <w:lang w:val="uk-UA"/>
        </w:rPr>
        <w:t xml:space="preserve"> 2020. № 5 (508). URL:http://www.business-inform.net/export_pdf/business-inform-2020-5_0-pages-375_381.pdf (дата звернення: 04.04.2023).</w:t>
      </w:r>
    </w:p>
    <w:p w14:paraId="44F1BB0A"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Вовченко О. С., Єгоричева С. Б. Фінансова стабільність банків в умовах динамічного макроекономічного середовища : монографія. Полтава : ПУЕТ, 2021. 233 с.</w:t>
      </w:r>
    </w:p>
    <w:p w14:paraId="08A14015"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Волкова Н., Попик А. Аналіз управління фінансовою стійкістю АТ КБ «ПриватБанк». </w:t>
      </w:r>
      <w:r w:rsidRPr="00F00EB0">
        <w:rPr>
          <w:rFonts w:ascii="Times New Roman" w:hAnsi="Times New Roman" w:cs="Times New Roman"/>
          <w:i/>
          <w:iCs/>
          <w:color w:val="000000" w:themeColor="text1"/>
          <w:sz w:val="28"/>
          <w:szCs w:val="28"/>
          <w:lang w:val="uk-UA"/>
        </w:rPr>
        <w:t>Економіка та суспільство.</w:t>
      </w:r>
      <w:r w:rsidRPr="00F00EB0">
        <w:rPr>
          <w:rFonts w:ascii="Times New Roman" w:hAnsi="Times New Roman" w:cs="Times New Roman"/>
          <w:color w:val="000000" w:themeColor="text1"/>
          <w:sz w:val="28"/>
          <w:szCs w:val="28"/>
          <w:lang w:val="uk-UA"/>
        </w:rPr>
        <w:t xml:space="preserve"> 2022 № 45. </w:t>
      </w:r>
      <w:hyperlink r:id="rId104" w:history="1">
        <w:r w:rsidRPr="00F00EB0">
          <w:rPr>
            <w:rFonts w:ascii="Times New Roman" w:hAnsi="Times New Roman" w:cs="Times New Roman"/>
            <w:color w:val="000000" w:themeColor="text1"/>
            <w:sz w:val="28"/>
            <w:szCs w:val="28"/>
            <w:lang w:val="uk-UA"/>
          </w:rPr>
          <w:t>https://doi.org/10.32782/2524-0072/2022-45-11</w:t>
        </w:r>
      </w:hyperlink>
      <w:r w:rsidRPr="00F00EB0">
        <w:rPr>
          <w:rFonts w:ascii="Times New Roman" w:hAnsi="Times New Roman" w:cs="Times New Roman"/>
          <w:color w:val="000000" w:themeColor="text1"/>
          <w:sz w:val="28"/>
          <w:szCs w:val="28"/>
          <w:lang w:val="uk-UA"/>
        </w:rPr>
        <w:t>.</w:t>
      </w:r>
    </w:p>
    <w:p w14:paraId="2D242A1D"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Гарбар Є. С. Фактори впливу на фінансову стійкість банку в умовах нестабільного економічного середовища. </w:t>
      </w:r>
      <w:r w:rsidRPr="00F00EB0">
        <w:rPr>
          <w:rFonts w:ascii="Times New Roman" w:hAnsi="Times New Roman" w:cs="Times New Roman"/>
          <w:i/>
          <w:iCs/>
          <w:color w:val="000000" w:themeColor="text1"/>
          <w:sz w:val="28"/>
          <w:szCs w:val="28"/>
          <w:lang w:val="uk-UA"/>
        </w:rPr>
        <w:t>Науковий вісник Ужгородського університету Серія «Економіка».</w:t>
      </w:r>
      <w:r w:rsidRPr="00F00EB0">
        <w:rPr>
          <w:rFonts w:ascii="Times New Roman" w:hAnsi="Times New Roman" w:cs="Times New Roman"/>
          <w:color w:val="000000" w:themeColor="text1"/>
          <w:sz w:val="28"/>
          <w:szCs w:val="28"/>
          <w:lang w:val="uk-UA"/>
        </w:rPr>
        <w:t xml:space="preserve"> 2015. Випуск 1 (45). Т. 1. C. 184- 187.</w:t>
      </w:r>
    </w:p>
    <w:p w14:paraId="5F70751F"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Глосарій. </w:t>
      </w:r>
      <w:r w:rsidRPr="00F00EB0">
        <w:rPr>
          <w:rFonts w:ascii="Times New Roman" w:hAnsi="Times New Roman" w:cs="Times New Roman"/>
          <w:i/>
          <w:iCs/>
          <w:color w:val="000000" w:themeColor="text1"/>
          <w:sz w:val="28"/>
          <w:szCs w:val="28"/>
          <w:lang w:val="uk-UA"/>
        </w:rPr>
        <w:t>Національний банк України.</w:t>
      </w:r>
      <w:r w:rsidRPr="00F00EB0">
        <w:rPr>
          <w:rFonts w:ascii="Times New Roman" w:hAnsi="Times New Roman" w:cs="Times New Roman"/>
          <w:color w:val="000000" w:themeColor="text1"/>
          <w:sz w:val="28"/>
          <w:szCs w:val="28"/>
          <w:lang w:val="uk-UA"/>
        </w:rPr>
        <w:t xml:space="preserve"> URL: </w:t>
      </w:r>
      <w:hyperlink r:id="rId105" w:history="1">
        <w:r w:rsidRPr="00F00EB0">
          <w:rPr>
            <w:rFonts w:ascii="Times New Roman" w:hAnsi="Times New Roman" w:cs="Times New Roman"/>
            <w:color w:val="000000" w:themeColor="text1"/>
            <w:sz w:val="28"/>
            <w:szCs w:val="28"/>
            <w:lang w:val="uk-UA"/>
          </w:rPr>
          <w:t>https://bank.gov.ua/</w:t>
        </w:r>
      </w:hyperlink>
      <w:r w:rsidRPr="00F00EB0">
        <w:rPr>
          <w:rFonts w:ascii="Times New Roman" w:hAnsi="Times New Roman" w:cs="Times New Roman"/>
          <w:color w:val="000000" w:themeColor="text1"/>
          <w:sz w:val="28"/>
          <w:szCs w:val="28"/>
          <w:lang w:val="uk-UA"/>
        </w:rPr>
        <w:t xml:space="preserve"> (дата звернення: 27.05.2023).</w:t>
      </w:r>
    </w:p>
    <w:p w14:paraId="784A1740"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Гуцал І. С. Банківське кредитування суб’єктів ринку в трансформаційній економіці України (питання теорії, методики, практики). Львів: ВАТ «БІБЛЬОС», 2001. 244 с.</w:t>
      </w:r>
    </w:p>
    <w:p w14:paraId="4D6AEF28"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Дзюблюк О. В., Михайлюк Р. В. Фінансова стійкість банків як основа ефективного функціонування кредитної системи : монографія. Тернопіль : Терно-граф, 2009. 316 с.</w:t>
      </w:r>
    </w:p>
    <w:p w14:paraId="1A65A395"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Довгань Ж. М. Фінансова стійкість банківської системи України: дис. … д-ра екон. наук: 08.00.08. Суми, 2012. 583 с.</w:t>
      </w:r>
    </w:p>
    <w:p w14:paraId="48413AA2"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Забезпечення умов стабільного функціонування банківського сектору України : монографія / О. М. Колодізєв, О. В. Бойко, І. О. Губарєва та ін. // за заг. ред. к.е.н., доц. Колодізєва О. М. Харків : Вид. ХНЕУ, 2010. 312 с.</w:t>
      </w:r>
    </w:p>
    <w:p w14:paraId="097338D7"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Заруцька О. П., Новікова Л. Ф. Управління банківськими ризиками та заходи відновлення діяльності в умовах потужних зовнішніх викликів. </w:t>
      </w:r>
      <w:r w:rsidRPr="00F00EB0">
        <w:rPr>
          <w:rFonts w:ascii="Times New Roman" w:hAnsi="Times New Roman" w:cs="Times New Roman"/>
          <w:i/>
          <w:iCs/>
          <w:color w:val="000000" w:themeColor="text1"/>
          <w:sz w:val="28"/>
          <w:szCs w:val="28"/>
          <w:lang w:val="uk-UA"/>
        </w:rPr>
        <w:t>Науковий погляд: економіка та управління.</w:t>
      </w:r>
      <w:r w:rsidRPr="00F00EB0">
        <w:rPr>
          <w:rFonts w:ascii="Times New Roman" w:hAnsi="Times New Roman" w:cs="Times New Roman"/>
          <w:color w:val="000000" w:themeColor="text1"/>
          <w:sz w:val="28"/>
          <w:szCs w:val="28"/>
          <w:lang w:val="uk-UA"/>
        </w:rPr>
        <w:t xml:space="preserve"> 2022. № 2 (78). С. 110-119.</w:t>
      </w:r>
    </w:p>
    <w:p w14:paraId="2458375F"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Зверук Л. А., Боєва С. К. Концептуальні засади дослідження управління фінансовою стійкістю банківських установ. </w:t>
      </w:r>
      <w:r w:rsidRPr="00F00EB0">
        <w:rPr>
          <w:rFonts w:ascii="Times New Roman" w:hAnsi="Times New Roman" w:cs="Times New Roman"/>
          <w:i/>
          <w:iCs/>
          <w:color w:val="000000" w:themeColor="text1"/>
          <w:sz w:val="28"/>
          <w:szCs w:val="28"/>
          <w:lang w:val="uk-UA"/>
        </w:rPr>
        <w:t>Бізнес Інформ.</w:t>
      </w:r>
      <w:r w:rsidRPr="00F00EB0">
        <w:rPr>
          <w:rFonts w:ascii="Times New Roman" w:hAnsi="Times New Roman" w:cs="Times New Roman"/>
          <w:color w:val="000000" w:themeColor="text1"/>
          <w:sz w:val="28"/>
          <w:szCs w:val="28"/>
          <w:lang w:val="uk-UA"/>
        </w:rPr>
        <w:t xml:space="preserve"> 2017. № 3 (470). URL: https:// kontseptualni-zasadi-doslidzhennya-upravlinnya-finansovoyu-stiykistyu-bankivskih-ustanov (дата звернення: 04.04.2023).</w:t>
      </w:r>
    </w:p>
    <w:p w14:paraId="6750F1E1"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Звєряков М. І., Коваленко В. В., Сергеєва О. С. Управління фінансовою стійкістю банків : підручник. Київ: Видавництво «Центр учбової літератури», 2016. 520 с.</w:t>
      </w:r>
    </w:p>
    <w:p w14:paraId="275C31B0"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Звєряков О. М. Методологічні основи управління фінансовою стійкістю банківських установ. </w:t>
      </w:r>
      <w:r w:rsidRPr="00F00EB0">
        <w:rPr>
          <w:rFonts w:ascii="Times New Roman" w:hAnsi="Times New Roman" w:cs="Times New Roman"/>
          <w:i/>
          <w:iCs/>
          <w:color w:val="000000" w:themeColor="text1"/>
          <w:sz w:val="28"/>
          <w:szCs w:val="28"/>
          <w:lang w:val="uk-UA"/>
        </w:rPr>
        <w:t>Актуальні проблеми економіки.</w:t>
      </w:r>
      <w:r w:rsidRPr="00F00EB0">
        <w:rPr>
          <w:rFonts w:ascii="Times New Roman" w:hAnsi="Times New Roman" w:cs="Times New Roman"/>
          <w:color w:val="000000" w:themeColor="text1"/>
          <w:sz w:val="28"/>
          <w:szCs w:val="28"/>
          <w:lang w:val="uk-UA"/>
        </w:rPr>
        <w:t xml:space="preserve"> 2012. № 10. С. 175-182.</w:t>
      </w:r>
    </w:p>
    <w:p w14:paraId="16EAE476"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Звіт про фінансову стабільність. Грудень 2022 року. Національний банк України. URL.https://bank.gov.ua/admin_uploads/article/FSR_2022-H1.pdf?v=4 (дата звернення: 27.05.2023).</w:t>
      </w:r>
    </w:p>
    <w:p w14:paraId="4C4B4D32"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Звіт про фінансову стабільність. Червень 2022 року. Національний банк України. 2022. URL: https://bank.gov.ua/admin_uploads/article/FSR_2022-H1.pdf?v=4 (дата звернення: 27.05.2023).</w:t>
      </w:r>
    </w:p>
    <w:p w14:paraId="7FDD5831"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Значення економічних нормативів в цілому по системі. Національний банк України. URL: </w:t>
      </w:r>
      <w:hyperlink r:id="rId106" w:history="1">
        <w:r w:rsidRPr="00F00EB0">
          <w:rPr>
            <w:rFonts w:ascii="Times New Roman" w:hAnsi="Times New Roman" w:cs="Times New Roman"/>
            <w:color w:val="000000" w:themeColor="text1"/>
            <w:sz w:val="28"/>
            <w:szCs w:val="28"/>
            <w:lang w:val="uk-UA"/>
          </w:rPr>
          <w:t>https://bank.gov.ua/control/uk/publish/article?art_id=34661442</w:t>
        </w:r>
      </w:hyperlink>
      <w:r w:rsidRPr="00F00EB0">
        <w:rPr>
          <w:rFonts w:ascii="Times New Roman" w:hAnsi="Times New Roman" w:cs="Times New Roman"/>
          <w:color w:val="000000" w:themeColor="text1"/>
          <w:sz w:val="28"/>
          <w:szCs w:val="28"/>
          <w:lang w:val="uk-UA"/>
        </w:rPr>
        <w:t xml:space="preserve"> (дата звернення: 27.05.2023).</w:t>
      </w:r>
    </w:p>
    <w:p w14:paraId="698D589E"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 xml:space="preserve">Івасів І., Гарбар Є. Фінансова стійкість банків в умовах високої волатильності ринків. </w:t>
      </w:r>
      <w:r w:rsidRPr="00F00EB0">
        <w:rPr>
          <w:rFonts w:ascii="Times New Roman" w:hAnsi="Times New Roman" w:cs="Times New Roman"/>
          <w:i/>
          <w:iCs/>
          <w:color w:val="000000" w:themeColor="text1"/>
          <w:sz w:val="28"/>
          <w:szCs w:val="28"/>
          <w:lang w:val="uk-UA"/>
        </w:rPr>
        <w:t>Вісник Київського національного торговельно-економічного університету.</w:t>
      </w:r>
      <w:r w:rsidRPr="00F00EB0">
        <w:rPr>
          <w:rFonts w:ascii="Times New Roman" w:hAnsi="Times New Roman" w:cs="Times New Roman"/>
          <w:color w:val="000000" w:themeColor="text1"/>
          <w:sz w:val="28"/>
          <w:szCs w:val="28"/>
          <w:lang w:val="uk-UA"/>
        </w:rPr>
        <w:t xml:space="preserve"> 2018. № 2. С. 47–55. URL: http://nbuv.gov.uа/UJRN/Vkntеu_2018_2_5</w:t>
      </w:r>
    </w:p>
    <w:p w14:paraId="6E8D994F"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Карпова О. І., Моргун І. М. Концептуальні підходи щодо вдосконалення управління фінансовою стійкістю банку. </w:t>
      </w:r>
      <w:r w:rsidRPr="00F00EB0">
        <w:rPr>
          <w:rFonts w:ascii="Times New Roman" w:hAnsi="Times New Roman" w:cs="Times New Roman"/>
          <w:i/>
          <w:iCs/>
          <w:color w:val="000000" w:themeColor="text1"/>
          <w:sz w:val="28"/>
          <w:szCs w:val="28"/>
          <w:lang w:val="uk-UA"/>
        </w:rPr>
        <w:t>Збірник наукових праць Харківського інституту банківської справи університету банківської справи НБУ</w:t>
      </w:r>
      <w:r w:rsidRPr="00F00EB0">
        <w:rPr>
          <w:rFonts w:ascii="Times New Roman" w:hAnsi="Times New Roman" w:cs="Times New Roman"/>
          <w:color w:val="000000" w:themeColor="text1"/>
          <w:sz w:val="28"/>
          <w:szCs w:val="28"/>
          <w:lang w:val="uk-UA"/>
        </w:rPr>
        <w:t>. № 1 (10). 2011. С. 13-18.</w:t>
      </w:r>
    </w:p>
    <w:p w14:paraId="493F6BD4"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Квасницька Р. С., Гайдайчук Н. В. Методи управління фінансовою стійкістю банків. Вісник Хмельницького національного університету. </w:t>
      </w:r>
      <w:r w:rsidRPr="00F00EB0">
        <w:rPr>
          <w:rFonts w:ascii="Times New Roman" w:hAnsi="Times New Roman" w:cs="Times New Roman"/>
          <w:i/>
          <w:iCs/>
          <w:color w:val="000000" w:themeColor="text1"/>
          <w:sz w:val="28"/>
          <w:szCs w:val="28"/>
          <w:lang w:val="uk-UA"/>
        </w:rPr>
        <w:t xml:space="preserve">Економічні науки. </w:t>
      </w:r>
      <w:r w:rsidRPr="00F00EB0">
        <w:rPr>
          <w:rFonts w:ascii="Times New Roman" w:hAnsi="Times New Roman" w:cs="Times New Roman"/>
          <w:color w:val="000000" w:themeColor="text1"/>
          <w:sz w:val="28"/>
          <w:szCs w:val="28"/>
          <w:lang w:val="uk-UA"/>
        </w:rPr>
        <w:t>2014. № 3(1). С. 116-118..</w:t>
      </w:r>
    </w:p>
    <w:p w14:paraId="21186EDF" w14:textId="4690C2F6"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Клюско Л. А. Фінансова стійкість банків: теорія та методика оцінки: монографія. Ірпінь : Національний університет державної податкової служби України, 2013.</w:t>
      </w:r>
    </w:p>
    <w:p w14:paraId="41622619"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Клюско Л. А. Фінансова стійкість комерційного банку, методи її оцінки та зміцнення: дис... канд. екон. наук: 08.04.01. К., 2002. 222 с.</w:t>
      </w:r>
    </w:p>
    <w:p w14:paraId="6D5C52B0"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Коваленко В. В Методичні підходи до визначення рівня фінансової стійкості банківської системи. </w:t>
      </w:r>
      <w:r w:rsidRPr="00F00EB0">
        <w:rPr>
          <w:rFonts w:ascii="Times New Roman" w:hAnsi="Times New Roman" w:cs="Times New Roman"/>
          <w:i/>
          <w:iCs/>
          <w:color w:val="000000" w:themeColor="text1"/>
          <w:sz w:val="28"/>
          <w:szCs w:val="28"/>
          <w:lang w:val="uk-UA"/>
        </w:rPr>
        <w:t>Актуальні проблеми економіки.</w:t>
      </w:r>
      <w:r w:rsidRPr="00F00EB0">
        <w:rPr>
          <w:rFonts w:ascii="Times New Roman" w:hAnsi="Times New Roman" w:cs="Times New Roman"/>
          <w:color w:val="000000" w:themeColor="text1"/>
          <w:sz w:val="28"/>
          <w:szCs w:val="28"/>
          <w:lang w:val="uk-UA"/>
        </w:rPr>
        <w:t xml:space="preserve"> № 7. 2011. С. 235-236.</w:t>
      </w:r>
    </w:p>
    <w:p w14:paraId="09DD2054"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Ковальова О. М. Ідентифікація кваліфікуючих факторів впливу в контексті управління фінансовою стійкістю комерційного банку. </w:t>
      </w:r>
      <w:r w:rsidRPr="00F00EB0">
        <w:rPr>
          <w:rFonts w:ascii="Times New Roman" w:hAnsi="Times New Roman" w:cs="Times New Roman"/>
          <w:i/>
          <w:iCs/>
          <w:color w:val="000000" w:themeColor="text1"/>
          <w:sz w:val="28"/>
          <w:szCs w:val="28"/>
          <w:lang w:val="uk-UA"/>
        </w:rPr>
        <w:t>Бізнес Інформ.</w:t>
      </w:r>
      <w:r w:rsidRPr="00F00EB0">
        <w:rPr>
          <w:rFonts w:ascii="Times New Roman" w:hAnsi="Times New Roman" w:cs="Times New Roman"/>
          <w:color w:val="000000" w:themeColor="text1"/>
          <w:sz w:val="28"/>
          <w:szCs w:val="28"/>
          <w:lang w:val="uk-UA"/>
        </w:rPr>
        <w:t xml:space="preserve"> 2021. № 7. С. 212-221.</w:t>
      </w:r>
    </w:p>
    <w:p w14:paraId="032DE9B2"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Комар А. О. Удосконалення механізму забезпечення фінансової стійкості комерційного банку : автореферат роботи на здобуття кваліфікаційного ступеня магістра ; 8.03050801. Запоріжжя, 2016. 22 с.</w:t>
      </w:r>
    </w:p>
    <w:p w14:paraId="136B0777"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Корженко К. А. Підходи до класифікації факторів, що впливають на стійкість банківської установи. </w:t>
      </w:r>
      <w:r w:rsidRPr="00F00EB0">
        <w:rPr>
          <w:rFonts w:ascii="Times New Roman" w:hAnsi="Times New Roman" w:cs="Times New Roman"/>
          <w:i/>
          <w:iCs/>
          <w:color w:val="000000" w:themeColor="text1"/>
          <w:sz w:val="28"/>
          <w:szCs w:val="28"/>
          <w:lang w:val="uk-UA"/>
        </w:rPr>
        <w:t>Науковий вісник Херсонського державного університету. Сер.: Економічні науки</w:t>
      </w:r>
      <w:r w:rsidRPr="00F00EB0">
        <w:rPr>
          <w:rFonts w:ascii="Times New Roman" w:hAnsi="Times New Roman" w:cs="Times New Roman"/>
          <w:color w:val="000000" w:themeColor="text1"/>
          <w:sz w:val="28"/>
          <w:szCs w:val="28"/>
          <w:lang w:val="uk-UA"/>
        </w:rPr>
        <w:t>. 2015. № 12 (1). С. 191- 195.</w:t>
      </w:r>
    </w:p>
    <w:p w14:paraId="0C0A23BF"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Корпоративне управління. АТ КБ «ПриватБанк». 2022. URL: https://privatbank.ua/about/management/corp (дата звернення: 27.05.2023).</w:t>
      </w:r>
    </w:p>
    <w:p w14:paraId="7C0A13C0"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Кочетков В. М. Забезпечення фінансової стійкості сучасного комерційного банку: теоретико–методологічні аспекти: монографія. К.: КНЕУ, 2002. 238 с.</w:t>
      </w:r>
    </w:p>
    <w:p w14:paraId="29A4A3E3"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Кузнєцова А. Я., Погореленко Н. П. Механізм забезпечення фінансової стабільності банківської системи України.</w:t>
      </w:r>
      <w:r w:rsidRPr="00F00EB0">
        <w:rPr>
          <w:rFonts w:ascii="Times New Roman" w:hAnsi="Times New Roman" w:cs="Times New Roman"/>
          <w:i/>
          <w:iCs/>
          <w:color w:val="000000" w:themeColor="text1"/>
          <w:sz w:val="28"/>
          <w:szCs w:val="28"/>
          <w:lang w:val="uk-UA"/>
        </w:rPr>
        <w:t xml:space="preserve"> Financial and Credit Activity Problems of Theory and Practice</w:t>
      </w:r>
      <w:r w:rsidRPr="00F00EB0">
        <w:rPr>
          <w:rFonts w:ascii="Times New Roman" w:hAnsi="Times New Roman" w:cs="Times New Roman"/>
          <w:color w:val="000000" w:themeColor="text1"/>
          <w:sz w:val="28"/>
          <w:szCs w:val="28"/>
          <w:lang w:val="uk-UA"/>
        </w:rPr>
        <w:t>. 2021. Вип. 2 (33). С. 37-47, doi:10.18371/fcaptp.v2i33.206396.</w:t>
      </w:r>
    </w:p>
    <w:p w14:paraId="2C300E1D"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Кушнір К. О. Поняття стійкості комерційних банків та її динамічні характеристики. </w:t>
      </w:r>
      <w:r w:rsidRPr="00F00EB0">
        <w:rPr>
          <w:rFonts w:ascii="Times New Roman" w:hAnsi="Times New Roman" w:cs="Times New Roman"/>
          <w:i/>
          <w:iCs/>
          <w:color w:val="000000" w:themeColor="text1"/>
          <w:sz w:val="28"/>
          <w:szCs w:val="28"/>
          <w:lang w:val="uk-UA"/>
        </w:rPr>
        <w:t>Інвестиції: практика та досвід</w:t>
      </w:r>
      <w:r w:rsidRPr="00F00EB0">
        <w:rPr>
          <w:rFonts w:ascii="Times New Roman" w:hAnsi="Times New Roman" w:cs="Times New Roman"/>
          <w:color w:val="000000" w:themeColor="text1"/>
          <w:sz w:val="28"/>
          <w:szCs w:val="28"/>
          <w:lang w:val="uk-UA"/>
        </w:rPr>
        <w:t>. 2008. № 20. С. 37-41.</w:t>
      </w:r>
    </w:p>
    <w:p w14:paraId="4A9A2F6C"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Лачкова Л. І., Борисова А. О., Лачкова В. М. Механізм управління фінансової стійкістю банків. </w:t>
      </w:r>
      <w:r w:rsidRPr="00F00EB0">
        <w:rPr>
          <w:rFonts w:ascii="Times New Roman" w:hAnsi="Times New Roman" w:cs="Times New Roman"/>
          <w:i/>
          <w:iCs/>
          <w:color w:val="000000" w:themeColor="text1"/>
          <w:sz w:val="28"/>
          <w:szCs w:val="28"/>
          <w:lang w:val="uk-UA"/>
        </w:rPr>
        <w:t>Економіка і суспільство.</w:t>
      </w:r>
      <w:r w:rsidRPr="00F00EB0">
        <w:rPr>
          <w:rFonts w:ascii="Times New Roman" w:hAnsi="Times New Roman" w:cs="Times New Roman"/>
          <w:color w:val="000000" w:themeColor="text1"/>
          <w:sz w:val="28"/>
          <w:szCs w:val="28"/>
          <w:lang w:val="uk-UA"/>
        </w:rPr>
        <w:t xml:space="preserve"> 2018. № 18. С. 1089-1092.</w:t>
      </w:r>
    </w:p>
    <w:p w14:paraId="181A279D"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Майба В. В. Оцінювання факторів фінансової стійкості комерційних банків. </w:t>
      </w:r>
      <w:r w:rsidRPr="00F00EB0">
        <w:rPr>
          <w:rFonts w:ascii="Times New Roman" w:hAnsi="Times New Roman" w:cs="Times New Roman"/>
          <w:i/>
          <w:iCs/>
          <w:color w:val="000000" w:themeColor="text1"/>
          <w:sz w:val="28"/>
          <w:szCs w:val="28"/>
          <w:lang w:val="uk-UA"/>
        </w:rPr>
        <w:t>Моделювання та інформаційні системи в економіці</w:t>
      </w:r>
      <w:r w:rsidRPr="00F00EB0">
        <w:rPr>
          <w:rFonts w:ascii="Times New Roman" w:hAnsi="Times New Roman" w:cs="Times New Roman"/>
          <w:color w:val="000000" w:themeColor="text1"/>
          <w:sz w:val="28"/>
          <w:szCs w:val="28"/>
          <w:lang w:val="uk-UA"/>
        </w:rPr>
        <w:t>. 2011. Вип. 83. С. 49-65</w:t>
      </w:r>
    </w:p>
    <w:p w14:paraId="3E6E82A9"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Малахова О. Л., Михайлюк Р. В. Управління фінансовою стійкістю банків: Навчальний посібник. Тернопіль: Вектор, 2011. 300 с.</w:t>
      </w:r>
    </w:p>
    <w:p w14:paraId="309751F5"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Марценюк Д. А. Механізм забезпечення фінансової стійкості комерційного банку : кваліфікаційна робота магістр, спец.: 072. Тернопіль, 2021. 77 с.</w:t>
      </w:r>
    </w:p>
    <w:p w14:paraId="382FDF33"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Методичні рекомендації щодо планування в банках України заходів на випадок виникнення непередбачених обставин: затверджені правлінням НБУ від 08.09.2008 № 271. URL: https://zakon.rada.gov.ua/laws/show/v0271500-08#Text.</w:t>
      </w:r>
    </w:p>
    <w:p w14:paraId="1F926E0A"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Михайлюк Р. Концептуальні засади механізму управління фінансовою стійкістю комерційних банків. </w:t>
      </w:r>
      <w:r w:rsidRPr="00F00EB0">
        <w:rPr>
          <w:rFonts w:ascii="Times New Roman" w:hAnsi="Times New Roman" w:cs="Times New Roman"/>
          <w:i/>
          <w:iCs/>
          <w:color w:val="000000" w:themeColor="text1"/>
          <w:sz w:val="28"/>
          <w:szCs w:val="28"/>
          <w:lang w:val="uk-UA"/>
        </w:rPr>
        <w:t>Світ фінансів.</w:t>
      </w:r>
      <w:r w:rsidRPr="00F00EB0">
        <w:rPr>
          <w:rFonts w:ascii="Times New Roman" w:hAnsi="Times New Roman" w:cs="Times New Roman"/>
          <w:color w:val="000000" w:themeColor="text1"/>
          <w:sz w:val="28"/>
          <w:szCs w:val="28"/>
          <w:lang w:val="uk-UA"/>
        </w:rPr>
        <w:t xml:space="preserve"> 2017. Випуск 3-4 (4-5). С. 21-32.</w:t>
      </w:r>
    </w:p>
    <w:p w14:paraId="4F942630"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Михайлюк Р. В. Механізм управління фінансовою стійкістю комерційних банків: автореф. дис. на здобуття наук. ступеня канд. екон. наук: спец. 08.00.08. Тернопіль: ТНЕУ, 2008. 20 с.</w:t>
      </w:r>
    </w:p>
    <w:p w14:paraId="0189CDE4"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Нікольчук  Ю. М., Лопатовська О. О. Організаційно-економічний механізм управління фінансовою стійкістю комерційного банку. </w:t>
      </w:r>
      <w:r w:rsidRPr="00F00EB0">
        <w:rPr>
          <w:rFonts w:ascii="Times New Roman" w:hAnsi="Times New Roman" w:cs="Times New Roman"/>
          <w:i/>
          <w:iCs/>
          <w:color w:val="000000" w:themeColor="text1"/>
          <w:sz w:val="28"/>
          <w:szCs w:val="28"/>
          <w:lang w:val="uk-UA"/>
        </w:rPr>
        <w:t>Вісник Хмельницького національного університету. Економічні науки.</w:t>
      </w:r>
      <w:r w:rsidRPr="00F00EB0">
        <w:rPr>
          <w:rFonts w:ascii="Times New Roman" w:hAnsi="Times New Roman" w:cs="Times New Roman"/>
          <w:color w:val="000000" w:themeColor="text1"/>
          <w:sz w:val="28"/>
          <w:szCs w:val="28"/>
          <w:lang w:val="uk-UA"/>
        </w:rPr>
        <w:t xml:space="preserve"> 2020. №</w:t>
      </w:r>
      <w:r w:rsidRPr="00F00EB0">
        <w:rPr>
          <w:rFonts w:ascii="Times New Roman" w:hAnsi="Times New Roman" w:cs="Times New Roman"/>
          <w:color w:val="000000" w:themeColor="text1"/>
          <w:lang w:val="uk-UA"/>
        </w:rPr>
        <w:t> </w:t>
      </w:r>
      <w:r w:rsidRPr="00F00EB0">
        <w:rPr>
          <w:rFonts w:ascii="Times New Roman" w:hAnsi="Times New Roman" w:cs="Times New Roman"/>
          <w:color w:val="000000" w:themeColor="text1"/>
          <w:sz w:val="28"/>
          <w:szCs w:val="28"/>
          <w:lang w:val="uk-UA"/>
        </w:rPr>
        <w:t>1. С. 217-221.</w:t>
      </w:r>
    </w:p>
    <w:p w14:paraId="1EAC5E20"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 xml:space="preserve">Олійник А. В., Сущук Г. С. Управління фінансовою стійкістю банків. </w:t>
      </w:r>
      <w:r w:rsidRPr="00F00EB0">
        <w:rPr>
          <w:rFonts w:ascii="Times New Roman" w:hAnsi="Times New Roman" w:cs="Times New Roman"/>
          <w:i/>
          <w:iCs/>
          <w:color w:val="000000" w:themeColor="text1"/>
          <w:sz w:val="28"/>
          <w:szCs w:val="28"/>
          <w:lang w:val="uk-UA"/>
        </w:rPr>
        <w:t>Вісник Хмельницького національного університету.</w:t>
      </w:r>
      <w:r w:rsidRPr="00F00EB0">
        <w:rPr>
          <w:rFonts w:ascii="Times New Roman" w:hAnsi="Times New Roman" w:cs="Times New Roman"/>
          <w:color w:val="000000" w:themeColor="text1"/>
          <w:sz w:val="28"/>
          <w:szCs w:val="28"/>
          <w:lang w:val="uk-UA"/>
        </w:rPr>
        <w:t xml:space="preserve"> 2010. № 5 T. 4. С. 159-163.</w:t>
      </w:r>
    </w:p>
    <w:p w14:paraId="5C10432A" w14:textId="4F921488" w:rsidR="00425947" w:rsidRPr="00F00EB0" w:rsidRDefault="00425947"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Павленко Л. Д., Шкромада Д. Ю., Соколенко К. О. Класифікаційна система факторів забезпечення фінансової стійкості банку в сучасних умовах. Ефективна економіка. 2019. № 5. URL: http://www.economy.nayka.com.ua/?op=1&amp;z=7041 (дата звернення: 01.06.2023).</w:t>
      </w:r>
    </w:p>
    <w:p w14:paraId="03D35EAC" w14:textId="767E0845"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Про плани відновлення діяльності банків України та банківських груп: Положення, затверджене постановою правління НБУ 18.07.2019 № 95. URL: https://zakon.rada.gov.ua/laws/show/v0095500-19#Text.</w:t>
      </w:r>
    </w:p>
    <w:p w14:paraId="5EE39EAF"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Рисін В. В., Біда А. П. Фінансова стійкість банку: чинники та особливості забезпечення. </w:t>
      </w:r>
      <w:r w:rsidRPr="00F00EB0">
        <w:rPr>
          <w:rFonts w:ascii="Times New Roman" w:hAnsi="Times New Roman" w:cs="Times New Roman"/>
          <w:i/>
          <w:iCs/>
          <w:color w:val="000000" w:themeColor="text1"/>
          <w:sz w:val="28"/>
          <w:szCs w:val="28"/>
          <w:lang w:val="uk-UA"/>
        </w:rPr>
        <w:t>Ефективна економіка.</w:t>
      </w:r>
      <w:r w:rsidRPr="00F00EB0">
        <w:rPr>
          <w:rFonts w:ascii="Times New Roman" w:hAnsi="Times New Roman" w:cs="Times New Roman"/>
          <w:color w:val="000000" w:themeColor="text1"/>
          <w:sz w:val="28"/>
          <w:szCs w:val="28"/>
          <w:lang w:val="uk-UA"/>
        </w:rPr>
        <w:t xml:space="preserve"> 2021. № 3. URL: http://www.economy.nayka.com.ua/?op=1&amp;z=8731 (дата звернення: 28.05.2023). </w:t>
      </w:r>
    </w:p>
    <w:p w14:paraId="5D4B943C"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Річний звіт за 2015 рік. АТ КБ «ПриватБанк». URL: https://static.privatbank.ua/files/year_zvit_05_05.pdf (дата звернення: 28.05.2023).</w:t>
      </w:r>
    </w:p>
    <w:p w14:paraId="3782BAE2"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Річний звіт за 2016 рік. АТ КБ «ПриватБанк». URL: </w:t>
      </w:r>
      <w:hyperlink r:id="rId107" w:history="1">
        <w:r w:rsidRPr="00F00EB0">
          <w:rPr>
            <w:rFonts w:ascii="Times New Roman" w:hAnsi="Times New Roman" w:cs="Times New Roman"/>
            <w:color w:val="000000" w:themeColor="text1"/>
            <w:sz w:val="28"/>
            <w:szCs w:val="28"/>
            <w:lang w:val="uk-UA"/>
          </w:rPr>
          <w:t>https://static.privatbank.ua/files/acpbua/Separate%20UKR_PB%202016.pdf</w:t>
        </w:r>
      </w:hyperlink>
      <w:r w:rsidRPr="00F00EB0">
        <w:rPr>
          <w:rFonts w:ascii="Times New Roman" w:hAnsi="Times New Roman" w:cs="Times New Roman"/>
          <w:color w:val="000000" w:themeColor="text1"/>
          <w:sz w:val="28"/>
          <w:szCs w:val="28"/>
          <w:lang w:val="uk-UA"/>
        </w:rPr>
        <w:t xml:space="preserve"> (дата звернення: 28.05.2023).</w:t>
      </w:r>
    </w:p>
    <w:p w14:paraId="2D4837F6"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Річний звіт за 2017 рік. АТ КБ «ПриватБанк». 2019. URL: </w:t>
      </w:r>
      <w:hyperlink r:id="rId108" w:history="1">
        <w:r w:rsidRPr="00F00EB0">
          <w:rPr>
            <w:rFonts w:ascii="Times New Roman" w:hAnsi="Times New Roman" w:cs="Times New Roman"/>
            <w:color w:val="000000" w:themeColor="text1"/>
            <w:sz w:val="28"/>
            <w:szCs w:val="28"/>
            <w:lang w:val="uk-UA"/>
          </w:rPr>
          <w:t>https://static.privatbank.ua/files/PB_SepUkr_2019.04.23FINAL1.pdf</w:t>
        </w:r>
      </w:hyperlink>
      <w:r w:rsidRPr="00F00EB0">
        <w:rPr>
          <w:rFonts w:ascii="Times New Roman" w:hAnsi="Times New Roman" w:cs="Times New Roman"/>
          <w:color w:val="000000" w:themeColor="text1"/>
          <w:sz w:val="28"/>
          <w:szCs w:val="28"/>
          <w:lang w:val="uk-UA"/>
        </w:rPr>
        <w:t xml:space="preserve"> (дата звернення: 28.05.2023).</w:t>
      </w:r>
    </w:p>
    <w:p w14:paraId="46979343"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Річний звіт за 2018 рік. АТ КБ «ПриватБанк». URL: </w:t>
      </w:r>
      <w:hyperlink r:id="rId109" w:history="1">
        <w:r w:rsidRPr="00F00EB0">
          <w:rPr>
            <w:rFonts w:ascii="Times New Roman" w:hAnsi="Times New Roman" w:cs="Times New Roman"/>
            <w:color w:val="000000" w:themeColor="text1"/>
            <w:sz w:val="28"/>
            <w:szCs w:val="28"/>
            <w:lang w:val="uk-UA"/>
          </w:rPr>
          <w:t>https://static.privatbank.ua/files/year_zvit_05_05.pdf</w:t>
        </w:r>
      </w:hyperlink>
      <w:r w:rsidRPr="00F00EB0">
        <w:rPr>
          <w:rFonts w:ascii="Times New Roman" w:hAnsi="Times New Roman" w:cs="Times New Roman"/>
          <w:color w:val="000000" w:themeColor="text1"/>
          <w:sz w:val="28"/>
          <w:szCs w:val="28"/>
          <w:lang w:val="uk-UA"/>
        </w:rPr>
        <w:t xml:space="preserve"> (дата звернення: 28.05.2023).</w:t>
      </w:r>
    </w:p>
    <w:p w14:paraId="3FF94256"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Річний звіт за 2019 рік. АТ КБ «ПриватБанк». URL: https://static.privatbank.ua/files/R%D1%96chnij+zv%D1%96t+za+2019rg..pdf (дата звернення: 28.05.2023).</w:t>
      </w:r>
    </w:p>
    <w:p w14:paraId="5872C4A4"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Річний звіт за 2021 рік. АТ КБ «ПриватБанк». URL: https://static.privatbank.ua/files/doc2_09092022.pdf (дата звернення: 28.05.2023).</w:t>
      </w:r>
    </w:p>
    <w:p w14:paraId="45EEBAE5"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Річний звіт за 2022 рік. АТ КБ «ПриватБанк». URL: https://static.privatbank.ua/files/doc2_09092022.pdf (дата звернення: 28.05.2023).</w:t>
      </w:r>
    </w:p>
    <w:p w14:paraId="7284AB92" w14:textId="4454EBD3"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Смиковська А. С, Грушко В. І. Фінансова стійкість банку, її оцінка та шляхи</w:t>
      </w:r>
      <w:r w:rsidR="00A04AC2" w:rsidRPr="00F00EB0">
        <w:rPr>
          <w:rFonts w:ascii="Times New Roman" w:hAnsi="Times New Roman" w:cs="Times New Roman"/>
          <w:color w:val="000000" w:themeColor="text1"/>
          <w:sz w:val="28"/>
          <w:szCs w:val="28"/>
          <w:lang w:val="uk-UA"/>
        </w:rPr>
        <w:t xml:space="preserve"> підвищення</w:t>
      </w:r>
      <w:r w:rsidRPr="00F00EB0">
        <w:rPr>
          <w:rFonts w:ascii="Times New Roman" w:hAnsi="Times New Roman" w:cs="Times New Roman"/>
          <w:color w:val="000000" w:themeColor="text1"/>
          <w:sz w:val="28"/>
          <w:szCs w:val="28"/>
          <w:lang w:val="uk-UA"/>
        </w:rPr>
        <w:t xml:space="preserve">. </w:t>
      </w:r>
      <w:r w:rsidRPr="00F00EB0">
        <w:rPr>
          <w:rFonts w:ascii="Times New Roman" w:hAnsi="Times New Roman" w:cs="Times New Roman"/>
          <w:i/>
          <w:iCs/>
          <w:color w:val="000000" w:themeColor="text1"/>
          <w:sz w:val="28"/>
          <w:szCs w:val="28"/>
          <w:lang w:val="uk-UA"/>
        </w:rPr>
        <w:t>Держава, регіони, підприємництво: інформаційні, суспільно-правові, соціально-економічні аспекти розвитку</w:t>
      </w:r>
      <w:r w:rsidRPr="00F00EB0">
        <w:rPr>
          <w:rFonts w:ascii="Times New Roman" w:hAnsi="Times New Roman" w:cs="Times New Roman"/>
          <w:color w:val="000000" w:themeColor="text1"/>
          <w:sz w:val="28"/>
          <w:szCs w:val="28"/>
          <w:lang w:val="uk-UA"/>
        </w:rPr>
        <w:t>: матеріали міжнародної конференції (м. Київ, 21-22 листопада 2019 р.). К.: Університет «КРОК», 2019. С. 351-355</w:t>
      </w:r>
    </w:p>
    <w:p w14:paraId="66B6EBB6"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Стадник А. С. Механізм державного антикризового регулювання банківської системи  : дисертація ... канд. екон. наук, спец.: 08.00.08. Суми: СумДУ, 2019. 287 с.</w:t>
      </w:r>
    </w:p>
    <w:p w14:paraId="127D7FB5"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Статистика індикаторів фінансової стійкості. Національний банк України. 2023. URL: https://bank.gov.ua/control/uk/publish/category?cat_id=44575 (дата звернення: 28.05.2023).</w:t>
      </w:r>
    </w:p>
    <w:p w14:paraId="73990D61"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Статистика. Національний банк України. 2023. URL: https://bank.gov.ua/ua/statistic (дата звернення: 28.05.2023).</w:t>
      </w:r>
    </w:p>
    <w:p w14:paraId="51A33F25"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Стрес-тестування банків України. 2021 рік. Національний банк України. URL: https://bank.gov.ua/admin_uploads/article/Stress_Test_Results_2021.pdf?v=4 (дата звернення: 28.05.2023).</w:t>
      </w:r>
    </w:p>
    <w:p w14:paraId="7EBA407C"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Фещенко О. Л., Сініцин О. О. Механізм комплексного управління та забезпечення фінансової стійкості банку. </w:t>
      </w:r>
      <w:r w:rsidRPr="00F00EB0">
        <w:rPr>
          <w:rFonts w:ascii="Times New Roman" w:hAnsi="Times New Roman" w:cs="Times New Roman"/>
          <w:i/>
          <w:iCs/>
          <w:color w:val="000000" w:themeColor="text1"/>
          <w:sz w:val="28"/>
          <w:szCs w:val="28"/>
          <w:lang w:val="uk-UA"/>
        </w:rPr>
        <w:t>Наукові праці МАУП.</w:t>
      </w:r>
      <w:r w:rsidRPr="00F00EB0">
        <w:rPr>
          <w:rFonts w:ascii="Times New Roman" w:hAnsi="Times New Roman" w:cs="Times New Roman"/>
          <w:color w:val="000000" w:themeColor="text1"/>
          <w:sz w:val="28"/>
          <w:szCs w:val="28"/>
          <w:lang w:val="uk-UA"/>
        </w:rPr>
        <w:t xml:space="preserve"> 2014. Вип. 2(41). С. 133-140.</w:t>
      </w:r>
    </w:p>
    <w:p w14:paraId="4A48D147"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Цимбалюк М. С. Механізм забезпечення фінансової стійкості банку: кваліфікаційна робота ... магістр, спец.: 072. Київ, 2020. 180 с.</w:t>
      </w:r>
    </w:p>
    <w:p w14:paraId="669170ED"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Шевцова О.Й., Горбунова Ю.Р. Управління фінансовою стійкістю банку. </w:t>
      </w:r>
      <w:r w:rsidRPr="00F00EB0">
        <w:rPr>
          <w:rFonts w:ascii="Times New Roman" w:hAnsi="Times New Roman" w:cs="Times New Roman"/>
          <w:i/>
          <w:iCs/>
          <w:color w:val="000000" w:themeColor="text1"/>
          <w:sz w:val="28"/>
          <w:szCs w:val="28"/>
          <w:lang w:val="uk-UA"/>
        </w:rPr>
        <w:t>Науковий погляд: економіка та управління.</w:t>
      </w:r>
      <w:r w:rsidRPr="00F00EB0">
        <w:rPr>
          <w:rFonts w:ascii="Times New Roman" w:hAnsi="Times New Roman" w:cs="Times New Roman"/>
          <w:color w:val="000000" w:themeColor="text1"/>
          <w:sz w:val="28"/>
          <w:szCs w:val="28"/>
          <w:lang w:val="uk-UA"/>
        </w:rPr>
        <w:t xml:space="preserve"> 2022. № 4 (80). С. 104-111.</w:t>
      </w:r>
    </w:p>
    <w:p w14:paraId="74A60FA8"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 xml:space="preserve">Ямкова Ю. А., Павлюк К. В. Сутність фінансової стійкості комерційного банку. </w:t>
      </w:r>
      <w:r w:rsidRPr="00F00EB0">
        <w:rPr>
          <w:rFonts w:ascii="Times New Roman" w:hAnsi="Times New Roman" w:cs="Times New Roman"/>
          <w:i/>
          <w:iCs/>
          <w:color w:val="000000" w:themeColor="text1"/>
          <w:sz w:val="28"/>
          <w:szCs w:val="28"/>
          <w:lang w:val="uk-UA"/>
        </w:rPr>
        <w:t>Наука й економіка.</w:t>
      </w:r>
      <w:r w:rsidRPr="00F00EB0">
        <w:rPr>
          <w:rFonts w:ascii="Times New Roman" w:hAnsi="Times New Roman" w:cs="Times New Roman"/>
          <w:color w:val="000000" w:themeColor="text1"/>
          <w:sz w:val="28"/>
          <w:szCs w:val="28"/>
          <w:lang w:val="uk-UA"/>
        </w:rPr>
        <w:t xml:space="preserve"> 2011. №2(22). С. 52- 59.</w:t>
      </w:r>
    </w:p>
    <w:p w14:paraId="21B39EE3" w14:textId="77777777" w:rsidR="00D069C2" w:rsidRPr="00F00EB0" w:rsidRDefault="00D069C2" w:rsidP="000D537A">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Яременко О. Р., Беренич А. В. Механізм управління та фактори впливу на фінансову стійкість банку. </w:t>
      </w:r>
      <w:r w:rsidRPr="00F00EB0">
        <w:rPr>
          <w:rFonts w:ascii="Times New Roman" w:hAnsi="Times New Roman" w:cs="Times New Roman"/>
          <w:i/>
          <w:iCs/>
          <w:color w:val="000000" w:themeColor="text1"/>
          <w:sz w:val="28"/>
          <w:szCs w:val="28"/>
          <w:lang w:val="uk-UA"/>
        </w:rPr>
        <w:t>Глобальні та національні проблеми економіки.</w:t>
      </w:r>
      <w:r w:rsidRPr="00F00EB0">
        <w:rPr>
          <w:rFonts w:ascii="Times New Roman" w:hAnsi="Times New Roman" w:cs="Times New Roman"/>
          <w:color w:val="000000" w:themeColor="text1"/>
          <w:sz w:val="28"/>
          <w:szCs w:val="28"/>
          <w:lang w:val="uk-UA"/>
        </w:rPr>
        <w:t xml:space="preserve"> 2017. №20. С. 918-924.</w:t>
      </w:r>
    </w:p>
    <w:p w14:paraId="57FECD7F" w14:textId="77777777" w:rsidR="00460A22" w:rsidRPr="00F00EB0" w:rsidRDefault="00460A22" w:rsidP="00460A22">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Akram Q. F., Eitrheim О. Flexible inflation targeting and financial stability: Is it enough to stabilize inflation and output? </w:t>
      </w:r>
      <w:r w:rsidRPr="00F00EB0">
        <w:rPr>
          <w:rFonts w:ascii="Times New Roman" w:hAnsi="Times New Roman" w:cs="Times New Roman"/>
          <w:i/>
          <w:iCs/>
          <w:color w:val="000000" w:themeColor="text1"/>
          <w:sz w:val="28"/>
          <w:szCs w:val="28"/>
          <w:lang w:val="uk-UA"/>
        </w:rPr>
        <w:t>Journal of Banking &amp; Finance</w:t>
      </w:r>
      <w:r w:rsidRPr="00F00EB0">
        <w:rPr>
          <w:rFonts w:ascii="Times New Roman" w:hAnsi="Times New Roman" w:cs="Times New Roman"/>
          <w:color w:val="000000" w:themeColor="text1"/>
          <w:sz w:val="28"/>
          <w:szCs w:val="28"/>
          <w:lang w:val="uk-UA"/>
        </w:rPr>
        <w:t>. 2008. № 32(7). Р. 1242–1254. http:// doi.org/10.1016/j.jbankfin.2007.10.008</w:t>
      </w:r>
    </w:p>
    <w:p w14:paraId="651E71C1" w14:textId="77777777" w:rsidR="00460A22" w:rsidRPr="00F00EB0" w:rsidRDefault="00460A22" w:rsidP="00460A22">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Boyd J. H., Levine R., Smith B. D. The impact of inflation on financial sector performance. </w:t>
      </w:r>
      <w:r w:rsidRPr="00F00EB0">
        <w:rPr>
          <w:rFonts w:ascii="Times New Roman" w:hAnsi="Times New Roman" w:cs="Times New Roman"/>
          <w:i/>
          <w:iCs/>
          <w:color w:val="000000" w:themeColor="text1"/>
          <w:sz w:val="28"/>
          <w:szCs w:val="28"/>
          <w:lang w:val="uk-UA"/>
        </w:rPr>
        <w:t>Journal of Monetary Economics</w:t>
      </w:r>
      <w:r w:rsidRPr="00F00EB0">
        <w:rPr>
          <w:rFonts w:ascii="Times New Roman" w:hAnsi="Times New Roman" w:cs="Times New Roman"/>
          <w:color w:val="000000" w:themeColor="text1"/>
          <w:sz w:val="28"/>
          <w:szCs w:val="28"/>
          <w:lang w:val="uk-UA"/>
        </w:rPr>
        <w:t>. 2001. № 47. Р. 221–248.</w:t>
      </w:r>
    </w:p>
    <w:p w14:paraId="5BFED32D" w14:textId="77777777" w:rsidR="00460A22" w:rsidRPr="00F00EB0" w:rsidRDefault="00460A22" w:rsidP="00460A22">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Cihák M., Hesse H. Cooperative Banks and Financial Stability. IMF Working Papers. 2007. №07(2), 1. http://doi.org/10.5089/9781451865660.001</w:t>
      </w:r>
    </w:p>
    <w:p w14:paraId="59F84BEC" w14:textId="77777777" w:rsidR="00460A22" w:rsidRPr="00F00EB0" w:rsidRDefault="00460A22" w:rsidP="00460A22">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Criste A., Lupu I. The Central Bank Policy between the Price Stability Objective and Promoting Financial Stability. </w:t>
      </w:r>
      <w:r w:rsidRPr="00F00EB0">
        <w:rPr>
          <w:rFonts w:ascii="Times New Roman" w:hAnsi="Times New Roman" w:cs="Times New Roman"/>
          <w:i/>
          <w:iCs/>
          <w:color w:val="000000" w:themeColor="text1"/>
          <w:sz w:val="28"/>
          <w:szCs w:val="28"/>
          <w:lang w:val="uk-UA"/>
        </w:rPr>
        <w:t>Procedia Economics and Finance</w:t>
      </w:r>
      <w:r w:rsidRPr="00F00EB0">
        <w:rPr>
          <w:rFonts w:ascii="Times New Roman" w:hAnsi="Times New Roman" w:cs="Times New Roman"/>
          <w:color w:val="000000" w:themeColor="text1"/>
          <w:sz w:val="28"/>
          <w:szCs w:val="28"/>
          <w:lang w:val="uk-UA"/>
        </w:rPr>
        <w:t>. 2014. № 8(14). Р. 219–225. http://doi. org/10.1016/S2212-5671(14)00084-7</w:t>
      </w:r>
    </w:p>
    <w:p w14:paraId="25859020" w14:textId="77777777" w:rsidR="00460A22" w:rsidRPr="00F00EB0" w:rsidRDefault="00460A22" w:rsidP="00460A22">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Diaconu R.-I., Oanea D.-C. The Main Determinants of Bank’s Stability. Evidence from Romanian Banking Sector. </w:t>
      </w:r>
      <w:r w:rsidRPr="00F00EB0">
        <w:rPr>
          <w:rFonts w:ascii="Times New Roman" w:hAnsi="Times New Roman" w:cs="Times New Roman"/>
          <w:i/>
          <w:iCs/>
          <w:color w:val="000000" w:themeColor="text1"/>
          <w:sz w:val="28"/>
          <w:szCs w:val="28"/>
          <w:lang w:val="uk-UA"/>
        </w:rPr>
        <w:t>Procedia Economics and Finance</w:t>
      </w:r>
      <w:r w:rsidRPr="00F00EB0">
        <w:rPr>
          <w:rFonts w:ascii="Times New Roman" w:hAnsi="Times New Roman" w:cs="Times New Roman"/>
          <w:color w:val="000000" w:themeColor="text1"/>
          <w:sz w:val="28"/>
          <w:szCs w:val="28"/>
          <w:lang w:val="uk-UA"/>
        </w:rPr>
        <w:t>. 2014. №16. Р. 329–335. http://doi. org/10.1016/S2212-5671(14)00810-7</w:t>
      </w:r>
    </w:p>
    <w:p w14:paraId="0FF6EAFA" w14:textId="77777777" w:rsidR="00460A22" w:rsidRPr="00F00EB0" w:rsidRDefault="00460A22" w:rsidP="00460A22">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Driffill J., Rotondi Z., Savona P., Zazzara, C. Monetary policy and financial stability: What role for the futures market? </w:t>
      </w:r>
      <w:r w:rsidRPr="00F00EB0">
        <w:rPr>
          <w:rFonts w:ascii="Times New Roman" w:hAnsi="Times New Roman" w:cs="Times New Roman"/>
          <w:i/>
          <w:iCs/>
          <w:color w:val="000000" w:themeColor="text1"/>
          <w:sz w:val="28"/>
          <w:szCs w:val="28"/>
          <w:lang w:val="uk-UA"/>
        </w:rPr>
        <w:t>Journal of Financial Stability</w:t>
      </w:r>
      <w:r w:rsidRPr="00F00EB0">
        <w:rPr>
          <w:rFonts w:ascii="Times New Roman" w:hAnsi="Times New Roman" w:cs="Times New Roman"/>
          <w:color w:val="000000" w:themeColor="text1"/>
          <w:sz w:val="28"/>
          <w:szCs w:val="28"/>
          <w:lang w:val="uk-UA"/>
        </w:rPr>
        <w:t>. 2006. № 2(1). Р. 95–112. http://doi. org/10.1016/j.jfs.2005.03.001</w:t>
      </w:r>
    </w:p>
    <w:p w14:paraId="0EA13A03" w14:textId="77777777" w:rsidR="00460A22" w:rsidRPr="00F00EB0" w:rsidRDefault="00460A22" w:rsidP="00460A22">
      <w:pPr>
        <w:pStyle w:val="ae"/>
        <w:numPr>
          <w:ilvl w:val="0"/>
          <w:numId w:val="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Pan H., Wang C. House prices, bank instability, and economic growth: Evidence from the threshold model. </w:t>
      </w:r>
      <w:r w:rsidRPr="00F00EB0">
        <w:rPr>
          <w:rFonts w:ascii="Times New Roman" w:hAnsi="Times New Roman" w:cs="Times New Roman"/>
          <w:i/>
          <w:iCs/>
          <w:color w:val="000000" w:themeColor="text1"/>
          <w:sz w:val="28"/>
          <w:szCs w:val="28"/>
          <w:lang w:val="uk-UA"/>
        </w:rPr>
        <w:t>Journal of Banking &amp; Finance</w:t>
      </w:r>
      <w:r w:rsidRPr="00F00EB0">
        <w:rPr>
          <w:rFonts w:ascii="Times New Roman" w:hAnsi="Times New Roman" w:cs="Times New Roman"/>
          <w:color w:val="000000" w:themeColor="text1"/>
          <w:sz w:val="28"/>
          <w:szCs w:val="28"/>
          <w:lang w:val="uk-UA"/>
        </w:rPr>
        <w:t>. 2013. №37(5). Р.1720–1732. http://doi. org/10.1016/j.jbankfin.2013.01.018</w:t>
      </w:r>
    </w:p>
    <w:p w14:paraId="086D41B1" w14:textId="77777777" w:rsidR="00337505" w:rsidRPr="00F00EB0" w:rsidRDefault="00337505" w:rsidP="00337505">
      <w:pPr>
        <w:rPr>
          <w:rFonts w:ascii="Times New Roman" w:hAnsi="Times New Roman" w:cs="Times New Roman"/>
          <w:color w:val="000000" w:themeColor="text1"/>
          <w:lang w:val="uk-UA"/>
        </w:rPr>
      </w:pPr>
    </w:p>
    <w:p w14:paraId="1FD2CB29" w14:textId="4F2708F9" w:rsidR="0047503B" w:rsidRPr="00F00EB0" w:rsidRDefault="0047503B">
      <w:pPr>
        <w:rPr>
          <w:rFonts w:ascii="Times New Roman" w:hAnsi="Times New Roman" w:cs="Times New Roman"/>
          <w:b/>
          <w:color w:val="000000" w:themeColor="text1"/>
          <w:lang w:val="uk-UA"/>
        </w:rPr>
      </w:pPr>
      <w:r w:rsidRPr="00F00EB0">
        <w:rPr>
          <w:rFonts w:ascii="Times New Roman" w:hAnsi="Times New Roman" w:cs="Times New Roman"/>
          <w:b/>
          <w:color w:val="000000" w:themeColor="text1"/>
          <w:lang w:val="uk-UA"/>
        </w:rPr>
        <w:br w:type="page"/>
      </w:r>
    </w:p>
    <w:p w14:paraId="0DD17BD5" w14:textId="505D8F49" w:rsidR="00386FDD" w:rsidRPr="00F00EB0" w:rsidRDefault="00386FDD" w:rsidP="00386FDD">
      <w:pPr>
        <w:pStyle w:val="10"/>
        <w:rPr>
          <w:rFonts w:cs="Times New Roman"/>
          <w:b/>
          <w:color w:val="000000" w:themeColor="text1"/>
          <w:lang w:val="uk-UA"/>
        </w:rPr>
      </w:pPr>
      <w:bookmarkStart w:id="22" w:name="_Toc137414311"/>
      <w:r w:rsidRPr="00F00EB0">
        <w:rPr>
          <w:rFonts w:cs="Times New Roman"/>
          <w:b/>
          <w:color w:val="000000" w:themeColor="text1"/>
          <w:lang w:val="uk-UA"/>
        </w:rPr>
        <w:lastRenderedPageBreak/>
        <w:t>ДОДАТОК А</w:t>
      </w:r>
      <w:bookmarkEnd w:id="10"/>
      <w:r w:rsidR="008E2344" w:rsidRPr="00F00EB0">
        <w:rPr>
          <w:rFonts w:cs="Times New Roman"/>
          <w:b/>
          <w:color w:val="000000" w:themeColor="text1"/>
          <w:lang w:val="uk-UA"/>
        </w:rPr>
        <w:br/>
      </w:r>
      <w:bookmarkStart w:id="23" w:name="_Toc42962269"/>
      <w:r w:rsidR="00527F46" w:rsidRPr="00F00EB0">
        <w:rPr>
          <w:rFonts w:cs="Times New Roman"/>
          <w:b/>
          <w:color w:val="000000" w:themeColor="text1"/>
          <w:lang w:val="uk-UA"/>
        </w:rPr>
        <w:t>ДОСЛІДЖЕННЯ ПОНЯТТЯ ФІНАНСОВОЇ СТІЙКОСТІ</w:t>
      </w:r>
      <w:bookmarkEnd w:id="23"/>
      <w:r w:rsidR="00527F46" w:rsidRPr="00F00EB0">
        <w:rPr>
          <w:rFonts w:cs="Times New Roman"/>
          <w:b/>
          <w:color w:val="000000" w:themeColor="text1"/>
          <w:lang w:val="uk-UA"/>
        </w:rPr>
        <w:t xml:space="preserve"> БАНКУ</w:t>
      </w:r>
      <w:bookmarkEnd w:id="22"/>
    </w:p>
    <w:p w14:paraId="388862AF" w14:textId="5F92BDBA" w:rsidR="00386FDD" w:rsidRPr="00F00EB0" w:rsidRDefault="00386FDD" w:rsidP="00386FDD">
      <w:pPr>
        <w:ind w:firstLine="709"/>
        <w:rPr>
          <w:rFonts w:ascii="Times New Roman" w:eastAsiaTheme="majorEastAsia" w:hAnsi="Times New Roman" w:cs="Times New Roman"/>
          <w:color w:val="000000" w:themeColor="text1"/>
          <w:sz w:val="28"/>
          <w:szCs w:val="32"/>
          <w:lang w:val="uk-UA"/>
        </w:rPr>
      </w:pPr>
      <w:r w:rsidRPr="00F00EB0">
        <w:rPr>
          <w:rFonts w:ascii="Times New Roman" w:eastAsiaTheme="majorEastAsia" w:hAnsi="Times New Roman" w:cs="Times New Roman"/>
          <w:color w:val="000000" w:themeColor="text1"/>
          <w:sz w:val="28"/>
          <w:szCs w:val="32"/>
          <w:lang w:val="uk-UA"/>
        </w:rPr>
        <w:t xml:space="preserve">Таблиця А.1 – Дослідження </w:t>
      </w:r>
      <w:r w:rsidR="00191432" w:rsidRPr="00F00EB0">
        <w:rPr>
          <w:rFonts w:ascii="Times New Roman" w:eastAsiaTheme="majorEastAsia" w:hAnsi="Times New Roman" w:cs="Times New Roman"/>
          <w:color w:val="000000" w:themeColor="text1"/>
          <w:sz w:val="28"/>
          <w:szCs w:val="32"/>
          <w:lang w:val="uk-UA"/>
        </w:rPr>
        <w:t>поняття</w:t>
      </w:r>
      <w:r w:rsidRPr="00F00EB0">
        <w:rPr>
          <w:rFonts w:ascii="Times New Roman" w:eastAsiaTheme="majorEastAsia" w:hAnsi="Times New Roman" w:cs="Times New Roman"/>
          <w:color w:val="000000" w:themeColor="text1"/>
          <w:sz w:val="28"/>
          <w:szCs w:val="32"/>
          <w:lang w:val="uk-UA"/>
        </w:rPr>
        <w:t xml:space="preserve"> </w:t>
      </w:r>
      <w:r w:rsidR="00191432" w:rsidRPr="00F00EB0">
        <w:rPr>
          <w:rFonts w:ascii="Times New Roman" w:eastAsiaTheme="majorEastAsia" w:hAnsi="Times New Roman" w:cs="Times New Roman"/>
          <w:color w:val="000000" w:themeColor="text1"/>
          <w:sz w:val="28"/>
          <w:szCs w:val="32"/>
          <w:lang w:val="uk-UA"/>
        </w:rPr>
        <w:t>«ФСБ» в працях науковців</w:t>
      </w:r>
    </w:p>
    <w:tbl>
      <w:tblPr>
        <w:tblStyle w:val="af0"/>
        <w:tblW w:w="5000" w:type="pct"/>
        <w:tblLook w:val="04A0" w:firstRow="1" w:lastRow="0" w:firstColumn="1" w:lastColumn="0" w:noHBand="0" w:noVBand="1"/>
      </w:tblPr>
      <w:tblGrid>
        <w:gridCol w:w="2260"/>
        <w:gridCol w:w="7651"/>
      </w:tblGrid>
      <w:tr w:rsidR="00F00EB0" w:rsidRPr="00F00EB0" w14:paraId="7209F13E" w14:textId="77777777" w:rsidTr="003C1952">
        <w:tc>
          <w:tcPr>
            <w:tcW w:w="1140" w:type="pct"/>
            <w:vAlign w:val="center"/>
          </w:tcPr>
          <w:p w14:paraId="633EB847" w14:textId="352E1ECC" w:rsidR="00386FDD" w:rsidRPr="00F00EB0" w:rsidRDefault="00B96E8D" w:rsidP="00BD4E1C">
            <w:pPr>
              <w:contextualSpacing/>
              <w:jc w:val="center"/>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Джерело</w:t>
            </w:r>
          </w:p>
        </w:tc>
        <w:tc>
          <w:tcPr>
            <w:tcW w:w="3860" w:type="pct"/>
            <w:vAlign w:val="center"/>
          </w:tcPr>
          <w:p w14:paraId="78305A6D" w14:textId="77777777" w:rsidR="00386FDD" w:rsidRPr="00F00EB0" w:rsidRDefault="00386FDD" w:rsidP="00BD4E1C">
            <w:pPr>
              <w:contextualSpacing/>
              <w:jc w:val="center"/>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Визначення</w:t>
            </w:r>
          </w:p>
        </w:tc>
      </w:tr>
      <w:tr w:rsidR="00F00EB0" w:rsidRPr="00F00EB0" w14:paraId="6D792CDF" w14:textId="77777777" w:rsidTr="003C1952">
        <w:tc>
          <w:tcPr>
            <w:tcW w:w="5000" w:type="pct"/>
            <w:gridSpan w:val="2"/>
            <w:vAlign w:val="center"/>
          </w:tcPr>
          <w:p w14:paraId="522195B5" w14:textId="5CBB6B55" w:rsidR="0017068C" w:rsidRPr="00F00EB0" w:rsidRDefault="0017068C" w:rsidP="00F058E3">
            <w:pPr>
              <w:contextualSpacing/>
              <w:jc w:val="center"/>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Поняття «фінансова стійкість банку»</w:t>
            </w:r>
          </w:p>
        </w:tc>
      </w:tr>
      <w:tr w:rsidR="00F00EB0" w:rsidRPr="00F00EB0" w14:paraId="6C43F139" w14:textId="77777777" w:rsidTr="003C1952">
        <w:tc>
          <w:tcPr>
            <w:tcW w:w="1140" w:type="pct"/>
            <w:vAlign w:val="center"/>
          </w:tcPr>
          <w:p w14:paraId="0278DC3A" w14:textId="182AFC1A" w:rsidR="00386FDD" w:rsidRPr="00F00EB0" w:rsidRDefault="00386FDD" w:rsidP="00CF05EF">
            <w:pPr>
              <w:contextualSpacing/>
              <w:jc w:val="center"/>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Офіційний сайт НБУ [</w:t>
            </w:r>
            <w:r w:rsidR="00507F42" w:rsidRPr="00F00EB0">
              <w:rPr>
                <w:rFonts w:ascii="Times New Roman" w:eastAsiaTheme="majorEastAsia" w:hAnsi="Times New Roman" w:cs="Times New Roman"/>
                <w:color w:val="000000" w:themeColor="text1"/>
                <w:sz w:val="23"/>
                <w:szCs w:val="23"/>
                <w:lang w:val="uk-UA"/>
              </w:rPr>
              <w:t>16</w:t>
            </w:r>
            <w:r w:rsidRPr="00F00EB0">
              <w:rPr>
                <w:rFonts w:ascii="Times New Roman" w:eastAsiaTheme="majorEastAsia" w:hAnsi="Times New Roman" w:cs="Times New Roman"/>
                <w:color w:val="000000" w:themeColor="text1"/>
                <w:sz w:val="23"/>
                <w:szCs w:val="23"/>
                <w:lang w:val="uk-UA"/>
              </w:rPr>
              <w:t>]</w:t>
            </w:r>
          </w:p>
        </w:tc>
        <w:tc>
          <w:tcPr>
            <w:tcW w:w="3860" w:type="pct"/>
            <w:vAlign w:val="center"/>
          </w:tcPr>
          <w:p w14:paraId="71A5448E" w14:textId="1D1193B1" w:rsidR="00386FDD" w:rsidRPr="00F00EB0" w:rsidRDefault="00386FDD" w:rsidP="00BD4E1C">
            <w:pPr>
              <w:contextualSpacing/>
              <w:jc w:val="both"/>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стан банку, який характеризується збалансованістю фінансових потоків, достатністю коштів для підтримки своєї платоспроможності та ліквідності, а також рентабельною діяльністю. Фінансова стійкість банку означає постійну здатність банку відповідати за своїми зобов’язаннями і забезпечувати прибутковість на рівні, достатньому для нормального функціонування у конкурентному середовищі.</w:t>
            </w:r>
          </w:p>
        </w:tc>
      </w:tr>
      <w:tr w:rsidR="00F00EB0" w:rsidRPr="00D00194" w14:paraId="4464F0A4" w14:textId="77777777" w:rsidTr="003C1952">
        <w:tc>
          <w:tcPr>
            <w:tcW w:w="1140" w:type="pct"/>
            <w:vAlign w:val="center"/>
          </w:tcPr>
          <w:p w14:paraId="0CE6F291" w14:textId="7DC78F78" w:rsidR="00A40019" w:rsidRPr="00F00EB0" w:rsidRDefault="00A40019" w:rsidP="00CF05EF">
            <w:pPr>
              <w:contextualSpacing/>
              <w:jc w:val="center"/>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О.Зверяков</w:t>
            </w:r>
            <w:r w:rsidR="00507F42" w:rsidRPr="00F00EB0">
              <w:rPr>
                <w:rFonts w:ascii="Times New Roman" w:eastAsiaTheme="majorEastAsia" w:hAnsi="Times New Roman" w:cs="Times New Roman"/>
                <w:color w:val="000000" w:themeColor="text1"/>
                <w:sz w:val="23"/>
                <w:szCs w:val="23"/>
                <w:lang w:val="uk-UA"/>
              </w:rPr>
              <w:t xml:space="preserve"> [24]</w:t>
            </w:r>
          </w:p>
        </w:tc>
        <w:tc>
          <w:tcPr>
            <w:tcW w:w="3860" w:type="pct"/>
            <w:vAlign w:val="center"/>
          </w:tcPr>
          <w:p w14:paraId="12F4621F" w14:textId="6F7091F3" w:rsidR="00A40019" w:rsidRPr="00F00EB0" w:rsidRDefault="00A40019" w:rsidP="002A2AD4">
            <w:pPr>
              <w:contextualSpacing/>
              <w:jc w:val="both"/>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здатність банку функціонувати згідно з його стратегією, цілями та задачами під дією різних зовнішніх і внутрішніх чинників, яка може бути оцінена різними показниками</w:t>
            </w:r>
          </w:p>
        </w:tc>
      </w:tr>
      <w:tr w:rsidR="00F00EB0" w:rsidRPr="00D00194" w14:paraId="5AE5C6A9" w14:textId="77777777" w:rsidTr="003C1952">
        <w:tc>
          <w:tcPr>
            <w:tcW w:w="1140" w:type="pct"/>
            <w:vAlign w:val="center"/>
          </w:tcPr>
          <w:p w14:paraId="490B1D3B" w14:textId="2A670268" w:rsidR="002A2AD4" w:rsidRPr="00F00EB0" w:rsidRDefault="002A2AD4" w:rsidP="00CF05EF">
            <w:pPr>
              <w:contextualSpacing/>
              <w:jc w:val="center"/>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О. Г. Агрес [</w:t>
            </w:r>
            <w:r w:rsidR="00507F42" w:rsidRPr="00F00EB0">
              <w:rPr>
                <w:rFonts w:ascii="Times New Roman" w:eastAsiaTheme="majorEastAsia" w:hAnsi="Times New Roman" w:cs="Times New Roman"/>
                <w:color w:val="000000" w:themeColor="text1"/>
                <w:sz w:val="23"/>
                <w:szCs w:val="23"/>
                <w:lang w:val="uk-UA"/>
              </w:rPr>
              <w:t>3</w:t>
            </w:r>
            <w:r w:rsidRPr="00F00EB0">
              <w:rPr>
                <w:rFonts w:ascii="Times New Roman" w:eastAsiaTheme="majorEastAsia" w:hAnsi="Times New Roman" w:cs="Times New Roman"/>
                <w:color w:val="000000" w:themeColor="text1"/>
                <w:sz w:val="23"/>
                <w:szCs w:val="23"/>
                <w:lang w:val="uk-UA"/>
              </w:rPr>
              <w:t>]</w:t>
            </w:r>
          </w:p>
        </w:tc>
        <w:tc>
          <w:tcPr>
            <w:tcW w:w="3860" w:type="pct"/>
            <w:vAlign w:val="center"/>
          </w:tcPr>
          <w:p w14:paraId="4A6D370D" w14:textId="7B0510C5" w:rsidR="002A2AD4" w:rsidRPr="00F00EB0" w:rsidRDefault="002A2AD4" w:rsidP="002A2AD4">
            <w:pPr>
              <w:contextualSpacing/>
              <w:jc w:val="both"/>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якісна характеристика фінансового стану банківської установи, що відзначається достатністю, збалансованістю та оптимальним співвідношенням фінансових ресурсів і активів за умов підтримання на достатньому рівні ліквідності й платоспроможності, зростання прибутку та мінімізації ризиків, а також здатний витримати непередбачені втрати і зберегти стан ефективного функціонування.</w:t>
            </w:r>
          </w:p>
        </w:tc>
      </w:tr>
      <w:tr w:rsidR="00F00EB0" w:rsidRPr="00D00194" w14:paraId="39E7B5B9" w14:textId="77777777" w:rsidTr="003C1952">
        <w:tc>
          <w:tcPr>
            <w:tcW w:w="1140" w:type="pct"/>
            <w:vAlign w:val="center"/>
          </w:tcPr>
          <w:p w14:paraId="28BFC404" w14:textId="3FD1C72C" w:rsidR="00386FDD" w:rsidRPr="00F00EB0" w:rsidRDefault="00386FDD" w:rsidP="00AB516F">
            <w:pPr>
              <w:contextualSpacing/>
              <w:jc w:val="center"/>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 xml:space="preserve">Л.А. Клюско </w:t>
            </w:r>
            <w:r w:rsidR="0017068C" w:rsidRPr="00F00EB0">
              <w:rPr>
                <w:rFonts w:ascii="Times New Roman" w:hAnsi="Times New Roman" w:cs="Times New Roman"/>
                <w:color w:val="000000" w:themeColor="text1"/>
                <w:sz w:val="23"/>
                <w:szCs w:val="23"/>
                <w:lang w:val="uk-UA"/>
              </w:rPr>
              <w:t>[</w:t>
            </w:r>
            <w:r w:rsidR="006A02E7" w:rsidRPr="00F00EB0">
              <w:rPr>
                <w:rFonts w:ascii="Times New Roman" w:hAnsi="Times New Roman" w:cs="Times New Roman"/>
                <w:color w:val="000000" w:themeColor="text1"/>
                <w:sz w:val="23"/>
                <w:szCs w:val="23"/>
                <w:lang w:val="uk-UA"/>
              </w:rPr>
              <w:t>31</w:t>
            </w:r>
            <w:r w:rsidR="0017068C" w:rsidRPr="00F00EB0">
              <w:rPr>
                <w:rFonts w:ascii="Times New Roman" w:hAnsi="Times New Roman" w:cs="Times New Roman"/>
                <w:color w:val="000000" w:themeColor="text1"/>
                <w:sz w:val="23"/>
                <w:szCs w:val="23"/>
                <w:lang w:val="uk-UA"/>
              </w:rPr>
              <w:t>]</w:t>
            </w:r>
          </w:p>
        </w:tc>
        <w:tc>
          <w:tcPr>
            <w:tcW w:w="3860" w:type="pct"/>
            <w:vAlign w:val="center"/>
          </w:tcPr>
          <w:p w14:paraId="5FCF972E" w14:textId="31A762F5" w:rsidR="00386FDD" w:rsidRPr="00F00EB0" w:rsidRDefault="0017068C" w:rsidP="0017068C">
            <w:pPr>
              <w:contextualSpacing/>
              <w:jc w:val="both"/>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с</w:t>
            </w:r>
            <w:r w:rsidR="00386FDD" w:rsidRPr="00F00EB0">
              <w:rPr>
                <w:rFonts w:ascii="Times New Roman" w:eastAsiaTheme="majorEastAsia" w:hAnsi="Times New Roman" w:cs="Times New Roman"/>
                <w:color w:val="000000" w:themeColor="text1"/>
                <w:sz w:val="23"/>
                <w:szCs w:val="23"/>
                <w:lang w:val="uk-UA"/>
              </w:rPr>
              <w:t>татичн</w:t>
            </w:r>
            <w:r w:rsidRPr="00F00EB0">
              <w:rPr>
                <w:rFonts w:ascii="Times New Roman" w:eastAsiaTheme="majorEastAsia" w:hAnsi="Times New Roman" w:cs="Times New Roman"/>
                <w:color w:val="000000" w:themeColor="text1"/>
                <w:sz w:val="23"/>
                <w:szCs w:val="23"/>
                <w:lang w:val="uk-UA"/>
              </w:rPr>
              <w:t>а:</w:t>
            </w:r>
            <w:r w:rsidR="00386FDD" w:rsidRPr="00F00EB0">
              <w:rPr>
                <w:rFonts w:ascii="Times New Roman" w:eastAsiaTheme="majorEastAsia" w:hAnsi="Times New Roman" w:cs="Times New Roman"/>
                <w:color w:val="000000" w:themeColor="text1"/>
                <w:sz w:val="23"/>
                <w:szCs w:val="23"/>
                <w:lang w:val="uk-UA"/>
              </w:rPr>
              <w:t xml:space="preserve"> дотримання параметрів діяльності банку (капітал, ліквідність, платоспроможність, прибутковість, рівень проблемних активів тощо) в допустимих межах</w:t>
            </w:r>
            <w:r w:rsidRPr="00F00EB0">
              <w:rPr>
                <w:rFonts w:ascii="Times New Roman" w:eastAsiaTheme="majorEastAsia" w:hAnsi="Times New Roman" w:cs="Times New Roman"/>
                <w:color w:val="000000" w:themeColor="text1"/>
                <w:sz w:val="23"/>
                <w:szCs w:val="23"/>
                <w:lang w:val="uk-UA"/>
              </w:rPr>
              <w:t>;</w:t>
            </w:r>
            <w:r w:rsidR="00386FDD" w:rsidRPr="00F00EB0">
              <w:rPr>
                <w:rFonts w:ascii="Times New Roman" w:eastAsiaTheme="majorEastAsia" w:hAnsi="Times New Roman" w:cs="Times New Roman"/>
                <w:color w:val="000000" w:themeColor="text1"/>
                <w:sz w:val="23"/>
                <w:szCs w:val="23"/>
                <w:lang w:val="uk-UA"/>
              </w:rPr>
              <w:t xml:space="preserve"> </w:t>
            </w:r>
            <w:r w:rsidRPr="00F00EB0">
              <w:rPr>
                <w:rFonts w:ascii="Times New Roman" w:eastAsiaTheme="majorEastAsia" w:hAnsi="Times New Roman" w:cs="Times New Roman"/>
                <w:color w:val="000000" w:themeColor="text1"/>
                <w:sz w:val="23"/>
                <w:szCs w:val="23"/>
                <w:lang w:val="uk-UA"/>
              </w:rPr>
              <w:t>д</w:t>
            </w:r>
            <w:r w:rsidR="00386FDD" w:rsidRPr="00F00EB0">
              <w:rPr>
                <w:rFonts w:ascii="Times New Roman" w:eastAsiaTheme="majorEastAsia" w:hAnsi="Times New Roman" w:cs="Times New Roman"/>
                <w:color w:val="000000" w:themeColor="text1"/>
                <w:sz w:val="23"/>
                <w:szCs w:val="23"/>
                <w:lang w:val="uk-UA"/>
              </w:rPr>
              <w:t>инамічна</w:t>
            </w:r>
            <w:r w:rsidRPr="00F00EB0">
              <w:rPr>
                <w:rFonts w:ascii="Times New Roman" w:eastAsiaTheme="majorEastAsia" w:hAnsi="Times New Roman" w:cs="Times New Roman"/>
                <w:color w:val="000000" w:themeColor="text1"/>
                <w:sz w:val="23"/>
                <w:szCs w:val="23"/>
                <w:lang w:val="uk-UA"/>
              </w:rPr>
              <w:t xml:space="preserve">: </w:t>
            </w:r>
            <w:r w:rsidR="00386FDD" w:rsidRPr="00F00EB0">
              <w:rPr>
                <w:rFonts w:ascii="Times New Roman" w:eastAsiaTheme="majorEastAsia" w:hAnsi="Times New Roman" w:cs="Times New Roman"/>
                <w:color w:val="000000" w:themeColor="text1"/>
                <w:sz w:val="23"/>
                <w:szCs w:val="23"/>
                <w:lang w:val="uk-UA"/>
              </w:rPr>
              <w:t>врівноважене і збалансоване зростання позитивних та зниження негативних параметрів діяльності банку в межах допустимого ризику відповідно до визначеної системи узгоджених стратегічних і поточних цілей його функціонування у процесі прогресивного розвитку</w:t>
            </w:r>
          </w:p>
        </w:tc>
      </w:tr>
      <w:tr w:rsidR="00F00EB0" w:rsidRPr="00D00194" w14:paraId="6FDE1ECC" w14:textId="77777777" w:rsidTr="003C1952">
        <w:tc>
          <w:tcPr>
            <w:tcW w:w="1140" w:type="pct"/>
            <w:vAlign w:val="center"/>
          </w:tcPr>
          <w:p w14:paraId="1B1EB974" w14:textId="74873047" w:rsidR="00386FDD" w:rsidRPr="00F00EB0" w:rsidRDefault="00AB516F" w:rsidP="00AB516F">
            <w:pPr>
              <w:contextualSpacing/>
              <w:jc w:val="center"/>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 xml:space="preserve">А. В.Олійник, Г. С. Сущук </w:t>
            </w:r>
            <w:r w:rsidR="00386FDD" w:rsidRPr="00F00EB0">
              <w:rPr>
                <w:rFonts w:ascii="Times New Roman" w:eastAsiaTheme="majorEastAsia" w:hAnsi="Times New Roman" w:cs="Times New Roman"/>
                <w:color w:val="000000" w:themeColor="text1"/>
                <w:sz w:val="23"/>
                <w:szCs w:val="23"/>
                <w:lang w:val="uk-UA"/>
              </w:rPr>
              <w:t>[</w:t>
            </w:r>
            <w:r w:rsidR="006A02E7" w:rsidRPr="00F00EB0">
              <w:rPr>
                <w:rFonts w:ascii="Times New Roman" w:eastAsiaTheme="majorEastAsia" w:hAnsi="Times New Roman" w:cs="Times New Roman"/>
                <w:color w:val="000000" w:themeColor="text1"/>
                <w:sz w:val="23"/>
                <w:szCs w:val="23"/>
                <w:lang w:val="uk-UA"/>
              </w:rPr>
              <w:t>49</w:t>
            </w:r>
            <w:r w:rsidR="00386FDD" w:rsidRPr="00F00EB0">
              <w:rPr>
                <w:rFonts w:ascii="Times New Roman" w:eastAsiaTheme="majorEastAsia" w:hAnsi="Times New Roman" w:cs="Times New Roman"/>
                <w:color w:val="000000" w:themeColor="text1"/>
                <w:sz w:val="23"/>
                <w:szCs w:val="23"/>
                <w:lang w:val="uk-UA"/>
              </w:rPr>
              <w:t>]</w:t>
            </w:r>
          </w:p>
        </w:tc>
        <w:tc>
          <w:tcPr>
            <w:tcW w:w="3860" w:type="pct"/>
            <w:vAlign w:val="center"/>
          </w:tcPr>
          <w:p w14:paraId="04BD5E7A" w14:textId="3AF8B273" w:rsidR="00386FDD" w:rsidRPr="00F00EB0" w:rsidRDefault="00386FDD" w:rsidP="00BD4E1C">
            <w:pPr>
              <w:contextualSpacing/>
              <w:jc w:val="both"/>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динaмiчнa iнтeгрaльнa хaрaктeристикa спрoмoжнoстi бaнку як систeми трaнсфoрмувaння рeсурсiв тa ризикiв пoвнoцiннo (з мaксимaльнoю eфeктивнiстю тa мiнiмaльним ризикoм) викoнувaти свoї функцiї, витримуючи вплив фaктoрiв зoвнiшньoгo тa внутрiшньoгo сeрeдoвищa</w:t>
            </w:r>
          </w:p>
        </w:tc>
      </w:tr>
      <w:tr w:rsidR="00F00EB0" w:rsidRPr="00D00194" w14:paraId="4A3684A9" w14:textId="77777777" w:rsidTr="003C1952">
        <w:tc>
          <w:tcPr>
            <w:tcW w:w="1140" w:type="pct"/>
            <w:vAlign w:val="center"/>
          </w:tcPr>
          <w:p w14:paraId="4288DC18" w14:textId="4918CE54" w:rsidR="002A2AD4" w:rsidRPr="00F00EB0" w:rsidRDefault="002A2AD4" w:rsidP="00AB516F">
            <w:pPr>
              <w:contextualSpacing/>
              <w:jc w:val="center"/>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А.С.Смиковська, В.І.Грушко [</w:t>
            </w:r>
            <w:r w:rsidR="006A02E7" w:rsidRPr="00F00EB0">
              <w:rPr>
                <w:rFonts w:ascii="Times New Roman" w:eastAsiaTheme="majorEastAsia" w:hAnsi="Times New Roman" w:cs="Times New Roman"/>
                <w:color w:val="000000" w:themeColor="text1"/>
                <w:sz w:val="23"/>
                <w:szCs w:val="23"/>
                <w:lang w:val="uk-UA"/>
              </w:rPr>
              <w:t>6</w:t>
            </w:r>
            <w:r w:rsidRPr="00F00EB0">
              <w:rPr>
                <w:rFonts w:ascii="Times New Roman" w:eastAsiaTheme="majorEastAsia" w:hAnsi="Times New Roman" w:cs="Times New Roman"/>
                <w:color w:val="000000" w:themeColor="text1"/>
                <w:sz w:val="23"/>
                <w:szCs w:val="23"/>
                <w:lang w:val="uk-UA"/>
              </w:rPr>
              <w:t>0]</w:t>
            </w:r>
          </w:p>
        </w:tc>
        <w:tc>
          <w:tcPr>
            <w:tcW w:w="3860" w:type="pct"/>
            <w:vAlign w:val="center"/>
          </w:tcPr>
          <w:p w14:paraId="17704C94" w14:textId="39ACCD39" w:rsidR="002A2AD4" w:rsidRPr="00F00EB0" w:rsidRDefault="002A2AD4" w:rsidP="002A2AD4">
            <w:pPr>
              <w:contextualSpacing/>
              <w:jc w:val="both"/>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динaмiчнa iнтeгрaльнa хaрaктeристикa спрoмoжнoстi бaнку як систeми трaнсфoрмувaння рeсурсiв тa ризикiв пoвнoцiннo викoнувaти свoї функцiї з урaхувaнням нaявнoгo бaлaнсу eкoнoмiчних iнтeрeсiв, витримуючи вплив фaктoрiв зoвнiшньoгo i внутрiшньoгo сeрeдoвищa</w:t>
            </w:r>
          </w:p>
        </w:tc>
      </w:tr>
      <w:tr w:rsidR="00F00EB0" w:rsidRPr="00F00EB0" w14:paraId="6A55181B" w14:textId="77777777" w:rsidTr="003C1952">
        <w:tc>
          <w:tcPr>
            <w:tcW w:w="1140" w:type="pct"/>
            <w:vAlign w:val="center"/>
          </w:tcPr>
          <w:p w14:paraId="660AC917" w14:textId="19145743" w:rsidR="002A2AD4" w:rsidRPr="00F00EB0" w:rsidRDefault="002A2AD4" w:rsidP="00AB516F">
            <w:pPr>
              <w:contextualSpacing/>
              <w:jc w:val="center"/>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Ю.А.Ямкова</w:t>
            </w:r>
            <w:r w:rsidR="00D33DB4" w:rsidRPr="00F00EB0">
              <w:rPr>
                <w:rFonts w:ascii="Times New Roman" w:eastAsiaTheme="majorEastAsia" w:hAnsi="Times New Roman" w:cs="Times New Roman"/>
                <w:color w:val="000000" w:themeColor="text1"/>
                <w:sz w:val="23"/>
                <w:szCs w:val="23"/>
                <w:lang w:val="uk-UA"/>
              </w:rPr>
              <w:t>, К. В.Павлюк</w:t>
            </w:r>
            <w:r w:rsidR="006A02E7" w:rsidRPr="00F00EB0">
              <w:rPr>
                <w:rFonts w:ascii="Times New Roman" w:eastAsiaTheme="majorEastAsia" w:hAnsi="Times New Roman" w:cs="Times New Roman"/>
                <w:color w:val="000000" w:themeColor="text1"/>
                <w:sz w:val="23"/>
                <w:szCs w:val="23"/>
                <w:lang w:val="uk-UA"/>
              </w:rPr>
              <w:t xml:space="preserve"> [68]</w:t>
            </w:r>
          </w:p>
        </w:tc>
        <w:tc>
          <w:tcPr>
            <w:tcW w:w="3860" w:type="pct"/>
            <w:vAlign w:val="center"/>
          </w:tcPr>
          <w:p w14:paraId="46D16679" w14:textId="20E23A46" w:rsidR="002A2AD4" w:rsidRPr="00F00EB0" w:rsidRDefault="002A2AD4" w:rsidP="002A2AD4">
            <w:pPr>
              <w:contextualSpacing/>
              <w:jc w:val="both"/>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динамічна інтегральна характеристика спроможності банку виконувати свої функції, витримуючи вплив факторів зовнішнього та внутрішнього середовища</w:t>
            </w:r>
          </w:p>
        </w:tc>
      </w:tr>
      <w:tr w:rsidR="00F00EB0" w:rsidRPr="00D00194" w14:paraId="77287C36" w14:textId="77777777" w:rsidTr="003C1952">
        <w:tc>
          <w:tcPr>
            <w:tcW w:w="1140" w:type="pct"/>
            <w:vAlign w:val="center"/>
          </w:tcPr>
          <w:p w14:paraId="375065F5" w14:textId="653C7FD0" w:rsidR="00386FDD" w:rsidRPr="00F00EB0" w:rsidRDefault="00AB516F" w:rsidP="00026DEF">
            <w:pPr>
              <w:contextualSpacing/>
              <w:jc w:val="center"/>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 xml:space="preserve">О. І.Карпова, </w:t>
            </w:r>
            <w:r w:rsidR="00026DEF" w:rsidRPr="00F00EB0">
              <w:rPr>
                <w:rFonts w:ascii="Times New Roman" w:eastAsiaTheme="majorEastAsia" w:hAnsi="Times New Roman" w:cs="Times New Roman"/>
                <w:color w:val="000000" w:themeColor="text1"/>
                <w:sz w:val="23"/>
                <w:szCs w:val="23"/>
                <w:lang w:val="uk-UA"/>
              </w:rPr>
              <w:t>І. М. </w:t>
            </w:r>
            <w:r w:rsidRPr="00F00EB0">
              <w:rPr>
                <w:rFonts w:ascii="Times New Roman" w:eastAsiaTheme="majorEastAsia" w:hAnsi="Times New Roman" w:cs="Times New Roman"/>
                <w:color w:val="000000" w:themeColor="text1"/>
                <w:sz w:val="23"/>
                <w:szCs w:val="23"/>
                <w:lang w:val="uk-UA"/>
              </w:rPr>
              <w:t>Моргун [2</w:t>
            </w:r>
            <w:r w:rsidR="006A02E7" w:rsidRPr="00F00EB0">
              <w:rPr>
                <w:rFonts w:ascii="Times New Roman" w:eastAsiaTheme="majorEastAsia" w:hAnsi="Times New Roman" w:cs="Times New Roman"/>
                <w:color w:val="000000" w:themeColor="text1"/>
                <w:sz w:val="23"/>
                <w:szCs w:val="23"/>
                <w:lang w:val="uk-UA"/>
              </w:rPr>
              <w:t>9</w:t>
            </w:r>
            <w:r w:rsidRPr="00F00EB0">
              <w:rPr>
                <w:rFonts w:ascii="Times New Roman" w:eastAsiaTheme="majorEastAsia" w:hAnsi="Times New Roman" w:cs="Times New Roman"/>
                <w:color w:val="000000" w:themeColor="text1"/>
                <w:sz w:val="23"/>
                <w:szCs w:val="23"/>
                <w:lang w:val="uk-UA"/>
              </w:rPr>
              <w:t>]</w:t>
            </w:r>
          </w:p>
        </w:tc>
        <w:tc>
          <w:tcPr>
            <w:tcW w:w="3860" w:type="pct"/>
            <w:vAlign w:val="center"/>
          </w:tcPr>
          <w:p w14:paraId="22642692" w14:textId="71E2ACF5" w:rsidR="00386FDD" w:rsidRPr="00F00EB0" w:rsidRDefault="00386FDD" w:rsidP="00BD4E1C">
            <w:pPr>
              <w:contextualSpacing/>
              <w:jc w:val="both"/>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зaлeжнiсть вiд вiдпoвiдaльнoстi дiяльнoстi бaнку нoрмaтивним узaгaльнюючим пoкaзникaм, якi синтeзують хaрaктeристики eкoнoмiчних склaдoвих стiйкoстi: структурa i oбсяг влaсних кoштiв, лiквiднiсть, рiвeнь дoхoдiв i прибутку, дoстaтнiсть кaпiтaлу, мультиплiкaтивнa eфeктивнiсть влaснoгo кaпiтaлу, нoрмa прибутку нa влaсний кaпiтaл, ствoрeння дoдaнoї вaртoстi бaнкoм</w:t>
            </w:r>
          </w:p>
        </w:tc>
      </w:tr>
      <w:tr w:rsidR="00F00EB0" w:rsidRPr="00D00194" w14:paraId="6B2CEC4D" w14:textId="77777777" w:rsidTr="003C1952">
        <w:tc>
          <w:tcPr>
            <w:tcW w:w="1140" w:type="pct"/>
            <w:vAlign w:val="center"/>
          </w:tcPr>
          <w:p w14:paraId="0A4025E3" w14:textId="35DECFFB" w:rsidR="00386FDD" w:rsidRPr="00F00EB0" w:rsidRDefault="005068B2" w:rsidP="00026DEF">
            <w:pPr>
              <w:contextualSpacing/>
              <w:jc w:val="center"/>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В.</w:t>
            </w:r>
            <w:r w:rsidR="00026DEF" w:rsidRPr="00F00EB0">
              <w:rPr>
                <w:rFonts w:ascii="Times New Roman" w:eastAsiaTheme="majorEastAsia" w:hAnsi="Times New Roman" w:cs="Times New Roman"/>
                <w:color w:val="000000" w:themeColor="text1"/>
                <w:sz w:val="23"/>
                <w:szCs w:val="23"/>
                <w:lang w:val="uk-UA"/>
              </w:rPr>
              <w:t> </w:t>
            </w:r>
            <w:r w:rsidRPr="00F00EB0">
              <w:rPr>
                <w:rFonts w:ascii="Times New Roman" w:eastAsiaTheme="majorEastAsia" w:hAnsi="Times New Roman" w:cs="Times New Roman"/>
                <w:color w:val="000000" w:themeColor="text1"/>
                <w:sz w:val="23"/>
                <w:szCs w:val="23"/>
                <w:lang w:val="uk-UA"/>
              </w:rPr>
              <w:t>М.</w:t>
            </w:r>
            <w:r w:rsidR="00026DEF" w:rsidRPr="00F00EB0">
              <w:rPr>
                <w:rFonts w:ascii="Times New Roman" w:eastAsiaTheme="majorEastAsia" w:hAnsi="Times New Roman" w:cs="Times New Roman"/>
                <w:color w:val="000000" w:themeColor="text1"/>
                <w:sz w:val="23"/>
                <w:szCs w:val="23"/>
                <w:lang w:val="uk-UA"/>
              </w:rPr>
              <w:t> </w:t>
            </w:r>
            <w:r w:rsidRPr="00F00EB0">
              <w:rPr>
                <w:rFonts w:ascii="Times New Roman" w:eastAsiaTheme="majorEastAsia" w:hAnsi="Times New Roman" w:cs="Times New Roman"/>
                <w:color w:val="000000" w:themeColor="text1"/>
                <w:sz w:val="23"/>
                <w:szCs w:val="23"/>
                <w:lang w:val="uk-UA"/>
              </w:rPr>
              <w:t>Кочетков</w:t>
            </w:r>
            <w:r w:rsidR="00026DEF" w:rsidRPr="00F00EB0">
              <w:rPr>
                <w:rFonts w:ascii="Times New Roman" w:eastAsiaTheme="majorEastAsia" w:hAnsi="Times New Roman" w:cs="Times New Roman"/>
                <w:color w:val="000000" w:themeColor="text1"/>
                <w:sz w:val="23"/>
                <w:szCs w:val="23"/>
                <w:lang w:val="uk-UA"/>
              </w:rPr>
              <w:t xml:space="preserve"> [</w:t>
            </w:r>
            <w:r w:rsidR="002A0874" w:rsidRPr="00F00EB0">
              <w:rPr>
                <w:rFonts w:ascii="Times New Roman" w:eastAsiaTheme="majorEastAsia" w:hAnsi="Times New Roman" w:cs="Times New Roman"/>
                <w:color w:val="000000" w:themeColor="text1"/>
                <w:sz w:val="23"/>
                <w:szCs w:val="23"/>
                <w:lang w:val="uk-UA"/>
              </w:rPr>
              <w:t>38</w:t>
            </w:r>
            <w:r w:rsidR="00026DEF" w:rsidRPr="00F00EB0">
              <w:rPr>
                <w:rFonts w:ascii="Times New Roman" w:eastAsiaTheme="majorEastAsia" w:hAnsi="Times New Roman" w:cs="Times New Roman"/>
                <w:color w:val="000000" w:themeColor="text1"/>
                <w:sz w:val="23"/>
                <w:szCs w:val="23"/>
                <w:lang w:val="uk-UA"/>
              </w:rPr>
              <w:t>]</w:t>
            </w:r>
          </w:p>
        </w:tc>
        <w:tc>
          <w:tcPr>
            <w:tcW w:w="3860" w:type="pct"/>
            <w:vAlign w:val="center"/>
          </w:tcPr>
          <w:p w14:paraId="59FA1CBA" w14:textId="20122246" w:rsidR="00386FDD" w:rsidRPr="00F00EB0" w:rsidRDefault="00386FDD" w:rsidP="00BD4E1C">
            <w:pPr>
              <w:contextualSpacing/>
              <w:jc w:val="both"/>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спроможність банку як системи трансформування ресурсів банку (персоналу, фінансових ресурсів, активів, обладнання та інформаційних технологій) з максимальною ефективністю і мінімальним ризиком виконувати свої функції у ринковому середовищі попри впливу ендогенних та екзогенних факторів</w:t>
            </w:r>
          </w:p>
        </w:tc>
      </w:tr>
      <w:tr w:rsidR="00F00EB0" w:rsidRPr="00F00EB0" w14:paraId="09533745" w14:textId="77777777" w:rsidTr="003C1952">
        <w:tc>
          <w:tcPr>
            <w:tcW w:w="1140" w:type="pct"/>
            <w:vAlign w:val="center"/>
          </w:tcPr>
          <w:p w14:paraId="68B754DC" w14:textId="611051D9" w:rsidR="00A218A1" w:rsidRPr="00F00EB0" w:rsidRDefault="00A218A1" w:rsidP="00026DEF">
            <w:pPr>
              <w:contextualSpacing/>
              <w:jc w:val="center"/>
              <w:rPr>
                <w:rFonts w:ascii="Times New Roman" w:eastAsiaTheme="majorEastAsia" w:hAnsi="Times New Roman" w:cs="Times New Roman"/>
                <w:color w:val="000000" w:themeColor="text1"/>
                <w:sz w:val="23"/>
                <w:szCs w:val="23"/>
                <w:lang w:val="uk-UA"/>
              </w:rPr>
            </w:pPr>
            <w:r w:rsidRPr="00F00EB0">
              <w:rPr>
                <w:rFonts w:ascii="Times New Roman" w:hAnsi="Times New Roman" w:cs="Times New Roman"/>
                <w:color w:val="000000" w:themeColor="text1"/>
                <w:sz w:val="23"/>
                <w:szCs w:val="23"/>
                <w:lang w:val="uk-UA"/>
              </w:rPr>
              <w:t>Р.</w:t>
            </w:r>
            <w:r w:rsidR="0012482E" w:rsidRPr="00F00EB0">
              <w:rPr>
                <w:rFonts w:ascii="Times New Roman" w:hAnsi="Times New Roman" w:cs="Times New Roman"/>
                <w:color w:val="000000" w:themeColor="text1"/>
                <w:sz w:val="23"/>
                <w:szCs w:val="23"/>
                <w:lang w:val="uk-UA"/>
              </w:rPr>
              <w:t> </w:t>
            </w:r>
            <w:r w:rsidRPr="00F00EB0">
              <w:rPr>
                <w:rFonts w:ascii="Times New Roman" w:hAnsi="Times New Roman" w:cs="Times New Roman"/>
                <w:color w:val="000000" w:themeColor="text1"/>
                <w:sz w:val="23"/>
                <w:szCs w:val="23"/>
                <w:lang w:val="uk-UA"/>
              </w:rPr>
              <w:t>Михайлюк</w:t>
            </w:r>
            <w:r w:rsidR="00026DEF" w:rsidRPr="00F00EB0">
              <w:rPr>
                <w:rFonts w:ascii="Times New Roman" w:hAnsi="Times New Roman" w:cs="Times New Roman"/>
                <w:color w:val="000000" w:themeColor="text1"/>
                <w:sz w:val="23"/>
                <w:szCs w:val="23"/>
                <w:lang w:val="uk-UA"/>
              </w:rPr>
              <w:t xml:space="preserve"> </w:t>
            </w:r>
            <w:r w:rsidR="00026DEF" w:rsidRPr="00F00EB0">
              <w:rPr>
                <w:rFonts w:ascii="Times New Roman" w:eastAsiaTheme="majorEastAsia" w:hAnsi="Times New Roman" w:cs="Times New Roman"/>
                <w:color w:val="000000" w:themeColor="text1"/>
                <w:sz w:val="23"/>
                <w:szCs w:val="23"/>
                <w:lang w:val="uk-UA"/>
              </w:rPr>
              <w:t>[</w:t>
            </w:r>
            <w:r w:rsidR="00704095" w:rsidRPr="00F00EB0">
              <w:rPr>
                <w:rFonts w:ascii="Times New Roman" w:eastAsiaTheme="majorEastAsia" w:hAnsi="Times New Roman" w:cs="Times New Roman"/>
                <w:color w:val="000000" w:themeColor="text1"/>
                <w:sz w:val="23"/>
                <w:szCs w:val="23"/>
                <w:lang w:val="uk-UA"/>
              </w:rPr>
              <w:t>47</w:t>
            </w:r>
            <w:r w:rsidR="00026DEF" w:rsidRPr="00F00EB0">
              <w:rPr>
                <w:rFonts w:ascii="Times New Roman" w:eastAsiaTheme="majorEastAsia" w:hAnsi="Times New Roman" w:cs="Times New Roman"/>
                <w:color w:val="000000" w:themeColor="text1"/>
                <w:sz w:val="23"/>
                <w:szCs w:val="23"/>
                <w:lang w:val="uk-UA"/>
              </w:rPr>
              <w:t>]</w:t>
            </w:r>
          </w:p>
        </w:tc>
        <w:tc>
          <w:tcPr>
            <w:tcW w:w="3860" w:type="pct"/>
            <w:vAlign w:val="center"/>
          </w:tcPr>
          <w:p w14:paraId="5C3F7408" w14:textId="7B24C263" w:rsidR="00A218A1" w:rsidRPr="00F00EB0" w:rsidRDefault="00A218A1" w:rsidP="00A218A1">
            <w:pPr>
              <w:contextualSpacing/>
              <w:jc w:val="both"/>
              <w:rPr>
                <w:rFonts w:ascii="Times New Roman" w:eastAsiaTheme="majorEastAsia" w:hAnsi="Times New Roman" w:cs="Times New Roman"/>
                <w:color w:val="000000" w:themeColor="text1"/>
                <w:sz w:val="23"/>
                <w:szCs w:val="23"/>
                <w:lang w:val="uk-UA"/>
              </w:rPr>
            </w:pPr>
            <w:r w:rsidRPr="00F00EB0">
              <w:rPr>
                <w:rFonts w:ascii="Times New Roman" w:eastAsiaTheme="majorEastAsia" w:hAnsi="Times New Roman" w:cs="Times New Roman"/>
                <w:color w:val="000000" w:themeColor="text1"/>
                <w:sz w:val="23"/>
                <w:szCs w:val="23"/>
                <w:lang w:val="uk-UA"/>
              </w:rPr>
              <w:t>можливість банку трансформувати ресурси та ефективно виконувати функції, які покладені на нього суспільством, витримуючи вплив факторів зовнішнього та внутрішнього середовища.</w:t>
            </w:r>
          </w:p>
        </w:tc>
      </w:tr>
    </w:tbl>
    <w:p w14:paraId="3269D785" w14:textId="5B105018" w:rsidR="00191432" w:rsidRPr="00F00EB0" w:rsidRDefault="00191432" w:rsidP="00191432">
      <w:pPr>
        <w:pStyle w:val="10"/>
        <w:rPr>
          <w:rFonts w:cs="Times New Roman"/>
          <w:b/>
          <w:color w:val="000000" w:themeColor="text1"/>
          <w:lang w:val="uk-UA"/>
        </w:rPr>
      </w:pPr>
      <w:bookmarkStart w:id="24" w:name="_Toc137414312"/>
      <w:r w:rsidRPr="00F00EB0">
        <w:rPr>
          <w:rFonts w:cs="Times New Roman"/>
          <w:b/>
          <w:color w:val="000000" w:themeColor="text1"/>
          <w:lang w:val="uk-UA"/>
        </w:rPr>
        <w:lastRenderedPageBreak/>
        <w:t>ДОДАТОК Б</w:t>
      </w:r>
      <w:r w:rsidRPr="00F00EB0">
        <w:rPr>
          <w:rFonts w:cs="Times New Roman"/>
          <w:b/>
          <w:color w:val="000000" w:themeColor="text1"/>
          <w:lang w:val="uk-UA"/>
        </w:rPr>
        <w:br/>
      </w:r>
      <w:r w:rsidR="00527F46" w:rsidRPr="00F00EB0">
        <w:rPr>
          <w:rFonts w:cs="Times New Roman"/>
          <w:b/>
          <w:color w:val="000000" w:themeColor="text1"/>
          <w:lang w:val="uk-UA"/>
        </w:rPr>
        <w:t>КЛАСИФІКАЦІЯ ФІНАНСОВОЇ СТІЙКОСТІ БАНКУ</w:t>
      </w:r>
      <w:bookmarkEnd w:id="24"/>
    </w:p>
    <w:p w14:paraId="39BF8E75" w14:textId="77777777" w:rsidR="00C3532F" w:rsidRPr="00F00EB0" w:rsidRDefault="00C3532F" w:rsidP="00C3532F">
      <w:pPr>
        <w:rPr>
          <w:rFonts w:ascii="Times New Roman" w:hAnsi="Times New Roman" w:cs="Times New Roman"/>
          <w:color w:val="000000" w:themeColor="text1"/>
          <w:lang w:val="uk-UA"/>
        </w:rPr>
      </w:pPr>
    </w:p>
    <w:p w14:paraId="0A8A0E0D" w14:textId="3186FCD0" w:rsidR="00191432" w:rsidRPr="00F00EB0" w:rsidRDefault="00191432" w:rsidP="00191432">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F00EB0">
        <w:rPr>
          <w:rFonts w:ascii="Times New Roman" w:eastAsia="Times New Roman" w:hAnsi="Times New Roman" w:cs="Times New Roman"/>
          <w:color w:val="000000" w:themeColor="text1"/>
          <w:sz w:val="28"/>
          <w:szCs w:val="28"/>
          <w:lang w:val="uk-UA" w:eastAsia="ru-RU"/>
        </w:rPr>
        <w:t xml:space="preserve">Таблиця Б.1 – Класифікація ФСБ як </w:t>
      </w:r>
      <w:r w:rsidRPr="00F00EB0">
        <w:rPr>
          <w:rFonts w:ascii="Times New Roman" w:hAnsi="Times New Roman" w:cs="Times New Roman"/>
          <w:color w:val="000000" w:themeColor="text1"/>
          <w:sz w:val="28"/>
          <w:szCs w:val="28"/>
          <w:lang w:val="uk-UA"/>
        </w:rPr>
        <w:t xml:space="preserve">елемента механізму </w:t>
      </w:r>
      <w:r w:rsidRPr="00F00EB0">
        <w:rPr>
          <w:rFonts w:ascii="Times New Roman" w:eastAsia="Times New Roman" w:hAnsi="Times New Roman" w:cs="Times New Roman"/>
          <w:color w:val="000000" w:themeColor="text1"/>
          <w:sz w:val="28"/>
          <w:szCs w:val="28"/>
          <w:lang w:val="uk-UA" w:eastAsia="ru-RU"/>
        </w:rPr>
        <w:t>її забезпечення та оцінювання [узагальнено автором</w:t>
      </w:r>
      <w:r w:rsidR="00A04AC2" w:rsidRPr="00F00EB0">
        <w:rPr>
          <w:rFonts w:ascii="Times New Roman" w:eastAsia="Times New Roman" w:hAnsi="Times New Roman" w:cs="Times New Roman"/>
          <w:color w:val="000000" w:themeColor="text1"/>
          <w:sz w:val="28"/>
          <w:szCs w:val="28"/>
          <w:lang w:val="uk-UA" w:eastAsia="ru-RU"/>
        </w:rPr>
        <w:t xml:space="preserve"> на основі 18, 20, 22, 23</w:t>
      </w:r>
      <w:r w:rsidR="00937B61" w:rsidRPr="00F00EB0">
        <w:rPr>
          <w:rFonts w:ascii="Times New Roman" w:eastAsia="Times New Roman" w:hAnsi="Times New Roman" w:cs="Times New Roman"/>
          <w:color w:val="000000" w:themeColor="text1"/>
          <w:sz w:val="28"/>
          <w:szCs w:val="28"/>
          <w:lang w:val="uk-UA" w:eastAsia="ru-RU"/>
        </w:rPr>
        <w:t>, 31, 43</w:t>
      </w:r>
      <w:r w:rsidR="00425947" w:rsidRPr="00F00EB0">
        <w:rPr>
          <w:rFonts w:ascii="Times New Roman" w:eastAsia="Times New Roman" w:hAnsi="Times New Roman" w:cs="Times New Roman"/>
          <w:color w:val="000000" w:themeColor="text1"/>
          <w:sz w:val="28"/>
          <w:szCs w:val="28"/>
          <w:lang w:val="uk-UA" w:eastAsia="ru-RU"/>
        </w:rPr>
        <w:t>, 50</w:t>
      </w:r>
      <w:r w:rsidRPr="00F00EB0">
        <w:rPr>
          <w:rFonts w:ascii="Times New Roman" w:eastAsia="Times New Roman" w:hAnsi="Times New Roman" w:cs="Times New Roman"/>
          <w:color w:val="000000" w:themeColor="text1"/>
          <w:sz w:val="28"/>
          <w:szCs w:val="28"/>
          <w:lang w:val="uk-UA" w:eastAsia="ru-RU"/>
        </w:rPr>
        <w:t>]</w:t>
      </w:r>
    </w:p>
    <w:tbl>
      <w:tblPr>
        <w:tblStyle w:val="af0"/>
        <w:tblW w:w="5000" w:type="pct"/>
        <w:tblLook w:val="04A0" w:firstRow="1" w:lastRow="0" w:firstColumn="1" w:lastColumn="0" w:noHBand="0" w:noVBand="1"/>
      </w:tblPr>
      <w:tblGrid>
        <w:gridCol w:w="445"/>
        <w:gridCol w:w="1713"/>
        <w:gridCol w:w="7753"/>
      </w:tblGrid>
      <w:tr w:rsidR="00F00EB0" w:rsidRPr="00F00EB0" w14:paraId="23831930" w14:textId="77777777" w:rsidTr="009C6EC8">
        <w:tc>
          <w:tcPr>
            <w:tcW w:w="224" w:type="pct"/>
          </w:tcPr>
          <w:p w14:paraId="6D49BF6B" w14:textId="77777777" w:rsidR="00191432" w:rsidRPr="00F00EB0" w:rsidRDefault="00191432" w:rsidP="00A1795E">
            <w:pPr>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w:t>
            </w:r>
          </w:p>
        </w:tc>
        <w:tc>
          <w:tcPr>
            <w:tcW w:w="864" w:type="pct"/>
          </w:tcPr>
          <w:p w14:paraId="41415CA3" w14:textId="685B69C3" w:rsidR="00191432" w:rsidRPr="00F00EB0" w:rsidRDefault="00191432" w:rsidP="00A1795E">
            <w:pPr>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Ознака </w:t>
            </w:r>
          </w:p>
        </w:tc>
        <w:tc>
          <w:tcPr>
            <w:tcW w:w="3911" w:type="pct"/>
          </w:tcPr>
          <w:p w14:paraId="038BC14B" w14:textId="0F8C4943" w:rsidR="00191432" w:rsidRPr="00F00EB0" w:rsidRDefault="00191432" w:rsidP="00A1795E">
            <w:pPr>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 Види</w:t>
            </w:r>
          </w:p>
        </w:tc>
      </w:tr>
      <w:tr w:rsidR="00F00EB0" w:rsidRPr="00F00EB0" w14:paraId="3D5683C3" w14:textId="77777777" w:rsidTr="009C6EC8">
        <w:tc>
          <w:tcPr>
            <w:tcW w:w="224" w:type="pct"/>
          </w:tcPr>
          <w:p w14:paraId="77100E6F" w14:textId="3B099E71" w:rsidR="00C3532F" w:rsidRPr="00F00EB0" w:rsidRDefault="00C3532F" w:rsidP="00A1795E">
            <w:pPr>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w:t>
            </w:r>
          </w:p>
        </w:tc>
        <w:tc>
          <w:tcPr>
            <w:tcW w:w="864" w:type="pct"/>
          </w:tcPr>
          <w:p w14:paraId="3E06B89A" w14:textId="7B101D47" w:rsidR="00C3532F" w:rsidRPr="00F00EB0" w:rsidRDefault="00C3532F" w:rsidP="00A1795E">
            <w:pPr>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w:t>
            </w:r>
          </w:p>
        </w:tc>
        <w:tc>
          <w:tcPr>
            <w:tcW w:w="3911" w:type="pct"/>
          </w:tcPr>
          <w:p w14:paraId="22E4C496" w14:textId="31018646" w:rsidR="00C3532F" w:rsidRPr="00F00EB0" w:rsidRDefault="00C3532F" w:rsidP="00A1795E">
            <w:pPr>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3</w:t>
            </w:r>
          </w:p>
        </w:tc>
      </w:tr>
      <w:tr w:rsidR="00F00EB0" w:rsidRPr="00F00EB0" w14:paraId="3AF83166" w14:textId="77777777" w:rsidTr="00A1795E">
        <w:tc>
          <w:tcPr>
            <w:tcW w:w="5000" w:type="pct"/>
            <w:gridSpan w:val="3"/>
          </w:tcPr>
          <w:p w14:paraId="776A1017" w14:textId="77777777" w:rsidR="00191432" w:rsidRPr="00F00EB0" w:rsidRDefault="00191432" w:rsidP="00A1795E">
            <w:pPr>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Управлінські характеристики</w:t>
            </w:r>
          </w:p>
        </w:tc>
      </w:tr>
      <w:tr w:rsidR="00F00EB0" w:rsidRPr="00F00EB0" w14:paraId="23AD5AA8" w14:textId="77777777" w:rsidTr="009C6EC8">
        <w:tc>
          <w:tcPr>
            <w:tcW w:w="224" w:type="pct"/>
          </w:tcPr>
          <w:p w14:paraId="5E8BF763" w14:textId="77777777" w:rsidR="00191432" w:rsidRPr="00F00EB0" w:rsidRDefault="00191432" w:rsidP="00191432">
            <w:pPr>
              <w:pStyle w:val="ae"/>
              <w:numPr>
                <w:ilvl w:val="0"/>
                <w:numId w:val="18"/>
              </w:numPr>
              <w:ind w:left="0" w:firstLine="0"/>
              <w:jc w:val="center"/>
              <w:rPr>
                <w:rFonts w:ascii="Times New Roman" w:eastAsia="Times New Roman" w:hAnsi="Times New Roman" w:cs="Times New Roman"/>
                <w:color w:val="000000" w:themeColor="text1"/>
                <w:sz w:val="24"/>
                <w:szCs w:val="24"/>
                <w:lang w:val="uk-UA"/>
              </w:rPr>
            </w:pPr>
          </w:p>
        </w:tc>
        <w:tc>
          <w:tcPr>
            <w:tcW w:w="864" w:type="pct"/>
          </w:tcPr>
          <w:p w14:paraId="3A9E68EE" w14:textId="77777777" w:rsidR="00191432" w:rsidRPr="00F00EB0" w:rsidRDefault="00191432" w:rsidP="00A1795E">
            <w:pP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Масштаб впливу</w:t>
            </w:r>
          </w:p>
        </w:tc>
        <w:tc>
          <w:tcPr>
            <w:tcW w:w="3911" w:type="pct"/>
          </w:tcPr>
          <w:p w14:paraId="6A2C55BD" w14:textId="3E8FA0E9" w:rsidR="00191432" w:rsidRPr="00F00EB0" w:rsidRDefault="00191432" w:rsidP="00A1795E">
            <w:pP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Макроекономічна</w:t>
            </w:r>
            <w:r w:rsidR="00AD375F" w:rsidRPr="00F00EB0">
              <w:rPr>
                <w:rFonts w:ascii="Times New Roman" w:hAnsi="Times New Roman" w:cs="Times New Roman"/>
                <w:color w:val="000000" w:themeColor="text1"/>
                <w:sz w:val="24"/>
                <w:szCs w:val="24"/>
                <w:lang w:val="uk-UA"/>
              </w:rPr>
              <w:t xml:space="preserve"> (фінансова стійкість банківської системи)</w:t>
            </w:r>
          </w:p>
          <w:p w14:paraId="1C0C6C8F" w14:textId="0134E317" w:rsidR="00191432" w:rsidRPr="00F00EB0" w:rsidRDefault="00191432" w:rsidP="00A1795E">
            <w:pP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Мікроекономічна</w:t>
            </w:r>
            <w:r w:rsidR="00AD375F" w:rsidRPr="00F00EB0">
              <w:rPr>
                <w:rFonts w:ascii="Times New Roman" w:hAnsi="Times New Roman" w:cs="Times New Roman"/>
                <w:color w:val="000000" w:themeColor="text1"/>
                <w:sz w:val="24"/>
                <w:szCs w:val="24"/>
                <w:lang w:val="uk-UA"/>
              </w:rPr>
              <w:t xml:space="preserve"> (ФБС)</w:t>
            </w:r>
          </w:p>
        </w:tc>
      </w:tr>
      <w:tr w:rsidR="00F00EB0" w:rsidRPr="00F00EB0" w14:paraId="6BC5D360" w14:textId="77777777" w:rsidTr="009C6EC8">
        <w:tc>
          <w:tcPr>
            <w:tcW w:w="224" w:type="pct"/>
          </w:tcPr>
          <w:p w14:paraId="4C7B950E" w14:textId="77777777" w:rsidR="00191432" w:rsidRPr="00F00EB0" w:rsidRDefault="00191432" w:rsidP="00191432">
            <w:pPr>
              <w:pStyle w:val="ae"/>
              <w:numPr>
                <w:ilvl w:val="0"/>
                <w:numId w:val="18"/>
              </w:numPr>
              <w:ind w:left="0" w:firstLine="0"/>
              <w:jc w:val="center"/>
              <w:rPr>
                <w:rFonts w:ascii="Times New Roman" w:eastAsia="Times New Roman" w:hAnsi="Times New Roman" w:cs="Times New Roman"/>
                <w:color w:val="000000" w:themeColor="text1"/>
                <w:sz w:val="24"/>
                <w:szCs w:val="24"/>
                <w:lang w:val="uk-UA"/>
              </w:rPr>
            </w:pPr>
          </w:p>
        </w:tc>
        <w:tc>
          <w:tcPr>
            <w:tcW w:w="864" w:type="pct"/>
          </w:tcPr>
          <w:p w14:paraId="3C121280" w14:textId="77777777" w:rsidR="00191432" w:rsidRPr="00F00EB0" w:rsidRDefault="00191432" w:rsidP="00A1795E">
            <w:pP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Джерело формування </w:t>
            </w:r>
          </w:p>
        </w:tc>
        <w:tc>
          <w:tcPr>
            <w:tcW w:w="3911" w:type="pct"/>
          </w:tcPr>
          <w:p w14:paraId="1C5C9F3B" w14:textId="4B5CBF19" w:rsidR="00191432" w:rsidRPr="00F00EB0" w:rsidRDefault="00191432" w:rsidP="00AD375F">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Внутрішня (керована, контрольована)</w:t>
            </w:r>
            <w:r w:rsidR="00AD375F" w:rsidRPr="00F00EB0">
              <w:rPr>
                <w:rFonts w:ascii="Times New Roman" w:hAnsi="Times New Roman" w:cs="Times New Roman"/>
                <w:color w:val="000000" w:themeColor="text1"/>
                <w:sz w:val="24"/>
                <w:szCs w:val="24"/>
                <w:lang w:val="uk-UA"/>
              </w:rPr>
              <w:t xml:space="preserve"> – формується під впливом внутрішніх факторів</w:t>
            </w:r>
          </w:p>
          <w:p w14:paraId="28554F09" w14:textId="6DE82FE4" w:rsidR="00191432" w:rsidRPr="00F00EB0" w:rsidRDefault="00191432" w:rsidP="00AD375F">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Зовнішня (некерована, неконтрольована)</w:t>
            </w:r>
            <w:r w:rsidR="00AD375F" w:rsidRPr="00F00EB0">
              <w:rPr>
                <w:rFonts w:ascii="Times New Roman" w:hAnsi="Times New Roman" w:cs="Times New Roman"/>
                <w:color w:val="000000" w:themeColor="text1"/>
                <w:sz w:val="24"/>
                <w:szCs w:val="24"/>
                <w:lang w:val="uk-UA"/>
              </w:rPr>
              <w:t xml:space="preserve"> – формується під впливом зовнішніх факторів</w:t>
            </w:r>
          </w:p>
        </w:tc>
      </w:tr>
      <w:tr w:rsidR="00F00EB0" w:rsidRPr="00F00EB0" w14:paraId="47B93651" w14:textId="77777777" w:rsidTr="009C6EC8">
        <w:tc>
          <w:tcPr>
            <w:tcW w:w="224" w:type="pct"/>
          </w:tcPr>
          <w:p w14:paraId="1F4AF22D" w14:textId="77777777" w:rsidR="00191432" w:rsidRPr="00F00EB0" w:rsidRDefault="00191432" w:rsidP="00191432">
            <w:pPr>
              <w:pStyle w:val="ae"/>
              <w:numPr>
                <w:ilvl w:val="0"/>
                <w:numId w:val="18"/>
              </w:numPr>
              <w:ind w:left="0" w:firstLine="0"/>
              <w:jc w:val="center"/>
              <w:rPr>
                <w:rFonts w:ascii="Times New Roman" w:eastAsia="Times New Roman" w:hAnsi="Times New Roman" w:cs="Times New Roman"/>
                <w:color w:val="000000" w:themeColor="text1"/>
                <w:sz w:val="24"/>
                <w:szCs w:val="24"/>
                <w:lang w:val="uk-UA"/>
              </w:rPr>
            </w:pPr>
          </w:p>
        </w:tc>
        <w:tc>
          <w:tcPr>
            <w:tcW w:w="864" w:type="pct"/>
          </w:tcPr>
          <w:p w14:paraId="19397C32" w14:textId="77777777" w:rsidR="00191432" w:rsidRPr="00F00EB0" w:rsidRDefault="00191432" w:rsidP="00A1795E">
            <w:pP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Можливість регулювання </w:t>
            </w:r>
          </w:p>
        </w:tc>
        <w:tc>
          <w:tcPr>
            <w:tcW w:w="3911" w:type="pct"/>
          </w:tcPr>
          <w:p w14:paraId="2E914E65" w14:textId="2CCFBE92" w:rsidR="00B26406" w:rsidRPr="00F00EB0" w:rsidRDefault="00B26406" w:rsidP="00B26406">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Відкрита можливість регулювання: ФСБ забезпечується шляхом активного врахування впливу зовнішніх факторів та регуляторних вимог. Банк має можливість здійснювати корекцію своїх фінансових показників та стратегій. Відкрита можливість регулювання сприяє забезпеченню гнучкості та адаптивності банку до змін у регуляторному середовищі та вимогах ринку.</w:t>
            </w:r>
          </w:p>
          <w:p w14:paraId="34E81D4F" w14:textId="20AD4D50" w:rsidR="00191432" w:rsidRPr="00F00EB0" w:rsidRDefault="00B26406" w:rsidP="00B26406">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Закрита можливість регулювання: У банку з закритою можливістю регулювання ФСБ обмежена зовнішніми факторами та регуляторними обмеженнями. Банк не може вплинути на зміну фінансових показників та стратегій через обмеження, встановлені регуляторними органами/вплив зовнішніх факторів. В такому випадку, банк може бути менш гнучким у відповіді на зміни ринку та регуляторні вимоги, оскільки його можливості для самостійних корекцій обмежені.</w:t>
            </w:r>
          </w:p>
        </w:tc>
      </w:tr>
      <w:tr w:rsidR="00F00EB0" w:rsidRPr="00F00EB0" w14:paraId="46B934A8" w14:textId="77777777" w:rsidTr="009C6EC8">
        <w:tc>
          <w:tcPr>
            <w:tcW w:w="224" w:type="pct"/>
          </w:tcPr>
          <w:p w14:paraId="27659A5E" w14:textId="77777777" w:rsidR="00191432" w:rsidRPr="00F00EB0" w:rsidRDefault="00191432" w:rsidP="00191432">
            <w:pPr>
              <w:pStyle w:val="ae"/>
              <w:numPr>
                <w:ilvl w:val="0"/>
                <w:numId w:val="18"/>
              </w:numPr>
              <w:ind w:left="0" w:firstLine="0"/>
              <w:jc w:val="center"/>
              <w:rPr>
                <w:rFonts w:ascii="Times New Roman" w:eastAsia="Times New Roman" w:hAnsi="Times New Roman" w:cs="Times New Roman"/>
                <w:color w:val="000000" w:themeColor="text1"/>
                <w:sz w:val="24"/>
                <w:szCs w:val="24"/>
                <w:lang w:val="uk-UA"/>
              </w:rPr>
            </w:pPr>
          </w:p>
        </w:tc>
        <w:tc>
          <w:tcPr>
            <w:tcW w:w="864" w:type="pct"/>
          </w:tcPr>
          <w:p w14:paraId="7FDFD2EC" w14:textId="77777777" w:rsidR="00191432" w:rsidRPr="00F00EB0" w:rsidRDefault="00191432" w:rsidP="00A1795E">
            <w:pP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Умови формування</w:t>
            </w:r>
          </w:p>
        </w:tc>
        <w:tc>
          <w:tcPr>
            <w:tcW w:w="3911" w:type="pct"/>
          </w:tcPr>
          <w:p w14:paraId="48ABB294" w14:textId="21E0E66C" w:rsidR="00191432" w:rsidRPr="00F00EB0" w:rsidRDefault="00191432" w:rsidP="00B26406">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Формальна</w:t>
            </w:r>
            <w:r w:rsidR="00B26406" w:rsidRPr="00F00EB0">
              <w:rPr>
                <w:rFonts w:ascii="Times New Roman" w:hAnsi="Times New Roman" w:cs="Times New Roman"/>
                <w:color w:val="000000" w:themeColor="text1"/>
                <w:sz w:val="24"/>
                <w:szCs w:val="24"/>
                <w:lang w:val="uk-UA"/>
              </w:rPr>
              <w:t xml:space="preserve">: формується на підставі встановлених правил, нормативів та процедур, які регулюють діяльність банку. Це включає відповідність банку вимогам законодавства, нормативним актам і регуляторним вимогам, встановленим фінансовими органами та регуляторами.  </w:t>
            </w:r>
          </w:p>
          <w:p w14:paraId="7DEEA191" w14:textId="3FACEB68" w:rsidR="00191432" w:rsidRPr="00F00EB0" w:rsidRDefault="00191432" w:rsidP="00B26406">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Реальна</w:t>
            </w:r>
            <w:r w:rsidR="00B26406" w:rsidRPr="00F00EB0">
              <w:rPr>
                <w:rFonts w:ascii="Times New Roman" w:hAnsi="Times New Roman" w:cs="Times New Roman"/>
                <w:color w:val="000000" w:themeColor="text1"/>
                <w:sz w:val="24"/>
                <w:szCs w:val="24"/>
                <w:lang w:val="uk-UA"/>
              </w:rPr>
              <w:t xml:space="preserve">: формується на підставі фактичних фінансових показників, ефективності діяльності та реальних результатів; за нею визначається здатністю банку відповідати потребам та виконувати функції в реальних умовах ринку і конкуренції. </w:t>
            </w:r>
          </w:p>
        </w:tc>
      </w:tr>
      <w:tr w:rsidR="00F00EB0" w:rsidRPr="00D00194" w14:paraId="4E9EAF54" w14:textId="77777777" w:rsidTr="009C6EC8">
        <w:tc>
          <w:tcPr>
            <w:tcW w:w="224" w:type="pct"/>
          </w:tcPr>
          <w:p w14:paraId="4A25E9F9" w14:textId="77777777" w:rsidR="00191432" w:rsidRPr="00F00EB0" w:rsidRDefault="00191432" w:rsidP="00191432">
            <w:pPr>
              <w:pStyle w:val="ae"/>
              <w:numPr>
                <w:ilvl w:val="0"/>
                <w:numId w:val="18"/>
              </w:numPr>
              <w:ind w:left="0" w:firstLine="0"/>
              <w:jc w:val="center"/>
              <w:rPr>
                <w:rFonts w:ascii="Times New Roman" w:eastAsia="Times New Roman" w:hAnsi="Times New Roman" w:cs="Times New Roman"/>
                <w:color w:val="000000" w:themeColor="text1"/>
                <w:sz w:val="24"/>
                <w:szCs w:val="24"/>
                <w:lang w:val="uk-UA"/>
              </w:rPr>
            </w:pPr>
          </w:p>
        </w:tc>
        <w:tc>
          <w:tcPr>
            <w:tcW w:w="864" w:type="pct"/>
          </w:tcPr>
          <w:p w14:paraId="2B8DC03D" w14:textId="77777777" w:rsidR="00191432" w:rsidRPr="00F00EB0" w:rsidRDefault="00191432" w:rsidP="00A1795E">
            <w:pP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Ретроспектива виникнення </w:t>
            </w:r>
          </w:p>
        </w:tc>
        <w:tc>
          <w:tcPr>
            <w:tcW w:w="3911" w:type="pct"/>
          </w:tcPr>
          <w:p w14:paraId="3EDE8CC6" w14:textId="4532867D" w:rsidR="00B26406" w:rsidRPr="00F00EB0" w:rsidRDefault="00B26406" w:rsidP="00B854A9">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Успадкована: банк має стабільні фінансові показники та рівень ФСБ, які є результатом </w:t>
            </w:r>
            <w:r w:rsidR="00B854A9" w:rsidRPr="00F00EB0">
              <w:rPr>
                <w:rFonts w:ascii="Times New Roman" w:hAnsi="Times New Roman" w:cs="Times New Roman"/>
                <w:color w:val="000000" w:themeColor="text1"/>
                <w:sz w:val="24"/>
                <w:szCs w:val="24"/>
                <w:lang w:val="uk-UA"/>
              </w:rPr>
              <w:t>управління</w:t>
            </w:r>
            <w:r w:rsidRPr="00F00EB0">
              <w:rPr>
                <w:rFonts w:ascii="Times New Roman" w:hAnsi="Times New Roman" w:cs="Times New Roman"/>
                <w:color w:val="000000" w:themeColor="text1"/>
                <w:sz w:val="24"/>
                <w:szCs w:val="24"/>
                <w:lang w:val="uk-UA"/>
              </w:rPr>
              <w:t xml:space="preserve"> попередніх періодів або попередніх власників. Успадкована </w:t>
            </w:r>
            <w:r w:rsidR="00B854A9" w:rsidRPr="00F00EB0">
              <w:rPr>
                <w:rFonts w:ascii="Times New Roman" w:hAnsi="Times New Roman" w:cs="Times New Roman"/>
                <w:color w:val="000000" w:themeColor="text1"/>
                <w:sz w:val="24"/>
                <w:szCs w:val="24"/>
                <w:lang w:val="uk-UA"/>
              </w:rPr>
              <w:t>ФСБ</w:t>
            </w:r>
            <w:r w:rsidRPr="00F00EB0">
              <w:rPr>
                <w:rFonts w:ascii="Times New Roman" w:hAnsi="Times New Roman" w:cs="Times New Roman"/>
                <w:color w:val="000000" w:themeColor="text1"/>
                <w:sz w:val="24"/>
                <w:szCs w:val="24"/>
                <w:lang w:val="uk-UA"/>
              </w:rPr>
              <w:t xml:space="preserve"> </w:t>
            </w:r>
            <w:r w:rsidR="00B854A9" w:rsidRPr="00F00EB0">
              <w:rPr>
                <w:rFonts w:ascii="Times New Roman" w:hAnsi="Times New Roman" w:cs="Times New Roman"/>
                <w:color w:val="000000" w:themeColor="text1"/>
                <w:sz w:val="24"/>
                <w:szCs w:val="24"/>
                <w:lang w:val="uk-UA"/>
              </w:rPr>
              <w:t>свідчить про</w:t>
            </w:r>
            <w:r w:rsidRPr="00F00EB0">
              <w:rPr>
                <w:rFonts w:ascii="Times New Roman" w:hAnsi="Times New Roman" w:cs="Times New Roman"/>
                <w:color w:val="000000" w:themeColor="text1"/>
                <w:sz w:val="24"/>
                <w:szCs w:val="24"/>
                <w:lang w:val="uk-UA"/>
              </w:rPr>
              <w:t xml:space="preserve"> </w:t>
            </w:r>
            <w:r w:rsidR="00B854A9" w:rsidRPr="00F00EB0">
              <w:rPr>
                <w:rFonts w:ascii="Times New Roman" w:hAnsi="Times New Roman" w:cs="Times New Roman"/>
                <w:color w:val="000000" w:themeColor="text1"/>
                <w:sz w:val="24"/>
                <w:szCs w:val="24"/>
                <w:lang w:val="uk-UA"/>
              </w:rPr>
              <w:t>фінансову рівновагу</w:t>
            </w:r>
            <w:r w:rsidRPr="00F00EB0">
              <w:rPr>
                <w:rFonts w:ascii="Times New Roman" w:hAnsi="Times New Roman" w:cs="Times New Roman"/>
                <w:color w:val="000000" w:themeColor="text1"/>
                <w:sz w:val="24"/>
                <w:szCs w:val="24"/>
                <w:lang w:val="uk-UA"/>
              </w:rPr>
              <w:t xml:space="preserve"> та його здатність досягати довгострокової </w:t>
            </w:r>
            <w:r w:rsidR="00B854A9" w:rsidRPr="00F00EB0">
              <w:rPr>
                <w:rFonts w:ascii="Times New Roman" w:hAnsi="Times New Roman" w:cs="Times New Roman"/>
                <w:color w:val="000000" w:themeColor="text1"/>
                <w:sz w:val="24"/>
                <w:szCs w:val="24"/>
                <w:lang w:val="uk-UA"/>
              </w:rPr>
              <w:t>ФСБ</w:t>
            </w:r>
            <w:r w:rsidRPr="00F00EB0">
              <w:rPr>
                <w:rFonts w:ascii="Times New Roman" w:hAnsi="Times New Roman" w:cs="Times New Roman"/>
                <w:color w:val="000000" w:themeColor="text1"/>
                <w:sz w:val="24"/>
                <w:szCs w:val="24"/>
                <w:lang w:val="uk-UA"/>
              </w:rPr>
              <w:t>.</w:t>
            </w:r>
          </w:p>
          <w:p w14:paraId="4AA24786" w14:textId="62B371C2" w:rsidR="00191432" w:rsidRPr="00F00EB0" w:rsidRDefault="00B26406" w:rsidP="00B854A9">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Набута: </w:t>
            </w:r>
            <w:r w:rsidR="00B854A9" w:rsidRPr="00F00EB0">
              <w:rPr>
                <w:rFonts w:ascii="Times New Roman" w:hAnsi="Times New Roman" w:cs="Times New Roman"/>
                <w:color w:val="000000" w:themeColor="text1"/>
                <w:sz w:val="24"/>
                <w:szCs w:val="24"/>
                <w:lang w:val="uk-UA"/>
              </w:rPr>
              <w:t>ФСБ забезпечено</w:t>
            </w:r>
            <w:r w:rsidRPr="00F00EB0">
              <w:rPr>
                <w:rFonts w:ascii="Times New Roman" w:hAnsi="Times New Roman" w:cs="Times New Roman"/>
                <w:color w:val="000000" w:themeColor="text1"/>
                <w:sz w:val="24"/>
                <w:szCs w:val="24"/>
                <w:lang w:val="uk-UA"/>
              </w:rPr>
              <w:t xml:space="preserve"> через заходи, вжиті в </w:t>
            </w:r>
            <w:r w:rsidR="00B854A9" w:rsidRPr="00F00EB0">
              <w:rPr>
                <w:rFonts w:ascii="Times New Roman" w:hAnsi="Times New Roman" w:cs="Times New Roman"/>
                <w:color w:val="000000" w:themeColor="text1"/>
                <w:sz w:val="24"/>
                <w:szCs w:val="24"/>
                <w:lang w:val="uk-UA"/>
              </w:rPr>
              <w:t>поточний</w:t>
            </w:r>
            <w:r w:rsidRPr="00F00EB0">
              <w:rPr>
                <w:rFonts w:ascii="Times New Roman" w:hAnsi="Times New Roman" w:cs="Times New Roman"/>
                <w:color w:val="000000" w:themeColor="text1"/>
                <w:sz w:val="24"/>
                <w:szCs w:val="24"/>
                <w:lang w:val="uk-UA"/>
              </w:rPr>
              <w:t xml:space="preserve"> період часу. </w:t>
            </w:r>
            <w:r w:rsidR="00C73CE9" w:rsidRPr="00F00EB0">
              <w:rPr>
                <w:rFonts w:ascii="Times New Roman" w:hAnsi="Times New Roman" w:cs="Times New Roman"/>
                <w:color w:val="000000" w:themeColor="text1"/>
                <w:sz w:val="24"/>
                <w:szCs w:val="24"/>
                <w:lang w:val="uk-UA"/>
              </w:rPr>
              <w:t>як</w:t>
            </w:r>
            <w:r w:rsidRPr="00F00EB0">
              <w:rPr>
                <w:rFonts w:ascii="Times New Roman" w:hAnsi="Times New Roman" w:cs="Times New Roman"/>
                <w:color w:val="000000" w:themeColor="text1"/>
                <w:sz w:val="24"/>
                <w:szCs w:val="24"/>
                <w:lang w:val="uk-UA"/>
              </w:rPr>
              <w:t xml:space="preserve"> результат </w:t>
            </w:r>
            <w:r w:rsidR="00B854A9" w:rsidRPr="00F00EB0">
              <w:rPr>
                <w:rFonts w:ascii="Times New Roman" w:hAnsi="Times New Roman" w:cs="Times New Roman"/>
                <w:color w:val="000000" w:themeColor="text1"/>
                <w:sz w:val="24"/>
                <w:szCs w:val="24"/>
                <w:lang w:val="uk-UA"/>
              </w:rPr>
              <w:t>ефективної</w:t>
            </w:r>
            <w:r w:rsidRPr="00F00EB0">
              <w:rPr>
                <w:rFonts w:ascii="Times New Roman" w:hAnsi="Times New Roman" w:cs="Times New Roman"/>
                <w:color w:val="000000" w:themeColor="text1"/>
                <w:sz w:val="24"/>
                <w:szCs w:val="24"/>
                <w:lang w:val="uk-UA"/>
              </w:rPr>
              <w:t xml:space="preserve"> стратегії, оптимізації бізнес-процесів, покращення управління ризиками та залучення додаткових ресурсів</w:t>
            </w:r>
            <w:r w:rsidR="00B854A9" w:rsidRPr="00F00EB0">
              <w:rPr>
                <w:rFonts w:ascii="Times New Roman" w:hAnsi="Times New Roman" w:cs="Times New Roman"/>
                <w:color w:val="000000" w:themeColor="text1"/>
                <w:sz w:val="24"/>
                <w:szCs w:val="24"/>
                <w:lang w:val="uk-UA"/>
              </w:rPr>
              <w:t xml:space="preserve"> або капіталу</w:t>
            </w:r>
            <w:r w:rsidRPr="00F00EB0">
              <w:rPr>
                <w:rFonts w:ascii="Times New Roman" w:hAnsi="Times New Roman" w:cs="Times New Roman"/>
                <w:color w:val="000000" w:themeColor="text1"/>
                <w:sz w:val="24"/>
                <w:szCs w:val="24"/>
                <w:lang w:val="uk-UA"/>
              </w:rPr>
              <w:t>.</w:t>
            </w:r>
          </w:p>
        </w:tc>
      </w:tr>
    </w:tbl>
    <w:p w14:paraId="31B4C00B" w14:textId="77777777" w:rsidR="009C6EC8" w:rsidRPr="00F00EB0" w:rsidRDefault="009C6EC8" w:rsidP="00C3532F">
      <w:pPr>
        <w:jc w:val="right"/>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br/>
      </w:r>
    </w:p>
    <w:p w14:paraId="4E604D23" w14:textId="77777777" w:rsidR="009C6EC8" w:rsidRPr="00F00EB0" w:rsidRDefault="009C6EC8">
      <w:pPr>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br w:type="page"/>
      </w:r>
    </w:p>
    <w:p w14:paraId="35EFD7FA" w14:textId="7E383BEF" w:rsidR="00C3532F" w:rsidRPr="00F00EB0" w:rsidRDefault="00C3532F" w:rsidP="00C3532F">
      <w:pPr>
        <w:jc w:val="right"/>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Продовження таблиці Б.1</w:t>
      </w:r>
    </w:p>
    <w:tbl>
      <w:tblPr>
        <w:tblStyle w:val="af0"/>
        <w:tblW w:w="5000" w:type="pct"/>
        <w:tblLook w:val="04A0" w:firstRow="1" w:lastRow="0" w:firstColumn="1" w:lastColumn="0" w:noHBand="0" w:noVBand="1"/>
      </w:tblPr>
      <w:tblGrid>
        <w:gridCol w:w="448"/>
        <w:gridCol w:w="1677"/>
        <w:gridCol w:w="36"/>
        <w:gridCol w:w="7750"/>
      </w:tblGrid>
      <w:tr w:rsidR="00F00EB0" w:rsidRPr="00F00EB0" w14:paraId="51E10E9E" w14:textId="77777777" w:rsidTr="00A1795E">
        <w:tc>
          <w:tcPr>
            <w:tcW w:w="226" w:type="pct"/>
          </w:tcPr>
          <w:p w14:paraId="4AB73B5E" w14:textId="77777777" w:rsidR="00C3532F" w:rsidRPr="00F00EB0" w:rsidRDefault="00C3532F" w:rsidP="00A1795E">
            <w:pPr>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w:t>
            </w:r>
          </w:p>
        </w:tc>
        <w:tc>
          <w:tcPr>
            <w:tcW w:w="846" w:type="pct"/>
          </w:tcPr>
          <w:p w14:paraId="726D6E0C" w14:textId="77777777" w:rsidR="00C3532F" w:rsidRPr="00F00EB0" w:rsidRDefault="00C3532F" w:rsidP="00A1795E">
            <w:pPr>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w:t>
            </w:r>
          </w:p>
        </w:tc>
        <w:tc>
          <w:tcPr>
            <w:tcW w:w="3928" w:type="pct"/>
            <w:gridSpan w:val="2"/>
          </w:tcPr>
          <w:p w14:paraId="6B23A796" w14:textId="77777777" w:rsidR="00C3532F" w:rsidRPr="00F00EB0" w:rsidRDefault="00C3532F" w:rsidP="00A1795E">
            <w:pPr>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3</w:t>
            </w:r>
          </w:p>
        </w:tc>
      </w:tr>
      <w:tr w:rsidR="00F00EB0" w:rsidRPr="00F00EB0" w14:paraId="4498B03F" w14:textId="77777777" w:rsidTr="0067096B">
        <w:tc>
          <w:tcPr>
            <w:tcW w:w="5000" w:type="pct"/>
            <w:gridSpan w:val="4"/>
          </w:tcPr>
          <w:p w14:paraId="4737D950" w14:textId="77777777" w:rsidR="009C6EC8" w:rsidRPr="00F00EB0" w:rsidRDefault="009C6EC8" w:rsidP="0067096B">
            <w:pPr>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Кількісні характеристики</w:t>
            </w:r>
          </w:p>
        </w:tc>
      </w:tr>
      <w:tr w:rsidR="00F00EB0" w:rsidRPr="00F00EB0" w14:paraId="301E0AC4" w14:textId="77777777" w:rsidTr="009C6EC8">
        <w:tc>
          <w:tcPr>
            <w:tcW w:w="224" w:type="pct"/>
          </w:tcPr>
          <w:p w14:paraId="30AE4717" w14:textId="77777777" w:rsidR="009C6EC8" w:rsidRPr="00F00EB0" w:rsidRDefault="009C6EC8" w:rsidP="0067096B">
            <w:pPr>
              <w:pStyle w:val="ae"/>
              <w:numPr>
                <w:ilvl w:val="0"/>
                <w:numId w:val="18"/>
              </w:numPr>
              <w:ind w:left="0" w:firstLine="0"/>
              <w:jc w:val="center"/>
              <w:rPr>
                <w:rFonts w:ascii="Times New Roman" w:eastAsia="Times New Roman" w:hAnsi="Times New Roman" w:cs="Times New Roman"/>
                <w:color w:val="000000" w:themeColor="text1"/>
                <w:sz w:val="24"/>
                <w:szCs w:val="24"/>
                <w:lang w:val="uk-UA"/>
              </w:rPr>
            </w:pPr>
          </w:p>
        </w:tc>
        <w:tc>
          <w:tcPr>
            <w:tcW w:w="864" w:type="pct"/>
            <w:gridSpan w:val="2"/>
          </w:tcPr>
          <w:p w14:paraId="28EA0DE8" w14:textId="77777777" w:rsidR="009C6EC8" w:rsidRPr="00F00EB0" w:rsidRDefault="009C6EC8" w:rsidP="0067096B">
            <w:pP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Рівень ФСБ</w:t>
            </w:r>
          </w:p>
        </w:tc>
        <w:tc>
          <w:tcPr>
            <w:tcW w:w="3911" w:type="pct"/>
          </w:tcPr>
          <w:p w14:paraId="36243AE0" w14:textId="77777777" w:rsidR="009C6EC8" w:rsidRPr="00F00EB0" w:rsidRDefault="009C6EC8" w:rsidP="0067096B">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Нормальна (нормальна ліквідність, достатня капіталізація, поточна та перспективна життєздатність).</w:t>
            </w:r>
          </w:p>
          <w:p w14:paraId="26F362B1" w14:textId="77777777" w:rsidR="009C6EC8" w:rsidRPr="00F00EB0" w:rsidRDefault="009C6EC8" w:rsidP="0067096B">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Недостатня (недостатня ліквідність, дефіцит капіталу; зниження рівня життєздатності).</w:t>
            </w:r>
          </w:p>
          <w:p w14:paraId="621DE66F" w14:textId="77777777" w:rsidR="009C6EC8" w:rsidRPr="00F00EB0" w:rsidRDefault="009C6EC8" w:rsidP="0067096B">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Кризова (дефіцит ліквідності, критична неплатоспроможність; банк перебуває у близькості до банкрутства.). </w:t>
            </w:r>
          </w:p>
        </w:tc>
      </w:tr>
      <w:tr w:rsidR="00F00EB0" w:rsidRPr="00F00EB0" w14:paraId="2C8A3880" w14:textId="77777777" w:rsidTr="00A1795E">
        <w:tc>
          <w:tcPr>
            <w:tcW w:w="5000" w:type="pct"/>
            <w:gridSpan w:val="4"/>
          </w:tcPr>
          <w:p w14:paraId="7C784208" w14:textId="464A8E6D" w:rsidR="00191432" w:rsidRPr="00F00EB0" w:rsidRDefault="00191432" w:rsidP="00A1795E">
            <w:pPr>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Часові характеристики</w:t>
            </w:r>
          </w:p>
        </w:tc>
      </w:tr>
      <w:tr w:rsidR="00F00EB0" w:rsidRPr="00F00EB0" w14:paraId="5ACBB8F2" w14:textId="77777777" w:rsidTr="00B26406">
        <w:tc>
          <w:tcPr>
            <w:tcW w:w="226" w:type="pct"/>
          </w:tcPr>
          <w:p w14:paraId="4DA64943" w14:textId="77777777" w:rsidR="00191432" w:rsidRPr="00F00EB0" w:rsidRDefault="00191432" w:rsidP="00191432">
            <w:pPr>
              <w:pStyle w:val="ae"/>
              <w:numPr>
                <w:ilvl w:val="0"/>
                <w:numId w:val="18"/>
              </w:numPr>
              <w:ind w:left="0" w:firstLine="0"/>
              <w:jc w:val="center"/>
              <w:rPr>
                <w:rFonts w:ascii="Times New Roman" w:eastAsia="Times New Roman" w:hAnsi="Times New Roman" w:cs="Times New Roman"/>
                <w:color w:val="000000" w:themeColor="text1"/>
                <w:sz w:val="24"/>
                <w:szCs w:val="24"/>
                <w:lang w:val="uk-UA"/>
              </w:rPr>
            </w:pPr>
          </w:p>
        </w:tc>
        <w:tc>
          <w:tcPr>
            <w:tcW w:w="846" w:type="pct"/>
          </w:tcPr>
          <w:p w14:paraId="7F55631B" w14:textId="77777777" w:rsidR="00191432" w:rsidRPr="00F00EB0" w:rsidRDefault="00191432" w:rsidP="00A1795E">
            <w:pP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Характер прояву в часі</w:t>
            </w:r>
          </w:p>
        </w:tc>
        <w:tc>
          <w:tcPr>
            <w:tcW w:w="3928" w:type="pct"/>
            <w:gridSpan w:val="2"/>
          </w:tcPr>
          <w:p w14:paraId="46D77AB3" w14:textId="77790C26" w:rsidR="00C3532F" w:rsidRPr="00F00EB0" w:rsidRDefault="00C3532F" w:rsidP="00C3532F">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Короткострокова: здатність банку управляти своїми короткостроковими фінансовими зобов’язаннями та сплачувати їх у встановлені терміни. Одним з ключових вимірень короткострокової ФСБ є ліквідність.</w:t>
            </w:r>
          </w:p>
          <w:p w14:paraId="13FC17DF" w14:textId="3E037653" w:rsidR="00C3532F" w:rsidRPr="00F00EB0" w:rsidRDefault="00C3532F" w:rsidP="00C3532F">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Середньострокова: здатність банку зберігати стійкі фінансові показники та ефективно виконувати свої функції на середньостроковому часовому горизонті (зазвичай до року); включає такі показники, як рентабельність активів, рентабельність власного капіталу та життєздатність банку.</w:t>
            </w:r>
          </w:p>
          <w:p w14:paraId="599596EC" w14:textId="16845904" w:rsidR="00191432" w:rsidRPr="00F00EB0" w:rsidRDefault="00C3532F" w:rsidP="00C3532F">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Довгострокова: здатність банку витримувати довгострокові виклики та зберігати стійкість в умовах економічних змін і несприятливих факторів (стійкість стратегії банку банку). До показників довгострокової ФСБ належать капіталізація, рівень ризиків діяльності та спроможність генерувати прибуток протягом тривалого періоду.</w:t>
            </w:r>
          </w:p>
        </w:tc>
      </w:tr>
    </w:tbl>
    <w:p w14:paraId="3CEF0AA6" w14:textId="77777777" w:rsidR="00191432" w:rsidRPr="00F00EB0" w:rsidRDefault="00191432" w:rsidP="00191432">
      <w:pPr>
        <w:rPr>
          <w:rFonts w:ascii="Times New Roman" w:hAnsi="Times New Roman" w:cs="Times New Roman"/>
          <w:color w:val="000000" w:themeColor="text1"/>
          <w:lang w:val="uk-UA"/>
        </w:rPr>
      </w:pPr>
    </w:p>
    <w:p w14:paraId="58FB0E8B" w14:textId="77777777" w:rsidR="00191432" w:rsidRPr="00F00EB0" w:rsidRDefault="00191432">
      <w:pPr>
        <w:rPr>
          <w:rFonts w:ascii="Times New Roman" w:eastAsiaTheme="majorEastAsia" w:hAnsi="Times New Roman" w:cs="Times New Roman"/>
          <w:b/>
          <w:color w:val="000000" w:themeColor="text1"/>
          <w:sz w:val="28"/>
          <w:szCs w:val="32"/>
          <w:lang w:val="uk-UA"/>
        </w:rPr>
      </w:pPr>
      <w:r w:rsidRPr="00F00EB0">
        <w:rPr>
          <w:rFonts w:ascii="Times New Roman" w:hAnsi="Times New Roman" w:cs="Times New Roman"/>
          <w:b/>
          <w:color w:val="000000" w:themeColor="text1"/>
          <w:lang w:val="uk-UA"/>
        </w:rPr>
        <w:br w:type="page"/>
      </w:r>
    </w:p>
    <w:p w14:paraId="638533A7" w14:textId="06ABF50B" w:rsidR="00EB325F" w:rsidRPr="00F00EB0" w:rsidRDefault="00B96E8D" w:rsidP="00B96E8D">
      <w:pPr>
        <w:pStyle w:val="10"/>
        <w:rPr>
          <w:rFonts w:cs="Times New Roman"/>
          <w:b/>
          <w:color w:val="000000" w:themeColor="text1"/>
          <w:lang w:val="uk-UA"/>
        </w:rPr>
      </w:pPr>
      <w:bookmarkStart w:id="25" w:name="_Toc137414313"/>
      <w:r w:rsidRPr="00F00EB0">
        <w:rPr>
          <w:rFonts w:cs="Times New Roman"/>
          <w:b/>
          <w:color w:val="000000" w:themeColor="text1"/>
          <w:lang w:val="uk-UA"/>
        </w:rPr>
        <w:lastRenderedPageBreak/>
        <w:t>ДОДАТОК</w:t>
      </w:r>
      <w:r w:rsidR="00EB325F" w:rsidRPr="00F00EB0">
        <w:rPr>
          <w:rFonts w:cs="Times New Roman"/>
          <w:b/>
          <w:color w:val="000000" w:themeColor="text1"/>
          <w:lang w:val="uk-UA"/>
        </w:rPr>
        <w:t xml:space="preserve"> </w:t>
      </w:r>
      <w:r w:rsidR="00C3532F" w:rsidRPr="00F00EB0">
        <w:rPr>
          <w:rFonts w:cs="Times New Roman"/>
          <w:b/>
          <w:color w:val="000000" w:themeColor="text1"/>
          <w:lang w:val="uk-UA"/>
        </w:rPr>
        <w:t>В</w:t>
      </w:r>
      <w:r w:rsidR="0017068C" w:rsidRPr="00F00EB0">
        <w:rPr>
          <w:rFonts w:cs="Times New Roman"/>
          <w:b/>
          <w:color w:val="000000" w:themeColor="text1"/>
          <w:lang w:val="uk-UA"/>
        </w:rPr>
        <w:br/>
      </w:r>
      <w:r w:rsidR="00527F46" w:rsidRPr="00F00EB0">
        <w:rPr>
          <w:rFonts w:cs="Times New Roman"/>
          <w:b/>
          <w:color w:val="000000" w:themeColor="text1"/>
          <w:lang w:val="uk-UA"/>
        </w:rPr>
        <w:t>СТРУКТУРИЗАЦІЯ ФАКТОРІВ ВПЛИВУ НА ФСБ</w:t>
      </w:r>
      <w:bookmarkEnd w:id="25"/>
    </w:p>
    <w:p w14:paraId="46007288" w14:textId="145C72FE" w:rsidR="00EB325F" w:rsidRPr="00F00EB0" w:rsidRDefault="00EB325F">
      <w:pPr>
        <w:rPr>
          <w:rFonts w:ascii="Times New Roman" w:hAnsi="Times New Roman" w:cs="Times New Roman"/>
          <w:color w:val="000000" w:themeColor="text1"/>
          <w:lang w:val="uk-UA"/>
        </w:rPr>
      </w:pPr>
    </w:p>
    <w:p w14:paraId="497DBC03" w14:textId="218CB8BC" w:rsidR="00EB325F" w:rsidRPr="00F00EB0" w:rsidRDefault="00EB325F" w:rsidP="00EB325F">
      <w:pPr>
        <w:ind w:firstLine="708"/>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Таблиця </w:t>
      </w:r>
      <w:r w:rsidR="00C3532F" w:rsidRPr="00F00EB0">
        <w:rPr>
          <w:rFonts w:ascii="Times New Roman" w:hAnsi="Times New Roman" w:cs="Times New Roman"/>
          <w:color w:val="000000" w:themeColor="text1"/>
          <w:sz w:val="28"/>
          <w:szCs w:val="28"/>
          <w:lang w:val="uk-UA"/>
        </w:rPr>
        <w:t>В</w:t>
      </w:r>
      <w:r w:rsidRPr="00F00EB0">
        <w:rPr>
          <w:rFonts w:ascii="Times New Roman" w:hAnsi="Times New Roman" w:cs="Times New Roman"/>
          <w:color w:val="000000" w:themeColor="text1"/>
          <w:sz w:val="28"/>
          <w:szCs w:val="28"/>
          <w:lang w:val="uk-UA"/>
        </w:rPr>
        <w:t xml:space="preserve">.1 – Підходи науковців щодо структуризації факторів впливу </w:t>
      </w:r>
      <w:r w:rsidR="0017068C" w:rsidRPr="00F00EB0">
        <w:rPr>
          <w:rFonts w:ascii="Times New Roman" w:hAnsi="Times New Roman" w:cs="Times New Roman"/>
          <w:color w:val="000000" w:themeColor="text1"/>
          <w:sz w:val="28"/>
          <w:szCs w:val="28"/>
          <w:lang w:val="uk-UA"/>
        </w:rPr>
        <w:t>ФСБ</w:t>
      </w:r>
      <w:r w:rsidRPr="00F00EB0">
        <w:rPr>
          <w:rFonts w:ascii="Times New Roman" w:hAnsi="Times New Roman" w:cs="Times New Roman"/>
          <w:color w:val="000000" w:themeColor="text1"/>
          <w:sz w:val="28"/>
          <w:szCs w:val="28"/>
          <w:lang w:val="uk-UA"/>
        </w:rPr>
        <w:t xml:space="preserve"> </w:t>
      </w:r>
    </w:p>
    <w:tbl>
      <w:tblPr>
        <w:tblStyle w:val="af0"/>
        <w:tblW w:w="5000" w:type="pct"/>
        <w:tblLook w:val="04A0" w:firstRow="1" w:lastRow="0" w:firstColumn="1" w:lastColumn="0" w:noHBand="0" w:noVBand="1"/>
      </w:tblPr>
      <w:tblGrid>
        <w:gridCol w:w="1926"/>
        <w:gridCol w:w="7985"/>
      </w:tblGrid>
      <w:tr w:rsidR="00F00EB0" w:rsidRPr="00F00EB0" w14:paraId="5D1BD1CF" w14:textId="77777777" w:rsidTr="00C3532F">
        <w:tc>
          <w:tcPr>
            <w:tcW w:w="924" w:type="pct"/>
          </w:tcPr>
          <w:p w14:paraId="1B084545" w14:textId="7F5EA956" w:rsidR="00EB325F" w:rsidRPr="00F00EB0" w:rsidRDefault="00EB325F" w:rsidP="00EB325F">
            <w:pPr>
              <w:jc w:val="cente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Автор</w:t>
            </w:r>
          </w:p>
        </w:tc>
        <w:tc>
          <w:tcPr>
            <w:tcW w:w="4076" w:type="pct"/>
          </w:tcPr>
          <w:p w14:paraId="2756212A" w14:textId="77DA5AAE" w:rsidR="00EB325F" w:rsidRPr="00F00EB0" w:rsidRDefault="00EB325F" w:rsidP="00EB325F">
            <w:pPr>
              <w:jc w:val="cente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Підхід до структуризації факторів</w:t>
            </w:r>
          </w:p>
        </w:tc>
      </w:tr>
      <w:tr w:rsidR="00F00EB0" w:rsidRPr="00F00EB0" w14:paraId="23D39C24" w14:textId="77777777" w:rsidTr="00C3532F">
        <w:tc>
          <w:tcPr>
            <w:tcW w:w="924" w:type="pct"/>
          </w:tcPr>
          <w:p w14:paraId="310924BB" w14:textId="0819D93D" w:rsidR="00C3532F" w:rsidRPr="00F00EB0" w:rsidRDefault="00C3532F" w:rsidP="00EB325F">
            <w:pPr>
              <w:jc w:val="cente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1</w:t>
            </w:r>
          </w:p>
        </w:tc>
        <w:tc>
          <w:tcPr>
            <w:tcW w:w="4076" w:type="pct"/>
          </w:tcPr>
          <w:p w14:paraId="46D2E623" w14:textId="62AFA990" w:rsidR="00C3532F" w:rsidRPr="00F00EB0" w:rsidRDefault="00C3532F" w:rsidP="00EB325F">
            <w:pPr>
              <w:jc w:val="cente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2</w:t>
            </w:r>
          </w:p>
        </w:tc>
      </w:tr>
      <w:tr w:rsidR="00F00EB0" w:rsidRPr="00D00194" w14:paraId="7E489D3B" w14:textId="77777777" w:rsidTr="00C3532F">
        <w:tc>
          <w:tcPr>
            <w:tcW w:w="924" w:type="pct"/>
          </w:tcPr>
          <w:p w14:paraId="14C86945" w14:textId="104F8A5D" w:rsidR="000F60BB" w:rsidRPr="00F00EB0" w:rsidRDefault="001E10C6" w:rsidP="001E10C6">
            <w:pP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К.</w:t>
            </w:r>
            <w:r w:rsidR="009067C1" w:rsidRPr="00F00EB0">
              <w:rPr>
                <w:rFonts w:ascii="Times New Roman" w:hAnsi="Times New Roman" w:cs="Times New Roman"/>
                <w:color w:val="000000" w:themeColor="text1"/>
                <w:sz w:val="20"/>
                <w:szCs w:val="20"/>
                <w:lang w:val="uk-UA"/>
              </w:rPr>
              <w:t> </w:t>
            </w:r>
            <w:r w:rsidRPr="00F00EB0">
              <w:rPr>
                <w:rFonts w:ascii="Times New Roman" w:hAnsi="Times New Roman" w:cs="Times New Roman"/>
                <w:color w:val="000000" w:themeColor="text1"/>
                <w:sz w:val="20"/>
                <w:szCs w:val="20"/>
                <w:lang w:val="uk-UA"/>
              </w:rPr>
              <w:t>А.</w:t>
            </w:r>
            <w:r w:rsidR="009067C1" w:rsidRPr="00F00EB0">
              <w:rPr>
                <w:rFonts w:ascii="Times New Roman" w:hAnsi="Times New Roman" w:cs="Times New Roman"/>
                <w:color w:val="000000" w:themeColor="text1"/>
                <w:sz w:val="20"/>
                <w:szCs w:val="20"/>
                <w:lang w:val="uk-UA"/>
              </w:rPr>
              <w:t> </w:t>
            </w:r>
            <w:r w:rsidRPr="00F00EB0">
              <w:rPr>
                <w:rFonts w:ascii="Times New Roman" w:hAnsi="Times New Roman" w:cs="Times New Roman"/>
                <w:color w:val="000000" w:themeColor="text1"/>
                <w:sz w:val="20"/>
                <w:szCs w:val="20"/>
                <w:lang w:val="uk-UA"/>
              </w:rPr>
              <w:t>Корженко [</w:t>
            </w:r>
            <w:r w:rsidR="00937B61" w:rsidRPr="00F00EB0">
              <w:rPr>
                <w:rFonts w:ascii="Times New Roman" w:hAnsi="Times New Roman" w:cs="Times New Roman"/>
                <w:color w:val="000000" w:themeColor="text1"/>
                <w:sz w:val="20"/>
                <w:szCs w:val="20"/>
                <w:lang w:val="uk-UA"/>
              </w:rPr>
              <w:t>36</w:t>
            </w:r>
            <w:r w:rsidRPr="00F00EB0">
              <w:rPr>
                <w:rFonts w:ascii="Times New Roman" w:hAnsi="Times New Roman" w:cs="Times New Roman"/>
                <w:color w:val="000000" w:themeColor="text1"/>
                <w:sz w:val="20"/>
                <w:szCs w:val="20"/>
                <w:lang w:val="uk-UA"/>
              </w:rPr>
              <w:t>]</w:t>
            </w:r>
          </w:p>
        </w:tc>
        <w:tc>
          <w:tcPr>
            <w:tcW w:w="4076" w:type="pct"/>
          </w:tcPr>
          <w:p w14:paraId="663779CD" w14:textId="2C281FFD" w:rsidR="000F60BB" w:rsidRPr="00F00EB0" w:rsidRDefault="000F60BB" w:rsidP="000F60BB">
            <w:pPr>
              <w:jc w:val="both"/>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зовніщні фактори (глобалізаційні, економічні, фінансові, політичні, соціально-психологічні, законодавчі, форс-мажорні) фактори є визначальними у діяльності банку – це те, з чим менеджмент має боротися чи вдало використовувати для максимізації прибутку та знаходження рівноваги між ризиками та дохідністю свого функціонування.</w:t>
            </w:r>
          </w:p>
          <w:p w14:paraId="677B3FB9" w14:textId="44A417F2" w:rsidR="000F60BB" w:rsidRPr="00F00EB0" w:rsidRDefault="000F60BB" w:rsidP="000F60BB">
            <w:pPr>
              <w:jc w:val="both"/>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 xml:space="preserve"> внутріщні фактори: функціональні; організаційні; комерційні; фінансово-економічні. Кожна із зазначених груп відповідає окремій структурні складовій і визначається показниками, які притаманні характерні саме цій складовій.</w:t>
            </w:r>
          </w:p>
        </w:tc>
      </w:tr>
      <w:tr w:rsidR="00F00EB0" w:rsidRPr="00D00194" w14:paraId="256C49D3" w14:textId="77777777" w:rsidTr="00C3532F">
        <w:tc>
          <w:tcPr>
            <w:tcW w:w="924" w:type="pct"/>
            <w:vAlign w:val="center"/>
          </w:tcPr>
          <w:p w14:paraId="3FA52619" w14:textId="2AE73E7F" w:rsidR="001E10C6" w:rsidRPr="00F00EB0" w:rsidRDefault="009067C1" w:rsidP="001E10C6">
            <w:pP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 xml:space="preserve">О. М. Ковальова </w:t>
            </w:r>
            <w:r w:rsidR="00937B61" w:rsidRPr="00F00EB0">
              <w:rPr>
                <w:rFonts w:ascii="Times New Roman" w:hAnsi="Times New Roman" w:cs="Times New Roman"/>
                <w:color w:val="000000" w:themeColor="text1"/>
                <w:sz w:val="20"/>
                <w:szCs w:val="20"/>
                <w:lang w:val="uk-UA"/>
              </w:rPr>
              <w:t>[3</w:t>
            </w:r>
            <w:r w:rsidRPr="00F00EB0">
              <w:rPr>
                <w:rFonts w:ascii="Times New Roman" w:hAnsi="Times New Roman" w:cs="Times New Roman"/>
                <w:color w:val="000000" w:themeColor="text1"/>
                <w:sz w:val="20"/>
                <w:szCs w:val="20"/>
                <w:lang w:val="uk-UA"/>
              </w:rPr>
              <w:t>4</w:t>
            </w:r>
            <w:r w:rsidR="00937B61" w:rsidRPr="00F00EB0">
              <w:rPr>
                <w:rFonts w:ascii="Times New Roman" w:hAnsi="Times New Roman" w:cs="Times New Roman"/>
                <w:color w:val="000000" w:themeColor="text1"/>
                <w:sz w:val="20"/>
                <w:szCs w:val="20"/>
                <w:lang w:val="uk-UA"/>
              </w:rPr>
              <w:t>]</w:t>
            </w:r>
          </w:p>
        </w:tc>
        <w:tc>
          <w:tcPr>
            <w:tcW w:w="4076" w:type="pct"/>
            <w:vAlign w:val="center"/>
          </w:tcPr>
          <w:p w14:paraId="04EFFBCD" w14:textId="77777777" w:rsidR="001E10C6" w:rsidRPr="00F00EB0" w:rsidRDefault="001E10C6" w:rsidP="001E10C6">
            <w:pPr>
              <w:jc w:val="both"/>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зовніщні фактори: економіка, законодавча база, конкуренція, технологія і автоматизація, політичні тенденції, ринкова стратегія, зовнішня інфраструктура;</w:t>
            </w:r>
          </w:p>
          <w:p w14:paraId="3DB35FBA" w14:textId="4FAB97EB" w:rsidR="001E10C6" w:rsidRPr="00F00EB0" w:rsidRDefault="001E10C6" w:rsidP="001E10C6">
            <w:pPr>
              <w:jc w:val="both"/>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 xml:space="preserve"> внутріщні фактори: організаційні, економічні, технологічні. При цьому важливим аспектом у характеристиці стійкості банку виділяє якість його менеджменту, що, на думку вченого, включає в себе: управління відносинами, пов’язаними зі стратегічним і тактичним плануванням, аналізом, регулюванням, контролем діяльності </w:t>
            </w:r>
          </w:p>
        </w:tc>
      </w:tr>
      <w:tr w:rsidR="00F00EB0" w:rsidRPr="00D00194" w14:paraId="36BBA78A" w14:textId="77777777" w:rsidTr="00C3532F">
        <w:tc>
          <w:tcPr>
            <w:tcW w:w="924" w:type="pct"/>
            <w:vAlign w:val="center"/>
          </w:tcPr>
          <w:p w14:paraId="45EA32D5" w14:textId="28F11392" w:rsidR="001E10C6" w:rsidRPr="00F00EB0" w:rsidRDefault="009067C1" w:rsidP="001E10C6">
            <w:pP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А. О.Комар [35]</w:t>
            </w:r>
          </w:p>
        </w:tc>
        <w:tc>
          <w:tcPr>
            <w:tcW w:w="4076" w:type="pct"/>
            <w:vAlign w:val="center"/>
          </w:tcPr>
          <w:p w14:paraId="44ACDD89" w14:textId="5669D516" w:rsidR="001E10C6" w:rsidRPr="00F00EB0" w:rsidRDefault="001E10C6" w:rsidP="001E10C6">
            <w:pPr>
              <w:jc w:val="both"/>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1) загальнодержавні фактори: політичні, економічні, соціальні чинники, а також стан фінансового ринку; 2) чинники, що впливають на стійкість банківської системи: особливості діяльності Центрального банку (гроøово-кредитна політика, організація валютного контролю тощо), кількість функціонуючих банків, число зайнятих у них працівників, розøирення сфери діяльності, поява нових функцій, зміни в технології банківських операцій, моніторинг ринку; 3) внутріøні чинники: кваліфікація кадрів, стратегія розвитку банку, достатність капіталу, рівень ліквідності, рівень прибутковості, якість активів, рівень менеджменту, рівень технічної оснащеності.</w:t>
            </w:r>
          </w:p>
        </w:tc>
      </w:tr>
      <w:tr w:rsidR="00F00EB0" w:rsidRPr="00D00194" w14:paraId="099E35C0" w14:textId="77777777" w:rsidTr="00C3532F">
        <w:tc>
          <w:tcPr>
            <w:tcW w:w="924" w:type="pct"/>
          </w:tcPr>
          <w:p w14:paraId="129826D9" w14:textId="7A4E6D05" w:rsidR="00EB325F" w:rsidRPr="00F00EB0" w:rsidRDefault="00026DEF" w:rsidP="00026DEF">
            <w:pP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В. В. </w:t>
            </w:r>
            <w:r w:rsidR="00EB325F" w:rsidRPr="00F00EB0">
              <w:rPr>
                <w:rFonts w:ascii="Times New Roman" w:hAnsi="Times New Roman" w:cs="Times New Roman"/>
                <w:color w:val="000000" w:themeColor="text1"/>
                <w:sz w:val="20"/>
                <w:szCs w:val="20"/>
                <w:lang w:val="uk-UA"/>
              </w:rPr>
              <w:t>Коваленко</w:t>
            </w:r>
            <w:r w:rsidR="000F60BB" w:rsidRPr="00F00EB0">
              <w:rPr>
                <w:rFonts w:ascii="Times New Roman" w:hAnsi="Times New Roman" w:cs="Times New Roman"/>
                <w:color w:val="000000" w:themeColor="text1"/>
                <w:sz w:val="20"/>
                <w:szCs w:val="20"/>
                <w:lang w:val="uk-UA"/>
              </w:rPr>
              <w:t>[</w:t>
            </w:r>
            <w:r w:rsidR="00665500" w:rsidRPr="00F00EB0">
              <w:rPr>
                <w:rFonts w:ascii="Times New Roman" w:hAnsi="Times New Roman" w:cs="Times New Roman"/>
                <w:color w:val="000000" w:themeColor="text1"/>
                <w:sz w:val="20"/>
                <w:szCs w:val="20"/>
                <w:lang w:val="uk-UA"/>
              </w:rPr>
              <w:t>33</w:t>
            </w:r>
            <w:r w:rsidR="000F60BB" w:rsidRPr="00F00EB0">
              <w:rPr>
                <w:rFonts w:ascii="Times New Roman" w:hAnsi="Times New Roman" w:cs="Times New Roman"/>
                <w:color w:val="000000" w:themeColor="text1"/>
                <w:sz w:val="20"/>
                <w:szCs w:val="20"/>
                <w:lang w:val="uk-UA"/>
              </w:rPr>
              <w:t>]</w:t>
            </w:r>
            <w:r w:rsidR="00EB325F" w:rsidRPr="00F00EB0">
              <w:rPr>
                <w:rFonts w:ascii="Times New Roman" w:hAnsi="Times New Roman" w:cs="Times New Roman"/>
                <w:color w:val="000000" w:themeColor="text1"/>
                <w:sz w:val="20"/>
                <w:szCs w:val="20"/>
                <w:lang w:val="uk-UA"/>
              </w:rPr>
              <w:t xml:space="preserve"> </w:t>
            </w:r>
          </w:p>
        </w:tc>
        <w:tc>
          <w:tcPr>
            <w:tcW w:w="4076" w:type="pct"/>
          </w:tcPr>
          <w:p w14:paraId="72171597" w14:textId="37F8C4CD" w:rsidR="00EB325F" w:rsidRPr="00F00EB0" w:rsidRDefault="00EB325F" w:rsidP="00EB325F">
            <w:pPr>
              <w:jc w:val="both"/>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при дослідженні чинників, що впливають на фінансову стійкість банку, розмежовує їх на зовнішній (економічні, соціально</w:t>
            </w:r>
            <w:r w:rsidR="008D57CA" w:rsidRPr="00F00EB0">
              <w:rPr>
                <w:rFonts w:ascii="Times New Roman" w:hAnsi="Times New Roman" w:cs="Times New Roman"/>
                <w:color w:val="000000" w:themeColor="text1"/>
                <w:sz w:val="20"/>
                <w:szCs w:val="20"/>
                <w:lang w:val="uk-UA"/>
              </w:rPr>
              <w:t>-</w:t>
            </w:r>
            <w:r w:rsidRPr="00F00EB0">
              <w:rPr>
                <w:rFonts w:ascii="Times New Roman" w:hAnsi="Times New Roman" w:cs="Times New Roman"/>
                <w:color w:val="000000" w:themeColor="text1"/>
                <w:sz w:val="20"/>
                <w:szCs w:val="20"/>
                <w:lang w:val="uk-UA"/>
              </w:rPr>
              <w:t>політичні та фінансові фактори впливу) та внутрішній (окремі показники фінансового стану та банківського менеджменту) блоки, залишаючи поза увагою серед внутрішніх чинників такі важливі фактори, як технологічні, інформаційні та організаційні.</w:t>
            </w:r>
          </w:p>
        </w:tc>
      </w:tr>
      <w:tr w:rsidR="00F00EB0" w:rsidRPr="00F00EB0" w14:paraId="79E68DFB" w14:textId="77777777" w:rsidTr="00C3532F">
        <w:tc>
          <w:tcPr>
            <w:tcW w:w="924" w:type="pct"/>
          </w:tcPr>
          <w:p w14:paraId="13273A6A" w14:textId="15FC568A" w:rsidR="008D57CA" w:rsidRPr="00F00EB0" w:rsidRDefault="000F60BB" w:rsidP="00026DEF">
            <w:pP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В. В. Рисін, А.П.Біда</w:t>
            </w:r>
            <w:r w:rsidR="001E10C6" w:rsidRPr="00F00EB0">
              <w:rPr>
                <w:rFonts w:ascii="Times New Roman" w:hAnsi="Times New Roman" w:cs="Times New Roman"/>
                <w:color w:val="000000" w:themeColor="text1"/>
                <w:sz w:val="20"/>
                <w:szCs w:val="20"/>
                <w:lang w:val="uk-UA"/>
              </w:rPr>
              <w:t xml:space="preserve"> </w:t>
            </w:r>
            <w:r w:rsidRPr="00F00EB0">
              <w:rPr>
                <w:rFonts w:ascii="Times New Roman" w:hAnsi="Times New Roman" w:cs="Times New Roman"/>
                <w:color w:val="000000" w:themeColor="text1"/>
                <w:sz w:val="20"/>
                <w:szCs w:val="20"/>
                <w:lang w:val="uk-UA"/>
              </w:rPr>
              <w:t>[</w:t>
            </w:r>
            <w:r w:rsidR="00665500" w:rsidRPr="00F00EB0">
              <w:rPr>
                <w:rFonts w:ascii="Times New Roman" w:hAnsi="Times New Roman" w:cs="Times New Roman"/>
                <w:color w:val="000000" w:themeColor="text1"/>
                <w:sz w:val="20"/>
                <w:szCs w:val="20"/>
                <w:lang w:val="uk-UA"/>
              </w:rPr>
              <w:t>52</w:t>
            </w:r>
            <w:r w:rsidRPr="00F00EB0">
              <w:rPr>
                <w:rFonts w:ascii="Times New Roman" w:hAnsi="Times New Roman" w:cs="Times New Roman"/>
                <w:color w:val="000000" w:themeColor="text1"/>
                <w:sz w:val="20"/>
                <w:szCs w:val="20"/>
                <w:lang w:val="uk-UA"/>
              </w:rPr>
              <w:t>]</w:t>
            </w:r>
          </w:p>
        </w:tc>
        <w:tc>
          <w:tcPr>
            <w:tcW w:w="4076" w:type="pct"/>
          </w:tcPr>
          <w:p w14:paraId="62F8B28C" w14:textId="7C831A6D" w:rsidR="000F60BB" w:rsidRPr="00F00EB0" w:rsidRDefault="000F60BB" w:rsidP="00EB325F">
            <w:pPr>
              <w:jc w:val="both"/>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Серед екзогенних чинників важливе значення мають економічні (стан платіжного балансу країни, інвестиційний клімат, стан реального сектору економіки, масштаби тіньової економіки, рівень оновлення виробничих потужностей) та глобалізаційні чинники. … Вплив фінансових чинників визначається попитом і пропозицією грошової маси, темпами інфляції та інфляційними очікуваннями, вартістю і графіком обслуговування державного боргу, рівнем доходу ринку цінних паперів, обмінним курсом національної валюти, грошовою емісією, спрямованістю монетарної політики центрального банку. Значення політичних чинників полягає передовсім у створенні сприятливого середовища для розвитку банківського сектора та рівних правил гри на фінансовому ринку, ефективної законодавчо-нормативної бази. Досягнення фінансової стійкості банківського сектору неможливе без соціальної стабільності та релевантної соціальної політики уряду. Серед ендогенних чинників … слід виокремити як фінансово-економічні, пов’язані із забезпеченням ефективного управління активами і пасивами банку, ліквідності та належного рівня капіталізації, так і організаційно-функціональні, серед яких рівень банківського менеджменту, якість банківської стратегії, рівень професійної кваліфікації персоналу та ін. Акцентуємо увагу також на юридичних чинниках, що стосуються дотримання банком чинних регулятивних вимог та вимог законодавства, зокрема у сфері протидій відмиванню грошей та фінансуванню тероризму. Ключову роль … відіграють інформаційно-технологічні чинники – програмне забезпечення, наявність платформи інтернет та мобільного банкінгу, системи захисту даних.</w:t>
            </w:r>
          </w:p>
        </w:tc>
      </w:tr>
      <w:tr w:rsidR="00F00EB0" w:rsidRPr="00D00194" w14:paraId="5CD552DB" w14:textId="77777777" w:rsidTr="00C3532F">
        <w:tc>
          <w:tcPr>
            <w:tcW w:w="924" w:type="pct"/>
          </w:tcPr>
          <w:p w14:paraId="55329948" w14:textId="11EC53FB" w:rsidR="00F547D0" w:rsidRPr="00F00EB0" w:rsidRDefault="00C63787" w:rsidP="00026DEF">
            <w:pP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 xml:space="preserve">О.Г. Агрес </w:t>
            </w:r>
            <w:r w:rsidR="008D57CA" w:rsidRPr="00F00EB0">
              <w:rPr>
                <w:rFonts w:ascii="Times New Roman" w:hAnsi="Times New Roman" w:cs="Times New Roman"/>
                <w:color w:val="000000" w:themeColor="text1"/>
                <w:sz w:val="20"/>
                <w:szCs w:val="20"/>
                <w:lang w:val="uk-UA"/>
              </w:rPr>
              <w:t>[3]</w:t>
            </w:r>
          </w:p>
        </w:tc>
        <w:tc>
          <w:tcPr>
            <w:tcW w:w="4076" w:type="pct"/>
          </w:tcPr>
          <w:p w14:paraId="112F40CA" w14:textId="3F557F48" w:rsidR="00F547D0" w:rsidRPr="00F00EB0" w:rsidRDefault="008D57CA" w:rsidP="00EB325F">
            <w:pPr>
              <w:jc w:val="both"/>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ф</w:t>
            </w:r>
            <w:r w:rsidR="00F547D0" w:rsidRPr="00F00EB0">
              <w:rPr>
                <w:rFonts w:ascii="Times New Roman" w:hAnsi="Times New Roman" w:cs="Times New Roman"/>
                <w:color w:val="000000" w:themeColor="text1"/>
                <w:sz w:val="20"/>
                <w:szCs w:val="20"/>
                <w:lang w:val="uk-UA"/>
              </w:rPr>
              <w:t>актори фінансової стійкості розмежовують на зовнішні та внутрішні. Умовно і зовнішні і внутрішні фактори впливу на фінансову стабільність можна згрупувати за такими напрямами</w:t>
            </w:r>
            <w:r w:rsidRPr="00F00EB0">
              <w:rPr>
                <w:rFonts w:ascii="Times New Roman" w:hAnsi="Times New Roman" w:cs="Times New Roman"/>
                <w:color w:val="000000" w:themeColor="text1"/>
                <w:sz w:val="20"/>
                <w:szCs w:val="20"/>
                <w:lang w:val="uk-UA"/>
              </w:rPr>
              <w:t xml:space="preserve">: </w:t>
            </w:r>
            <w:r w:rsidR="00F547D0" w:rsidRPr="00F00EB0">
              <w:rPr>
                <w:rFonts w:ascii="Times New Roman" w:hAnsi="Times New Roman" w:cs="Times New Roman"/>
                <w:color w:val="000000" w:themeColor="text1"/>
                <w:sz w:val="20"/>
                <w:szCs w:val="20"/>
                <w:lang w:val="uk-UA"/>
              </w:rPr>
              <w:t>економічні; правові; соціальні; політичні; техніко-технологічні.</w:t>
            </w:r>
          </w:p>
        </w:tc>
      </w:tr>
    </w:tbl>
    <w:p w14:paraId="5E2FC4BE" w14:textId="77777777" w:rsidR="00C3532F" w:rsidRPr="00F00EB0" w:rsidRDefault="00C3532F">
      <w:pP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br w:type="page"/>
      </w:r>
    </w:p>
    <w:p w14:paraId="688AF08A" w14:textId="0A309AB1" w:rsidR="00C73CE9" w:rsidRPr="00F00EB0" w:rsidRDefault="00C73CE9" w:rsidP="00C73CE9">
      <w:pPr>
        <w:jc w:val="right"/>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lastRenderedPageBreak/>
        <w:t>Продовження таблиці В.1</w:t>
      </w:r>
    </w:p>
    <w:tbl>
      <w:tblPr>
        <w:tblStyle w:val="af0"/>
        <w:tblW w:w="5000" w:type="pct"/>
        <w:tblLook w:val="04A0" w:firstRow="1" w:lastRow="0" w:firstColumn="1" w:lastColumn="0" w:noHBand="0" w:noVBand="1"/>
      </w:tblPr>
      <w:tblGrid>
        <w:gridCol w:w="1831"/>
        <w:gridCol w:w="4016"/>
        <w:gridCol w:w="4064"/>
      </w:tblGrid>
      <w:tr w:rsidR="00F00EB0" w:rsidRPr="00F00EB0" w14:paraId="5CBF68CF" w14:textId="77777777" w:rsidTr="00C3532F">
        <w:tc>
          <w:tcPr>
            <w:tcW w:w="924" w:type="pct"/>
          </w:tcPr>
          <w:p w14:paraId="01407B1F" w14:textId="77777777" w:rsidR="00C3532F" w:rsidRPr="00F00EB0" w:rsidRDefault="00C3532F" w:rsidP="00A1795E">
            <w:pPr>
              <w:jc w:val="cente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1</w:t>
            </w:r>
          </w:p>
        </w:tc>
        <w:tc>
          <w:tcPr>
            <w:tcW w:w="4076" w:type="pct"/>
            <w:gridSpan w:val="2"/>
          </w:tcPr>
          <w:p w14:paraId="21BFF8FB" w14:textId="77777777" w:rsidR="00C3532F" w:rsidRPr="00F00EB0" w:rsidRDefault="00C3532F" w:rsidP="00A1795E">
            <w:pPr>
              <w:jc w:val="cente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2</w:t>
            </w:r>
          </w:p>
        </w:tc>
      </w:tr>
      <w:tr w:rsidR="00F00EB0" w:rsidRPr="00D00194" w14:paraId="6554F469" w14:textId="2B321426" w:rsidTr="00C3532F">
        <w:tc>
          <w:tcPr>
            <w:tcW w:w="924" w:type="pct"/>
          </w:tcPr>
          <w:p w14:paraId="1580BC54" w14:textId="21A5D9CC" w:rsidR="00EB325F" w:rsidRPr="00F00EB0" w:rsidRDefault="00026DEF" w:rsidP="00026DEF">
            <w:pP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К.О. </w:t>
            </w:r>
            <w:r w:rsidR="00EB325F" w:rsidRPr="00F00EB0">
              <w:rPr>
                <w:rFonts w:ascii="Times New Roman" w:hAnsi="Times New Roman" w:cs="Times New Roman"/>
                <w:color w:val="000000" w:themeColor="text1"/>
                <w:sz w:val="20"/>
                <w:szCs w:val="20"/>
                <w:lang w:val="uk-UA"/>
              </w:rPr>
              <w:t xml:space="preserve">Кушнір </w:t>
            </w:r>
            <w:r w:rsidR="001210EE" w:rsidRPr="00F00EB0">
              <w:rPr>
                <w:rFonts w:ascii="Times New Roman" w:hAnsi="Times New Roman" w:cs="Times New Roman"/>
                <w:color w:val="000000" w:themeColor="text1"/>
                <w:sz w:val="20"/>
                <w:szCs w:val="20"/>
                <w:lang w:val="uk-UA"/>
              </w:rPr>
              <w:t>[</w:t>
            </w:r>
            <w:r w:rsidR="000B7592" w:rsidRPr="00F00EB0">
              <w:rPr>
                <w:rFonts w:ascii="Times New Roman" w:hAnsi="Times New Roman" w:cs="Times New Roman"/>
                <w:color w:val="000000" w:themeColor="text1"/>
                <w:sz w:val="20"/>
                <w:szCs w:val="20"/>
                <w:lang w:val="uk-UA"/>
              </w:rPr>
              <w:t>40</w:t>
            </w:r>
            <w:r w:rsidR="001210EE" w:rsidRPr="00F00EB0">
              <w:rPr>
                <w:rFonts w:ascii="Times New Roman" w:hAnsi="Times New Roman" w:cs="Times New Roman"/>
                <w:color w:val="000000" w:themeColor="text1"/>
                <w:sz w:val="20"/>
                <w:szCs w:val="20"/>
                <w:lang w:val="uk-UA"/>
              </w:rPr>
              <w:t>]</w:t>
            </w:r>
          </w:p>
        </w:tc>
        <w:tc>
          <w:tcPr>
            <w:tcW w:w="2026" w:type="pct"/>
          </w:tcPr>
          <w:p w14:paraId="06C59120" w14:textId="61610901" w:rsidR="00EB325F" w:rsidRPr="00F00EB0" w:rsidRDefault="00EB325F" w:rsidP="000C4E21">
            <w:pPr>
              <w:jc w:val="both"/>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розширен</w:t>
            </w:r>
            <w:r w:rsidR="000C4E21" w:rsidRPr="00F00EB0">
              <w:rPr>
                <w:rFonts w:ascii="Times New Roman" w:hAnsi="Times New Roman" w:cs="Times New Roman"/>
                <w:color w:val="000000" w:themeColor="text1"/>
                <w:sz w:val="20"/>
                <w:szCs w:val="20"/>
                <w:lang w:val="uk-UA"/>
              </w:rPr>
              <w:t>а</w:t>
            </w:r>
            <w:r w:rsidRPr="00F00EB0">
              <w:rPr>
                <w:rFonts w:ascii="Times New Roman" w:hAnsi="Times New Roman" w:cs="Times New Roman"/>
                <w:color w:val="000000" w:themeColor="text1"/>
                <w:sz w:val="20"/>
                <w:szCs w:val="20"/>
                <w:lang w:val="uk-UA"/>
              </w:rPr>
              <w:t xml:space="preserve"> класифікаці</w:t>
            </w:r>
            <w:r w:rsidR="001F3C6C" w:rsidRPr="00F00EB0">
              <w:rPr>
                <w:rFonts w:ascii="Times New Roman" w:hAnsi="Times New Roman" w:cs="Times New Roman"/>
                <w:color w:val="000000" w:themeColor="text1"/>
                <w:sz w:val="20"/>
                <w:szCs w:val="20"/>
                <w:lang w:val="uk-UA"/>
              </w:rPr>
              <w:t>я</w:t>
            </w:r>
            <w:r w:rsidRPr="00F00EB0">
              <w:rPr>
                <w:rFonts w:ascii="Times New Roman" w:hAnsi="Times New Roman" w:cs="Times New Roman"/>
                <w:color w:val="000000" w:themeColor="text1"/>
                <w:sz w:val="20"/>
                <w:szCs w:val="20"/>
                <w:lang w:val="uk-UA"/>
              </w:rPr>
              <w:t xml:space="preserve"> факторів, шляхом включення до зовнішнього блоку державно-правового механізму, дієвості законодавчої бази та рівня її розвитку, ступеня правової та нормативної забезпеченості банківської діяльності, а також рівня розвиненості банківської зовнішньої інфраструктури. </w:t>
            </w:r>
          </w:p>
        </w:tc>
        <w:tc>
          <w:tcPr>
            <w:tcW w:w="2050" w:type="pct"/>
          </w:tcPr>
          <w:p w14:paraId="3B3BADED" w14:textId="1C43FC20" w:rsidR="00EB325F" w:rsidRPr="00F00EB0" w:rsidRDefault="00EB325F" w:rsidP="000C4E21">
            <w:pPr>
              <w:jc w:val="both"/>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виокремлення організаційних, технологічних та економічних факторів впливу на фінансову стійкість банку. Водночас в якості обмежень наведеної класифікації слід відмітити невраховування факторів мегасередовища, що набуває важливого значення в умовах інтеграційних процесів, що відбуваються в банківській системі.</w:t>
            </w:r>
          </w:p>
        </w:tc>
      </w:tr>
      <w:tr w:rsidR="00F00EB0" w:rsidRPr="00D00194" w14:paraId="73AE4402" w14:textId="77777777" w:rsidTr="00C3532F">
        <w:tc>
          <w:tcPr>
            <w:tcW w:w="924" w:type="pct"/>
          </w:tcPr>
          <w:p w14:paraId="07313C63" w14:textId="6D12BF84" w:rsidR="00EB325F" w:rsidRPr="00F00EB0" w:rsidRDefault="00026DEF" w:rsidP="00026DEF">
            <w:pP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В. В. </w:t>
            </w:r>
            <w:r w:rsidR="00EB325F" w:rsidRPr="00F00EB0">
              <w:rPr>
                <w:rFonts w:ascii="Times New Roman" w:hAnsi="Times New Roman" w:cs="Times New Roman"/>
                <w:color w:val="000000" w:themeColor="text1"/>
                <w:sz w:val="20"/>
                <w:szCs w:val="20"/>
                <w:lang w:val="uk-UA"/>
              </w:rPr>
              <w:t xml:space="preserve">Майба </w:t>
            </w:r>
            <w:r w:rsidR="001210EE" w:rsidRPr="00F00EB0">
              <w:rPr>
                <w:rFonts w:ascii="Times New Roman" w:hAnsi="Times New Roman" w:cs="Times New Roman"/>
                <w:color w:val="000000" w:themeColor="text1"/>
                <w:sz w:val="20"/>
                <w:szCs w:val="20"/>
                <w:lang w:val="uk-UA"/>
              </w:rPr>
              <w:t>[</w:t>
            </w:r>
            <w:r w:rsidRPr="00F00EB0">
              <w:rPr>
                <w:rFonts w:ascii="Times New Roman" w:hAnsi="Times New Roman" w:cs="Times New Roman"/>
                <w:color w:val="000000" w:themeColor="text1"/>
                <w:sz w:val="20"/>
                <w:szCs w:val="20"/>
                <w:lang w:val="uk-UA"/>
              </w:rPr>
              <w:t>4</w:t>
            </w:r>
            <w:r w:rsidR="000B7592" w:rsidRPr="00F00EB0">
              <w:rPr>
                <w:rFonts w:ascii="Times New Roman" w:hAnsi="Times New Roman" w:cs="Times New Roman"/>
                <w:color w:val="000000" w:themeColor="text1"/>
                <w:sz w:val="20"/>
                <w:szCs w:val="20"/>
                <w:lang w:val="uk-UA"/>
              </w:rPr>
              <w:t>2</w:t>
            </w:r>
            <w:r w:rsidR="001210EE" w:rsidRPr="00F00EB0">
              <w:rPr>
                <w:rFonts w:ascii="Times New Roman" w:hAnsi="Times New Roman" w:cs="Times New Roman"/>
                <w:color w:val="000000" w:themeColor="text1"/>
                <w:sz w:val="20"/>
                <w:szCs w:val="20"/>
                <w:lang w:val="uk-UA"/>
              </w:rPr>
              <w:t>]</w:t>
            </w:r>
          </w:p>
        </w:tc>
        <w:tc>
          <w:tcPr>
            <w:tcW w:w="4076" w:type="pct"/>
            <w:gridSpan w:val="2"/>
          </w:tcPr>
          <w:p w14:paraId="06E64616" w14:textId="160BE4C4" w:rsidR="00EB325F" w:rsidRPr="00F00EB0" w:rsidRDefault="00EB325F" w:rsidP="00EB325F">
            <w:pPr>
              <w:jc w:val="both"/>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при дослідженні зосереджена на факторах лише мікросередовища діяльності банку, зокрема таких, як ефективність управління активами і пасивами, ліквідність, дохідність банку та рівень менеджменту.</w:t>
            </w:r>
          </w:p>
        </w:tc>
      </w:tr>
      <w:tr w:rsidR="00F00EB0" w:rsidRPr="00F00EB0" w14:paraId="4C1D9A61" w14:textId="77777777" w:rsidTr="00C3532F">
        <w:tc>
          <w:tcPr>
            <w:tcW w:w="924" w:type="pct"/>
          </w:tcPr>
          <w:p w14:paraId="5BB01D98" w14:textId="1E5E8B52" w:rsidR="00EB325F" w:rsidRPr="00F00EB0" w:rsidRDefault="00026DEF" w:rsidP="00EB325F">
            <w:pP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К. А. </w:t>
            </w:r>
            <w:r w:rsidR="001210EE" w:rsidRPr="00F00EB0">
              <w:rPr>
                <w:rFonts w:ascii="Times New Roman" w:hAnsi="Times New Roman" w:cs="Times New Roman"/>
                <w:color w:val="000000" w:themeColor="text1"/>
                <w:sz w:val="20"/>
                <w:szCs w:val="20"/>
                <w:lang w:val="uk-UA"/>
              </w:rPr>
              <w:t>Корженко</w:t>
            </w:r>
            <w:r w:rsidRPr="00F00EB0">
              <w:rPr>
                <w:rFonts w:ascii="Times New Roman" w:hAnsi="Times New Roman" w:cs="Times New Roman"/>
                <w:color w:val="000000" w:themeColor="text1"/>
                <w:sz w:val="20"/>
                <w:szCs w:val="20"/>
                <w:lang w:val="uk-UA"/>
              </w:rPr>
              <w:t xml:space="preserve"> </w:t>
            </w:r>
            <w:r w:rsidR="001210EE" w:rsidRPr="00F00EB0">
              <w:rPr>
                <w:rFonts w:ascii="Times New Roman" w:hAnsi="Times New Roman" w:cs="Times New Roman"/>
                <w:color w:val="000000" w:themeColor="text1"/>
                <w:sz w:val="20"/>
                <w:szCs w:val="20"/>
                <w:lang w:val="uk-UA"/>
              </w:rPr>
              <w:t>[</w:t>
            </w:r>
            <w:r w:rsidR="000B7592" w:rsidRPr="00F00EB0">
              <w:rPr>
                <w:rFonts w:ascii="Times New Roman" w:hAnsi="Times New Roman" w:cs="Times New Roman"/>
                <w:color w:val="000000" w:themeColor="text1"/>
                <w:sz w:val="20"/>
                <w:szCs w:val="20"/>
                <w:lang w:val="uk-UA"/>
              </w:rPr>
              <w:t>3</w:t>
            </w:r>
            <w:r w:rsidR="00F205B3" w:rsidRPr="00F00EB0">
              <w:rPr>
                <w:rFonts w:ascii="Times New Roman" w:hAnsi="Times New Roman" w:cs="Times New Roman"/>
                <w:color w:val="000000" w:themeColor="text1"/>
                <w:sz w:val="20"/>
                <w:szCs w:val="20"/>
                <w:lang w:val="uk-UA"/>
              </w:rPr>
              <w:t>6</w:t>
            </w:r>
            <w:r w:rsidR="001210EE" w:rsidRPr="00F00EB0">
              <w:rPr>
                <w:rFonts w:ascii="Times New Roman" w:hAnsi="Times New Roman" w:cs="Times New Roman"/>
                <w:color w:val="000000" w:themeColor="text1"/>
                <w:sz w:val="20"/>
                <w:szCs w:val="20"/>
                <w:lang w:val="uk-UA"/>
              </w:rPr>
              <w:t>]</w:t>
            </w:r>
          </w:p>
          <w:p w14:paraId="7F73F53D" w14:textId="5166559F" w:rsidR="001210EE" w:rsidRPr="00F00EB0" w:rsidRDefault="00F205B3" w:rsidP="00F205B3">
            <w:pPr>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Є. С. </w:t>
            </w:r>
            <w:r w:rsidR="001210EE" w:rsidRPr="00F00EB0">
              <w:rPr>
                <w:rFonts w:ascii="Times New Roman" w:hAnsi="Times New Roman" w:cs="Times New Roman"/>
                <w:color w:val="000000" w:themeColor="text1"/>
                <w:sz w:val="20"/>
                <w:szCs w:val="20"/>
                <w:lang w:val="uk-UA"/>
              </w:rPr>
              <w:t>Гарбар [</w:t>
            </w:r>
            <w:r w:rsidR="000B7592" w:rsidRPr="00F00EB0">
              <w:rPr>
                <w:rFonts w:ascii="Times New Roman" w:hAnsi="Times New Roman" w:cs="Times New Roman"/>
                <w:color w:val="000000" w:themeColor="text1"/>
                <w:sz w:val="20"/>
                <w:szCs w:val="20"/>
                <w:lang w:val="uk-UA"/>
              </w:rPr>
              <w:t>15</w:t>
            </w:r>
            <w:r w:rsidR="001210EE" w:rsidRPr="00F00EB0">
              <w:rPr>
                <w:rFonts w:ascii="Times New Roman" w:hAnsi="Times New Roman" w:cs="Times New Roman"/>
                <w:color w:val="000000" w:themeColor="text1"/>
                <w:sz w:val="20"/>
                <w:szCs w:val="20"/>
                <w:lang w:val="uk-UA"/>
              </w:rPr>
              <w:t xml:space="preserve">] </w:t>
            </w:r>
          </w:p>
        </w:tc>
        <w:tc>
          <w:tcPr>
            <w:tcW w:w="4076" w:type="pct"/>
            <w:gridSpan w:val="2"/>
          </w:tcPr>
          <w:p w14:paraId="1E941063" w14:textId="5981167D" w:rsidR="00EB325F" w:rsidRPr="00F00EB0" w:rsidRDefault="00EB325F" w:rsidP="00EB325F">
            <w:pPr>
              <w:jc w:val="both"/>
              <w:rPr>
                <w:rFonts w:ascii="Times New Roman" w:hAnsi="Times New Roman" w:cs="Times New Roman"/>
                <w:color w:val="000000" w:themeColor="text1"/>
                <w:sz w:val="20"/>
                <w:szCs w:val="20"/>
                <w:lang w:val="uk-UA"/>
              </w:rPr>
            </w:pPr>
            <w:r w:rsidRPr="00F00EB0">
              <w:rPr>
                <w:rFonts w:ascii="Times New Roman" w:hAnsi="Times New Roman" w:cs="Times New Roman"/>
                <w:color w:val="000000" w:themeColor="text1"/>
                <w:sz w:val="20"/>
                <w:szCs w:val="20"/>
                <w:lang w:val="uk-UA"/>
              </w:rPr>
              <w:t xml:space="preserve">Серед екзогенних чинників важливе значення мають економічні та глобалізаційні чинники. Загальноекономічний стан визначається такими параметрами як стан платіжного балансу країни, інвестиційний клімат, стан реального сектору економіки, масштаби тіньової економіки, рівень оновлення виробничих потужностей. Глобалізаційні процеси в світовій економіці призвели до виникнення глобалізованого фінансового ринку. З огляду на це, поширення кризових явищ значно прискорилося, і ймовірність впливу таких явищ на світових ринках на фінансову стійкість банків в Україні є дуже високою. </w:t>
            </w:r>
          </w:p>
        </w:tc>
      </w:tr>
    </w:tbl>
    <w:p w14:paraId="333C3ADC" w14:textId="28AAD394" w:rsidR="00EB325F" w:rsidRPr="00F00EB0" w:rsidRDefault="00EB325F">
      <w:pPr>
        <w:rPr>
          <w:rFonts w:ascii="Times New Roman" w:hAnsi="Times New Roman" w:cs="Times New Roman"/>
          <w:color w:val="000000" w:themeColor="text1"/>
          <w:lang w:val="uk-UA"/>
        </w:rPr>
      </w:pPr>
    </w:p>
    <w:p w14:paraId="6430248F" w14:textId="77777777" w:rsidR="00386FDD" w:rsidRPr="00F00EB0" w:rsidRDefault="00386FDD">
      <w:pPr>
        <w:rPr>
          <w:rFonts w:ascii="Times New Roman" w:hAnsi="Times New Roman" w:cs="Times New Roman"/>
          <w:color w:val="000000" w:themeColor="text1"/>
          <w:lang w:val="uk-UA"/>
        </w:rPr>
      </w:pPr>
    </w:p>
    <w:p w14:paraId="36F69E13" w14:textId="4230B4B1" w:rsidR="00280952" w:rsidRPr="00F00EB0" w:rsidRDefault="00280952">
      <w:pP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br w:type="page"/>
      </w:r>
    </w:p>
    <w:p w14:paraId="0446CA74" w14:textId="41783071" w:rsidR="00280952" w:rsidRPr="00F00EB0" w:rsidRDefault="00280952" w:rsidP="00280952">
      <w:pPr>
        <w:pStyle w:val="10"/>
        <w:rPr>
          <w:rFonts w:cs="Times New Roman"/>
          <w:b/>
          <w:color w:val="000000" w:themeColor="text1"/>
          <w:lang w:val="uk-UA"/>
        </w:rPr>
      </w:pPr>
      <w:bookmarkStart w:id="26" w:name="_Toc137414314"/>
      <w:r w:rsidRPr="00F00EB0">
        <w:rPr>
          <w:rFonts w:cs="Times New Roman"/>
          <w:b/>
          <w:color w:val="000000" w:themeColor="text1"/>
          <w:lang w:val="uk-UA"/>
        </w:rPr>
        <w:lastRenderedPageBreak/>
        <w:t>ДОДАТОК Г</w:t>
      </w:r>
      <w:r w:rsidRPr="00F00EB0">
        <w:rPr>
          <w:rFonts w:cs="Times New Roman"/>
          <w:b/>
          <w:color w:val="000000" w:themeColor="text1"/>
          <w:lang w:val="uk-UA"/>
        </w:rPr>
        <w:br/>
      </w:r>
      <w:r w:rsidR="00527F46" w:rsidRPr="00F00EB0">
        <w:rPr>
          <w:rFonts w:cs="Times New Roman"/>
          <w:b/>
          <w:color w:val="000000" w:themeColor="text1"/>
          <w:lang w:val="uk-UA"/>
        </w:rPr>
        <w:t>ІНСТРУМЕНТАРІЙ АНАЛІЗУ ФСБ</w:t>
      </w:r>
      <w:bookmarkEnd w:id="26"/>
    </w:p>
    <w:p w14:paraId="6190B228" w14:textId="77777777" w:rsidR="00903678" w:rsidRPr="00F00EB0" w:rsidRDefault="00903678">
      <w:pPr>
        <w:rPr>
          <w:rFonts w:ascii="Times New Roman" w:hAnsi="Times New Roman" w:cs="Times New Roman"/>
          <w:color w:val="000000" w:themeColor="text1"/>
          <w:lang w:val="uk-UA"/>
        </w:rPr>
      </w:pPr>
    </w:p>
    <w:p w14:paraId="1AECEDFA" w14:textId="335F057D" w:rsidR="00280952" w:rsidRPr="00F00EB0" w:rsidRDefault="00D90F03" w:rsidP="00280952">
      <w:pPr>
        <w:rPr>
          <w:rFonts w:ascii="Times New Roman" w:hAnsi="Times New Roman" w:cs="Times New Roman"/>
          <w:color w:val="000000" w:themeColor="text1"/>
          <w:sz w:val="24"/>
          <w:szCs w:val="24"/>
          <w:lang w:val="uk-UA"/>
        </w:rPr>
      </w:pPr>
      <w:r w:rsidRPr="00F00EB0">
        <w:rPr>
          <w:rFonts w:ascii="Times New Roman" w:hAnsi="Times New Roman" w:cs="Times New Roman"/>
          <w:noProof/>
          <w:color w:val="000000" w:themeColor="text1"/>
          <w:lang w:eastAsia="ru-RU"/>
        </w:rPr>
        <mc:AlternateContent>
          <mc:Choice Requires="wpc">
            <w:drawing>
              <wp:inline distT="0" distB="0" distL="0" distR="0" wp14:anchorId="5A0CFB20" wp14:editId="4903539C">
                <wp:extent cx="5922010" cy="6981190"/>
                <wp:effectExtent l="0" t="0" r="21590" b="0"/>
                <wp:docPr id="1480" name="Полотно 138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865604" name="Прямая соединительная линия 1402"/>
                        <wps:cNvCnPr>
                          <a:cxnSpLocks noChangeShapeType="1"/>
                        </wps:cNvCnPr>
                        <wps:spPr bwMode="auto">
                          <a:xfrm flipH="1">
                            <a:off x="2800" y="280628"/>
                            <a:ext cx="200" cy="5942087"/>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g:wgp>
                        <wpg:cNvPr id="883945303" name="Группа 883945303"/>
                        <wpg:cNvGrpSpPr/>
                        <wpg:grpSpPr>
                          <a:xfrm>
                            <a:off x="0" y="7901"/>
                            <a:ext cx="5922010" cy="6825243"/>
                            <a:chOff x="0" y="7901"/>
                            <a:chExt cx="5922010" cy="6825243"/>
                          </a:xfrm>
                        </wpg:grpSpPr>
                        <wps:wsp>
                          <wps:cNvPr id="112533976" name="Выноска со стрелкой вниз 1384"/>
                          <wps:cNvSpPr>
                            <a:spLocks noChangeArrowheads="1"/>
                          </wps:cNvSpPr>
                          <wps:spPr bwMode="auto">
                            <a:xfrm>
                              <a:off x="1600249" y="7901"/>
                              <a:ext cx="4321761" cy="409140"/>
                            </a:xfrm>
                            <a:prstGeom prst="downArrowCallout">
                              <a:avLst>
                                <a:gd name="adj1" fmla="val 25042"/>
                                <a:gd name="adj2" fmla="val 24993"/>
                                <a:gd name="adj3" fmla="val 25000"/>
                                <a:gd name="adj4" fmla="val 64977"/>
                              </a:avLst>
                            </a:prstGeom>
                            <a:solidFill>
                              <a:schemeClr val="lt1">
                                <a:lumMod val="100000"/>
                                <a:lumOff val="0"/>
                              </a:schemeClr>
                            </a:solidFill>
                            <a:ln w="3175">
                              <a:solidFill>
                                <a:schemeClr val="dk1">
                                  <a:lumMod val="100000"/>
                                  <a:lumOff val="0"/>
                                </a:schemeClr>
                              </a:solidFill>
                              <a:miter lim="800000"/>
                              <a:headEnd/>
                              <a:tailEnd/>
                            </a:ln>
                          </wps:spPr>
                          <wps:txbx>
                            <w:txbxContent>
                              <w:p w14:paraId="3F0AEAB8" w14:textId="77777777" w:rsidR="00280952" w:rsidRPr="00652D46" w:rsidRDefault="00280952" w:rsidP="00280952">
                                <w:pPr>
                                  <w:jc w:val="center"/>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Характеристика </w:t>
                                </w:r>
                              </w:p>
                            </w:txbxContent>
                          </wps:txbx>
                          <wps:bodyPr rot="0" vert="horz" wrap="square" lIns="91440" tIns="45720" rIns="91440" bIns="45720" anchor="ctr" anchorCtr="0" upright="1">
                            <a:noAutofit/>
                          </wps:bodyPr>
                        </wps:wsp>
                        <wps:wsp>
                          <wps:cNvPr id="108605857" name="Прямоугольник 1390"/>
                          <wps:cNvSpPr>
                            <a:spLocks noChangeArrowheads="1"/>
                          </wps:cNvSpPr>
                          <wps:spPr bwMode="auto">
                            <a:xfrm>
                              <a:off x="1600149" y="417041"/>
                              <a:ext cx="4321761" cy="810280"/>
                            </a:xfrm>
                            <a:prstGeom prst="rect">
                              <a:avLst/>
                            </a:prstGeom>
                            <a:solidFill>
                              <a:schemeClr val="lt1">
                                <a:lumMod val="100000"/>
                                <a:lumOff val="0"/>
                              </a:schemeClr>
                            </a:solidFill>
                            <a:ln w="3175">
                              <a:solidFill>
                                <a:schemeClr val="dk1">
                                  <a:lumMod val="100000"/>
                                  <a:lumOff val="0"/>
                                </a:schemeClr>
                              </a:solidFill>
                              <a:miter lim="800000"/>
                              <a:headEnd/>
                              <a:tailEnd/>
                            </a:ln>
                          </wps:spPr>
                          <wps:txbx>
                            <w:txbxContent>
                              <w:p w14:paraId="20DB647F" w14:textId="77777777" w:rsidR="00280952" w:rsidRPr="00652D46" w:rsidRDefault="00280952" w:rsidP="00280952">
                                <w:pPr>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порівняння; коефіцієнтів; групувань; графічний; табличного відображення даних; операційно-вартісний; горизонтальний; вертикальний; факторний; методи статистичного та </w:t>
                                </w:r>
                                <w:r>
                                  <w:rPr>
                                    <w:rFonts w:ascii="Times New Roman" w:hAnsi="Times New Roman" w:cs="Times New Roman"/>
                                    <w:sz w:val="24"/>
                                    <w:szCs w:val="24"/>
                                    <w:lang w:val="uk-UA"/>
                                  </w:rPr>
                                  <w:t>економіко-математичного аналізу</w:t>
                                </w:r>
                              </w:p>
                              <w:p w14:paraId="1BAB12D6" w14:textId="77777777" w:rsidR="00280952" w:rsidRPr="00652D46" w:rsidRDefault="00280952" w:rsidP="00280952">
                                <w:pPr>
                                  <w:jc w:val="both"/>
                                  <w:rPr>
                                    <w:rFonts w:ascii="Times New Roman" w:hAnsi="Times New Roman" w:cs="Times New Roman"/>
                                    <w:sz w:val="24"/>
                                    <w:szCs w:val="24"/>
                                    <w:lang w:val="uk-UA"/>
                                  </w:rPr>
                                </w:pPr>
                              </w:p>
                            </w:txbxContent>
                          </wps:txbx>
                          <wps:bodyPr rot="0" vert="horz" wrap="square" lIns="91440" tIns="45720" rIns="91440" bIns="45720" anchor="ctr" anchorCtr="0" upright="1">
                            <a:noAutofit/>
                          </wps:bodyPr>
                        </wps:wsp>
                        <wps:wsp>
                          <wps:cNvPr id="1369291645" name="Стрелка вправо 1391"/>
                          <wps:cNvSpPr>
                            <a:spLocks noChangeArrowheads="1"/>
                          </wps:cNvSpPr>
                          <wps:spPr bwMode="auto">
                            <a:xfrm>
                              <a:off x="123096" y="417041"/>
                              <a:ext cx="1477053" cy="1002899"/>
                            </a:xfrm>
                            <a:prstGeom prst="rightArrow">
                              <a:avLst>
                                <a:gd name="adj1" fmla="val 50000"/>
                                <a:gd name="adj2" fmla="val 50006"/>
                              </a:avLst>
                            </a:prstGeom>
                            <a:solidFill>
                              <a:schemeClr val="lt1">
                                <a:lumMod val="100000"/>
                                <a:lumOff val="0"/>
                              </a:schemeClr>
                            </a:solidFill>
                            <a:ln w="3175">
                              <a:solidFill>
                                <a:schemeClr val="dk1">
                                  <a:lumMod val="100000"/>
                                  <a:lumOff val="0"/>
                                </a:schemeClr>
                              </a:solidFill>
                              <a:miter lim="800000"/>
                              <a:headEnd/>
                              <a:tailEnd/>
                            </a:ln>
                          </wps:spPr>
                          <wps:txbx>
                            <w:txbxContent>
                              <w:p w14:paraId="0CFE6626" w14:textId="77777777" w:rsidR="00280952" w:rsidRPr="00652D46" w:rsidRDefault="00280952" w:rsidP="00280952">
                                <w:pPr>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Методи </w:t>
                                </w:r>
                                <w:r>
                                  <w:rPr>
                                    <w:rFonts w:ascii="Times New Roman" w:hAnsi="Times New Roman" w:cs="Times New Roman"/>
                                    <w:sz w:val="24"/>
                                    <w:szCs w:val="24"/>
                                    <w:lang w:val="uk-UA"/>
                                  </w:rPr>
                                  <w:t xml:space="preserve">аналізу </w:t>
                                </w:r>
                              </w:p>
                            </w:txbxContent>
                          </wps:txbx>
                          <wps:bodyPr rot="0" vert="horz" wrap="square" lIns="91440" tIns="45720" rIns="91440" bIns="45720" anchor="ctr" anchorCtr="0" upright="1">
                            <a:noAutofit/>
                          </wps:bodyPr>
                        </wps:wsp>
                        <wps:wsp>
                          <wps:cNvPr id="528885302" name="Прямоугольник 1392"/>
                          <wps:cNvSpPr>
                            <a:spLocks noChangeArrowheads="1"/>
                          </wps:cNvSpPr>
                          <wps:spPr bwMode="auto">
                            <a:xfrm>
                              <a:off x="1599949" y="1291428"/>
                              <a:ext cx="4321661" cy="2013099"/>
                            </a:xfrm>
                            <a:prstGeom prst="rect">
                              <a:avLst/>
                            </a:prstGeom>
                            <a:solidFill>
                              <a:schemeClr val="lt1">
                                <a:lumMod val="100000"/>
                                <a:lumOff val="0"/>
                              </a:schemeClr>
                            </a:solidFill>
                            <a:ln w="3175">
                              <a:solidFill>
                                <a:schemeClr val="dk1">
                                  <a:lumMod val="100000"/>
                                  <a:lumOff val="0"/>
                                </a:schemeClr>
                              </a:solidFill>
                              <a:miter lim="800000"/>
                              <a:headEnd/>
                              <a:tailEnd/>
                            </a:ln>
                          </wps:spPr>
                          <wps:txbx>
                            <w:txbxContent>
                              <w:p w14:paraId="16A18172" w14:textId="0904EFFF"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стратегічний (SWOT-аналіз, PEST-аналіз, бенчмаркінг, побудова прогнозних моделей)</w:t>
                                </w:r>
                                <w:r>
                                  <w:rPr>
                                    <w:rFonts w:ascii="Times New Roman" w:hAnsi="Times New Roman" w:cs="Times New Roman"/>
                                    <w:sz w:val="24"/>
                                    <w:szCs w:val="24"/>
                                    <w:lang w:val="uk-UA"/>
                                  </w:rPr>
                                  <w:t>. Застосовується для розробки стратегії забезпечення ФСБ</w:t>
                                </w:r>
                                <w:r w:rsidRPr="00652D46">
                                  <w:rPr>
                                    <w:rFonts w:ascii="Times New Roman" w:hAnsi="Times New Roman" w:cs="Times New Roman"/>
                                    <w:sz w:val="24"/>
                                    <w:szCs w:val="24"/>
                                    <w:lang w:val="uk-UA"/>
                                  </w:rPr>
                                  <w:t>;</w:t>
                                </w:r>
                              </w:p>
                              <w:p w14:paraId="4CEFAA63" w14:textId="77777777"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тактичний (дескриптивні моделі, засновані на використанні </w:t>
                                </w:r>
                                <w:r>
                                  <w:rPr>
                                    <w:rFonts w:ascii="Times New Roman" w:hAnsi="Times New Roman" w:cs="Times New Roman"/>
                                    <w:sz w:val="24"/>
                                    <w:szCs w:val="24"/>
                                    <w:lang w:val="uk-UA"/>
                                  </w:rPr>
                                  <w:t xml:space="preserve">фінансової </w:t>
                                </w:r>
                                <w:r w:rsidRPr="00652D46">
                                  <w:rPr>
                                    <w:rFonts w:ascii="Times New Roman" w:hAnsi="Times New Roman" w:cs="Times New Roman"/>
                                    <w:sz w:val="24"/>
                                    <w:szCs w:val="24"/>
                                    <w:lang w:val="uk-UA"/>
                                  </w:rPr>
                                  <w:t xml:space="preserve">звітності: складання форм звітності, надання звітності </w:t>
                                </w:r>
                                <w:r>
                                  <w:rPr>
                                    <w:rFonts w:ascii="Times New Roman" w:hAnsi="Times New Roman" w:cs="Times New Roman"/>
                                    <w:sz w:val="24"/>
                                    <w:szCs w:val="24"/>
                                    <w:lang w:val="uk-UA"/>
                                  </w:rPr>
                                  <w:t>у</w:t>
                                </w:r>
                                <w:r w:rsidRPr="00652D46">
                                  <w:rPr>
                                    <w:rFonts w:ascii="Times New Roman" w:hAnsi="Times New Roman" w:cs="Times New Roman"/>
                                    <w:sz w:val="24"/>
                                    <w:szCs w:val="24"/>
                                    <w:lang w:val="uk-UA"/>
                                  </w:rPr>
                                  <w:t xml:space="preserve"> різних аналітичних розрізах, вертикальний, горизонтальний, коефіцієнтний аналіз</w:t>
                                </w:r>
                                <w:r>
                                  <w:rPr>
                                    <w:rFonts w:ascii="Times New Roman" w:hAnsi="Times New Roman" w:cs="Times New Roman"/>
                                    <w:sz w:val="24"/>
                                    <w:szCs w:val="24"/>
                                    <w:lang w:val="uk-UA"/>
                                  </w:rPr>
                                  <w:t>). Застосовується для розробки контрольних заходів</w:t>
                                </w:r>
                                <w:r w:rsidRPr="00652D46">
                                  <w:rPr>
                                    <w:rFonts w:ascii="Times New Roman" w:hAnsi="Times New Roman" w:cs="Times New Roman"/>
                                    <w:sz w:val="24"/>
                                    <w:szCs w:val="24"/>
                                    <w:lang w:val="uk-UA"/>
                                  </w:rPr>
                                  <w:t xml:space="preserve">; </w:t>
                                </w:r>
                              </w:p>
                              <w:p w14:paraId="216865BE" w14:textId="13C4888C"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оперативний (моделі, </w:t>
                                </w:r>
                                <w:r>
                                  <w:rPr>
                                    <w:rFonts w:ascii="Times New Roman" w:hAnsi="Times New Roman" w:cs="Times New Roman"/>
                                    <w:sz w:val="24"/>
                                    <w:szCs w:val="24"/>
                                    <w:lang w:val="uk-UA"/>
                                  </w:rPr>
                                  <w:t>що</w:t>
                                </w:r>
                                <w:r w:rsidRPr="00652D46">
                                  <w:rPr>
                                    <w:rFonts w:ascii="Times New Roman" w:hAnsi="Times New Roman" w:cs="Times New Roman"/>
                                    <w:sz w:val="24"/>
                                    <w:szCs w:val="24"/>
                                    <w:lang w:val="uk-UA"/>
                                  </w:rPr>
                                  <w:t xml:space="preserve"> встановлюють норматив</w:t>
                                </w:r>
                                <w:r>
                                  <w:rPr>
                                    <w:rFonts w:ascii="Times New Roman" w:hAnsi="Times New Roman" w:cs="Times New Roman"/>
                                    <w:sz w:val="24"/>
                                    <w:szCs w:val="24"/>
                                    <w:lang w:val="uk-UA"/>
                                  </w:rPr>
                                  <w:t>ні значення</w:t>
                                </w:r>
                                <w:r w:rsidRPr="00652D46">
                                  <w:rPr>
                                    <w:rFonts w:ascii="Times New Roman" w:hAnsi="Times New Roman" w:cs="Times New Roman"/>
                                    <w:sz w:val="24"/>
                                    <w:szCs w:val="24"/>
                                    <w:lang w:val="uk-UA"/>
                                  </w:rPr>
                                  <w:t xml:space="preserve"> показників ФС</w:t>
                                </w:r>
                                <w:r>
                                  <w:rPr>
                                    <w:rFonts w:ascii="Times New Roman" w:hAnsi="Times New Roman" w:cs="Times New Roman"/>
                                    <w:sz w:val="24"/>
                                    <w:szCs w:val="24"/>
                                    <w:lang w:val="uk-UA"/>
                                  </w:rPr>
                                  <w:t>Б</w:t>
                                </w:r>
                                <w:r w:rsidRPr="00652D46">
                                  <w:rPr>
                                    <w:rFonts w:ascii="Times New Roman" w:hAnsi="Times New Roman" w:cs="Times New Roman"/>
                                    <w:sz w:val="24"/>
                                    <w:szCs w:val="24"/>
                                    <w:lang w:val="uk-UA"/>
                                  </w:rPr>
                                  <w:t xml:space="preserve"> та</w:t>
                                </w:r>
                                <w:r>
                                  <w:rPr>
                                    <w:rFonts w:ascii="Times New Roman" w:hAnsi="Times New Roman" w:cs="Times New Roman"/>
                                    <w:sz w:val="24"/>
                                    <w:szCs w:val="24"/>
                                    <w:lang w:val="uk-UA"/>
                                  </w:rPr>
                                  <w:t xml:space="preserve"> передбачають</w:t>
                                </w:r>
                                <w:r w:rsidRPr="00652D46">
                                  <w:rPr>
                                    <w:rFonts w:ascii="Times New Roman" w:hAnsi="Times New Roman" w:cs="Times New Roman"/>
                                    <w:sz w:val="24"/>
                                    <w:szCs w:val="24"/>
                                    <w:lang w:val="uk-UA"/>
                                  </w:rPr>
                                  <w:t xml:space="preserve"> аналіз відхилень фактичних даних)</w:t>
                                </w:r>
                                <w:r>
                                  <w:rPr>
                                    <w:rFonts w:ascii="Times New Roman" w:hAnsi="Times New Roman" w:cs="Times New Roman"/>
                                    <w:sz w:val="24"/>
                                    <w:szCs w:val="24"/>
                                    <w:lang w:val="uk-UA"/>
                                  </w:rPr>
                                  <w:t>. Застосовується в процесі регулювання</w:t>
                                </w:r>
                              </w:p>
                            </w:txbxContent>
                          </wps:txbx>
                          <wps:bodyPr rot="0" vert="horz" wrap="square" lIns="91440" tIns="45720" rIns="91440" bIns="45720" anchor="ctr" anchorCtr="0" upright="1">
                            <a:noAutofit/>
                          </wps:bodyPr>
                        </wps:wsp>
                        <wps:wsp>
                          <wps:cNvPr id="1723572528" name="Стрелка вправо 1393"/>
                          <wps:cNvSpPr>
                            <a:spLocks noChangeArrowheads="1"/>
                          </wps:cNvSpPr>
                          <wps:spPr bwMode="auto">
                            <a:xfrm>
                              <a:off x="122996" y="2108008"/>
                              <a:ext cx="1477053" cy="1002999"/>
                            </a:xfrm>
                            <a:prstGeom prst="rightArrow">
                              <a:avLst>
                                <a:gd name="adj1" fmla="val 50000"/>
                                <a:gd name="adj2" fmla="val 49994"/>
                              </a:avLst>
                            </a:prstGeom>
                            <a:solidFill>
                              <a:schemeClr val="lt1">
                                <a:lumMod val="100000"/>
                                <a:lumOff val="0"/>
                              </a:schemeClr>
                            </a:solidFill>
                            <a:ln w="3175">
                              <a:solidFill>
                                <a:schemeClr val="dk1">
                                  <a:lumMod val="100000"/>
                                  <a:lumOff val="0"/>
                                </a:schemeClr>
                              </a:solidFill>
                              <a:miter lim="800000"/>
                              <a:headEnd/>
                              <a:tailEnd/>
                            </a:ln>
                          </wps:spPr>
                          <wps:txbx>
                            <w:txbxContent>
                              <w:p w14:paraId="3D13F254" w14:textId="77777777" w:rsidR="00280952" w:rsidRPr="00652D46" w:rsidRDefault="00280952" w:rsidP="00280952">
                                <w:pPr>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Ієрархія аналізу</w:t>
                                </w:r>
                              </w:p>
                            </w:txbxContent>
                          </wps:txbx>
                          <wps:bodyPr rot="0" vert="horz" wrap="square" lIns="91440" tIns="45720" rIns="91440" bIns="45720" anchor="ctr" anchorCtr="0" upright="1">
                            <a:noAutofit/>
                          </wps:bodyPr>
                        </wps:wsp>
                        <wps:wsp>
                          <wps:cNvPr id="684595030" name="Прямоугольник 1394"/>
                          <wps:cNvSpPr>
                            <a:spLocks noChangeArrowheads="1"/>
                          </wps:cNvSpPr>
                          <wps:spPr bwMode="auto">
                            <a:xfrm>
                              <a:off x="1600049" y="3365133"/>
                              <a:ext cx="4321661" cy="1371936"/>
                            </a:xfrm>
                            <a:prstGeom prst="rect">
                              <a:avLst/>
                            </a:prstGeom>
                            <a:solidFill>
                              <a:schemeClr val="lt1">
                                <a:lumMod val="100000"/>
                                <a:lumOff val="0"/>
                              </a:schemeClr>
                            </a:solidFill>
                            <a:ln w="3175">
                              <a:solidFill>
                                <a:schemeClr val="dk1">
                                  <a:lumMod val="100000"/>
                                  <a:lumOff val="0"/>
                                </a:schemeClr>
                              </a:solidFill>
                              <a:miter lim="800000"/>
                              <a:headEnd/>
                              <a:tailEnd/>
                            </a:ln>
                          </wps:spPr>
                          <wps:txbx>
                            <w:txbxContent>
                              <w:p w14:paraId="41446538" w14:textId="00A18E92"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попередній (обґрунтування управлінських рішень та формування </w:t>
                                </w:r>
                                <w:r>
                                  <w:rPr>
                                    <w:rFonts w:ascii="Times New Roman" w:hAnsi="Times New Roman" w:cs="Times New Roman"/>
                                    <w:sz w:val="24"/>
                                    <w:szCs w:val="24"/>
                                    <w:lang w:val="uk-UA"/>
                                  </w:rPr>
                                  <w:t xml:space="preserve">фінансової стратегії забезпечення ФСБ та </w:t>
                                </w:r>
                                <w:r w:rsidRPr="00652D46">
                                  <w:rPr>
                                    <w:rFonts w:ascii="Times New Roman" w:hAnsi="Times New Roman" w:cs="Times New Roman"/>
                                    <w:sz w:val="24"/>
                                    <w:szCs w:val="24"/>
                                    <w:lang w:val="uk-UA"/>
                                  </w:rPr>
                                  <w:t>планів);</w:t>
                                </w:r>
                              </w:p>
                              <w:p w14:paraId="77EBF3FA" w14:textId="4C23A07C"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поточний (оперативна оцінка змін показників</w:t>
                                </w:r>
                                <w:r>
                                  <w:rPr>
                                    <w:rFonts w:ascii="Times New Roman" w:hAnsi="Times New Roman" w:cs="Times New Roman"/>
                                    <w:sz w:val="24"/>
                                    <w:szCs w:val="24"/>
                                    <w:lang w:val="uk-UA"/>
                                  </w:rPr>
                                  <w:t xml:space="preserve"> ФСБ</w:t>
                                </w:r>
                                <w:r w:rsidRPr="00652D46">
                                  <w:rPr>
                                    <w:rFonts w:ascii="Times New Roman" w:hAnsi="Times New Roman" w:cs="Times New Roman"/>
                                    <w:sz w:val="24"/>
                                    <w:szCs w:val="24"/>
                                    <w:lang w:val="uk-UA"/>
                                  </w:rPr>
                                  <w:t>, виявлення небажаних відхилень та причин їх виникнення, своєчасне проведення заходів щодо їх усунення);</w:t>
                                </w:r>
                              </w:p>
                              <w:p w14:paraId="31FBA778" w14:textId="6DAFDFD5"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ретроспективний (накопичення інформації про стан об’єктів управління </w:t>
                                </w:r>
                                <w:r>
                                  <w:rPr>
                                    <w:rFonts w:ascii="Times New Roman" w:hAnsi="Times New Roman" w:cs="Times New Roman"/>
                                    <w:sz w:val="24"/>
                                    <w:szCs w:val="24"/>
                                    <w:lang w:val="uk-UA"/>
                                  </w:rPr>
                                  <w:t>ФСБ</w:t>
                                </w:r>
                                <w:r w:rsidRPr="00652D46">
                                  <w:rPr>
                                    <w:rFonts w:ascii="Times New Roman" w:hAnsi="Times New Roman" w:cs="Times New Roman"/>
                                    <w:sz w:val="24"/>
                                    <w:szCs w:val="24"/>
                                    <w:lang w:val="uk-UA"/>
                                  </w:rPr>
                                  <w:t xml:space="preserve"> та ефективності </w:t>
                                </w:r>
                                <w:r>
                                  <w:rPr>
                                    <w:rFonts w:ascii="Times New Roman" w:hAnsi="Times New Roman" w:cs="Times New Roman"/>
                                    <w:sz w:val="24"/>
                                    <w:szCs w:val="24"/>
                                    <w:lang w:val="uk-UA"/>
                                  </w:rPr>
                                  <w:t>ФСБ</w:t>
                                </w:r>
                                <w:r w:rsidRPr="00652D46">
                                  <w:rPr>
                                    <w:rFonts w:ascii="Times New Roman" w:hAnsi="Times New Roman" w:cs="Times New Roman"/>
                                    <w:sz w:val="24"/>
                                    <w:szCs w:val="24"/>
                                    <w:lang w:val="uk-UA"/>
                                  </w:rPr>
                                  <w:t>)</w:t>
                                </w:r>
                              </w:p>
                            </w:txbxContent>
                          </wps:txbx>
                          <wps:bodyPr rot="0" vert="horz" wrap="square" lIns="91440" tIns="45720" rIns="91440" bIns="45720" anchor="ctr" anchorCtr="0" upright="1">
                            <a:noAutofit/>
                          </wps:bodyPr>
                        </wps:wsp>
                        <wps:wsp>
                          <wps:cNvPr id="1563414951" name="Стрелка вправо 1395"/>
                          <wps:cNvSpPr>
                            <a:spLocks noChangeArrowheads="1"/>
                          </wps:cNvSpPr>
                          <wps:spPr bwMode="auto">
                            <a:xfrm>
                              <a:off x="122996" y="3593955"/>
                              <a:ext cx="1477053" cy="1002999"/>
                            </a:xfrm>
                            <a:prstGeom prst="rightArrow">
                              <a:avLst>
                                <a:gd name="adj1" fmla="val 50000"/>
                                <a:gd name="adj2" fmla="val 50001"/>
                              </a:avLst>
                            </a:prstGeom>
                            <a:solidFill>
                              <a:schemeClr val="lt1">
                                <a:lumMod val="100000"/>
                                <a:lumOff val="0"/>
                              </a:schemeClr>
                            </a:solidFill>
                            <a:ln w="3175">
                              <a:solidFill>
                                <a:schemeClr val="dk1">
                                  <a:lumMod val="100000"/>
                                  <a:lumOff val="0"/>
                                </a:schemeClr>
                              </a:solidFill>
                              <a:miter lim="800000"/>
                              <a:headEnd/>
                              <a:tailEnd/>
                            </a:ln>
                          </wps:spPr>
                          <wps:txbx>
                            <w:txbxContent>
                              <w:p w14:paraId="1E5484EE" w14:textId="77777777" w:rsidR="00280952" w:rsidRPr="00652D46" w:rsidRDefault="00280952" w:rsidP="00280952">
                                <w:pPr>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Період</w:t>
                                </w:r>
                                <w:r>
                                  <w:rPr>
                                    <w:rFonts w:ascii="Times New Roman" w:hAnsi="Times New Roman" w:cs="Times New Roman"/>
                                    <w:sz w:val="24"/>
                                    <w:szCs w:val="24"/>
                                    <w:lang w:val="uk-UA"/>
                                  </w:rPr>
                                  <w:t xml:space="preserve"> аналізу</w:t>
                                </w:r>
                              </w:p>
                            </w:txbxContent>
                          </wps:txbx>
                          <wps:bodyPr rot="0" vert="horz" wrap="square" lIns="91440" tIns="45720" rIns="91440" bIns="45720" anchor="ctr" anchorCtr="0" upright="1">
                            <a:noAutofit/>
                          </wps:bodyPr>
                        </wps:wsp>
                        <wps:wsp>
                          <wps:cNvPr id="442576134" name="Прямоугольник 1396"/>
                          <wps:cNvSpPr>
                            <a:spLocks noChangeArrowheads="1"/>
                          </wps:cNvSpPr>
                          <wps:spPr bwMode="auto">
                            <a:xfrm>
                              <a:off x="1600149" y="4851079"/>
                              <a:ext cx="4321661" cy="686168"/>
                            </a:xfrm>
                            <a:prstGeom prst="rect">
                              <a:avLst/>
                            </a:prstGeom>
                            <a:solidFill>
                              <a:schemeClr val="lt1">
                                <a:lumMod val="100000"/>
                                <a:lumOff val="0"/>
                              </a:schemeClr>
                            </a:solidFill>
                            <a:ln w="3175">
                              <a:solidFill>
                                <a:schemeClr val="dk1">
                                  <a:lumMod val="100000"/>
                                  <a:lumOff val="0"/>
                                </a:schemeClr>
                              </a:solidFill>
                              <a:miter lim="800000"/>
                              <a:headEnd/>
                              <a:tailEnd/>
                            </a:ln>
                          </wps:spPr>
                          <wps:txbx>
                            <w:txbxContent>
                              <w:p w14:paraId="2B7C6C3D" w14:textId="7B942CF2"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повний (об’єктом аналізу є сукупність </w:t>
                                </w:r>
                                <w:r>
                                  <w:rPr>
                                    <w:rFonts w:ascii="Times New Roman" w:hAnsi="Times New Roman" w:cs="Times New Roman"/>
                                    <w:sz w:val="24"/>
                                    <w:szCs w:val="24"/>
                                    <w:lang w:val="uk-UA"/>
                                  </w:rPr>
                                  <w:t>у</w:t>
                                </w:r>
                                <w:r w:rsidRPr="00652D46">
                                  <w:rPr>
                                    <w:rFonts w:ascii="Times New Roman" w:hAnsi="Times New Roman" w:cs="Times New Roman"/>
                                    <w:sz w:val="24"/>
                                    <w:szCs w:val="24"/>
                                    <w:lang w:val="uk-UA"/>
                                  </w:rPr>
                                  <w:t xml:space="preserve">сіх об’єктів </w:t>
                                </w:r>
                                <w:r>
                                  <w:rPr>
                                    <w:rFonts w:ascii="Times New Roman" w:hAnsi="Times New Roman" w:cs="Times New Roman"/>
                                    <w:sz w:val="24"/>
                                    <w:szCs w:val="24"/>
                                    <w:lang w:val="uk-UA"/>
                                  </w:rPr>
                                  <w:t>ФСБ</w:t>
                                </w:r>
                                <w:r w:rsidRPr="00652D46">
                                  <w:rPr>
                                    <w:rFonts w:ascii="Times New Roman" w:hAnsi="Times New Roman" w:cs="Times New Roman"/>
                                    <w:sz w:val="24"/>
                                    <w:szCs w:val="24"/>
                                    <w:lang w:val="uk-UA"/>
                                  </w:rPr>
                                  <w:t>);</w:t>
                                </w:r>
                              </w:p>
                              <w:p w14:paraId="5F512877" w14:textId="7622D122"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вибірковий (об’єктом аналізу є окремі аспекти</w:t>
                                </w:r>
                                <w:r>
                                  <w:rPr>
                                    <w:rFonts w:ascii="Times New Roman" w:hAnsi="Times New Roman" w:cs="Times New Roman"/>
                                    <w:sz w:val="24"/>
                                    <w:szCs w:val="24"/>
                                    <w:lang w:val="uk-UA"/>
                                  </w:rPr>
                                  <w:t>/види діяльності банку</w:t>
                                </w:r>
                                <w:r w:rsidRPr="00652D46">
                                  <w:rPr>
                                    <w:rFonts w:ascii="Times New Roman" w:hAnsi="Times New Roman" w:cs="Times New Roman"/>
                                    <w:sz w:val="24"/>
                                    <w:szCs w:val="24"/>
                                    <w:lang w:val="uk-UA"/>
                                  </w:rPr>
                                  <w:t xml:space="preserve"> або окремі об’єкти </w:t>
                                </w:r>
                                <w:r>
                                  <w:rPr>
                                    <w:rFonts w:ascii="Times New Roman" w:hAnsi="Times New Roman" w:cs="Times New Roman"/>
                                    <w:sz w:val="24"/>
                                    <w:szCs w:val="24"/>
                                    <w:lang w:val="uk-UA"/>
                                  </w:rPr>
                                  <w:t>ФСБ</w:t>
                                </w:r>
                                <w:r w:rsidRPr="00652D46">
                                  <w:rPr>
                                    <w:rFonts w:ascii="Times New Roman" w:hAnsi="Times New Roman" w:cs="Times New Roman"/>
                                    <w:sz w:val="24"/>
                                    <w:szCs w:val="24"/>
                                    <w:lang w:val="uk-UA"/>
                                  </w:rPr>
                                  <w:t>)</w:t>
                                </w:r>
                              </w:p>
                            </w:txbxContent>
                          </wps:txbx>
                          <wps:bodyPr rot="0" vert="horz" wrap="square" lIns="91440" tIns="45720" rIns="91440" bIns="45720" anchor="ctr" anchorCtr="0" upright="1">
                            <a:noAutofit/>
                          </wps:bodyPr>
                        </wps:wsp>
                        <wps:wsp>
                          <wps:cNvPr id="1152882160" name="Стрелка вправо 1397"/>
                          <wps:cNvSpPr>
                            <a:spLocks noChangeArrowheads="1"/>
                          </wps:cNvSpPr>
                          <wps:spPr bwMode="auto">
                            <a:xfrm>
                              <a:off x="122996" y="4850879"/>
                              <a:ext cx="1477253" cy="736273"/>
                            </a:xfrm>
                            <a:prstGeom prst="rightArrow">
                              <a:avLst>
                                <a:gd name="adj1" fmla="val 50000"/>
                                <a:gd name="adj2" fmla="val 65170"/>
                              </a:avLst>
                            </a:prstGeom>
                            <a:solidFill>
                              <a:schemeClr val="lt1">
                                <a:lumMod val="100000"/>
                                <a:lumOff val="0"/>
                              </a:schemeClr>
                            </a:solidFill>
                            <a:ln w="3175">
                              <a:solidFill>
                                <a:schemeClr val="dk1">
                                  <a:lumMod val="100000"/>
                                  <a:lumOff val="0"/>
                                </a:schemeClr>
                              </a:solidFill>
                              <a:miter lim="800000"/>
                              <a:headEnd/>
                              <a:tailEnd/>
                            </a:ln>
                          </wps:spPr>
                          <wps:txbx>
                            <w:txbxContent>
                              <w:p w14:paraId="478A41EF" w14:textId="77777777" w:rsidR="00280952" w:rsidRPr="00652D46" w:rsidRDefault="00280952" w:rsidP="00280952">
                                <w:pPr>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Тип аналізу</w:t>
                                </w:r>
                              </w:p>
                            </w:txbxContent>
                          </wps:txbx>
                          <wps:bodyPr rot="0" vert="horz" wrap="square" lIns="91440" tIns="45720" rIns="91440" bIns="45720" anchor="ctr" anchorCtr="0" upright="1">
                            <a:noAutofit/>
                          </wps:bodyPr>
                        </wps:wsp>
                        <wps:wsp>
                          <wps:cNvPr id="1134441145" name="Прямоугольник 1398"/>
                          <wps:cNvSpPr>
                            <a:spLocks noChangeArrowheads="1"/>
                          </wps:cNvSpPr>
                          <wps:spPr bwMode="auto">
                            <a:xfrm>
                              <a:off x="1600149" y="5650859"/>
                              <a:ext cx="4321861" cy="1182285"/>
                            </a:xfrm>
                            <a:prstGeom prst="rect">
                              <a:avLst/>
                            </a:prstGeom>
                            <a:solidFill>
                              <a:schemeClr val="lt1">
                                <a:lumMod val="100000"/>
                                <a:lumOff val="0"/>
                              </a:schemeClr>
                            </a:solidFill>
                            <a:ln w="3175">
                              <a:solidFill>
                                <a:schemeClr val="dk1">
                                  <a:lumMod val="100000"/>
                                  <a:lumOff val="0"/>
                                </a:schemeClr>
                              </a:solidFill>
                              <a:miter lim="800000"/>
                              <a:headEnd/>
                              <a:tailEnd/>
                            </a:ln>
                          </wps:spPr>
                          <wps:txbx>
                            <w:txbxContent>
                              <w:p w14:paraId="1E104C76" w14:textId="40DF1F0A"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разовий (проводиться епізодично за якихось певних умов (у разі форс-мажор</w:t>
                                </w:r>
                                <w:r>
                                  <w:rPr>
                                    <w:rFonts w:ascii="Times New Roman" w:hAnsi="Times New Roman" w:cs="Times New Roman"/>
                                    <w:sz w:val="24"/>
                                    <w:szCs w:val="24"/>
                                    <w:lang w:val="uk-UA"/>
                                  </w:rPr>
                                  <w:t>у; змін в операційному середовищі</w:t>
                                </w:r>
                                <w:r w:rsidRPr="00652D46">
                                  <w:rPr>
                                    <w:rFonts w:ascii="Times New Roman" w:hAnsi="Times New Roman" w:cs="Times New Roman"/>
                                    <w:sz w:val="24"/>
                                    <w:szCs w:val="24"/>
                                    <w:lang w:val="uk-UA"/>
                                  </w:rPr>
                                  <w:t>);</w:t>
                                </w:r>
                              </w:p>
                              <w:p w14:paraId="72520E26" w14:textId="77777777"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періодичний (проводиться систематично через певний інтервал часу: щоденний, тижневий, декадний, місячний, квартальний, річний)</w:t>
                                </w:r>
                              </w:p>
                            </w:txbxContent>
                          </wps:txbx>
                          <wps:bodyPr rot="0" vert="horz" wrap="square" lIns="91440" tIns="45720" rIns="91440" bIns="45720" anchor="ctr" anchorCtr="0" upright="1">
                            <a:noAutofit/>
                          </wps:bodyPr>
                        </wps:wsp>
                        <wps:wsp>
                          <wps:cNvPr id="1474894342" name="Стрелка вправо 1399"/>
                          <wps:cNvSpPr>
                            <a:spLocks noChangeArrowheads="1"/>
                          </wps:cNvSpPr>
                          <wps:spPr bwMode="auto">
                            <a:xfrm>
                              <a:off x="122996" y="5765870"/>
                              <a:ext cx="1477253" cy="736173"/>
                            </a:xfrm>
                            <a:prstGeom prst="rightArrow">
                              <a:avLst>
                                <a:gd name="adj1" fmla="val 50000"/>
                                <a:gd name="adj2" fmla="val 65179"/>
                              </a:avLst>
                            </a:prstGeom>
                            <a:solidFill>
                              <a:schemeClr val="lt1">
                                <a:lumMod val="100000"/>
                                <a:lumOff val="0"/>
                              </a:schemeClr>
                            </a:solidFill>
                            <a:ln w="3175">
                              <a:solidFill>
                                <a:schemeClr val="dk1">
                                  <a:lumMod val="100000"/>
                                  <a:lumOff val="0"/>
                                </a:schemeClr>
                              </a:solidFill>
                              <a:miter lim="800000"/>
                              <a:headEnd/>
                              <a:tailEnd/>
                            </a:ln>
                          </wps:spPr>
                          <wps:txbx>
                            <w:txbxContent>
                              <w:p w14:paraId="50F5CC5A" w14:textId="77777777" w:rsidR="00280952" w:rsidRPr="00652D46" w:rsidRDefault="00280952" w:rsidP="00280952">
                                <w:pPr>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Частота аналізу</w:t>
                                </w:r>
                              </w:p>
                            </w:txbxContent>
                          </wps:txbx>
                          <wps:bodyPr rot="0" vert="horz" wrap="square" lIns="91440" tIns="45720" rIns="91440" bIns="45720" anchor="ctr" anchorCtr="0" upright="1">
                            <a:noAutofit/>
                          </wps:bodyPr>
                        </wps:wsp>
                        <wps:wsp>
                          <wps:cNvPr id="280991676" name="Прямоугольник 1401"/>
                          <wps:cNvSpPr>
                            <a:spLocks noChangeArrowheads="1"/>
                          </wps:cNvSpPr>
                          <wps:spPr bwMode="auto">
                            <a:xfrm>
                              <a:off x="3000" y="7901"/>
                              <a:ext cx="1483652" cy="272727"/>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00AD7EFA" w14:textId="77777777" w:rsidR="00280952" w:rsidRPr="00BD0BF4" w:rsidRDefault="00280952" w:rsidP="00280952">
                                <w:pPr>
                                  <w:jc w:val="center"/>
                                  <w:rPr>
                                    <w:rFonts w:ascii="Times New Roman" w:hAnsi="Times New Roman" w:cs="Times New Roman"/>
                                    <w:sz w:val="24"/>
                                    <w:szCs w:val="24"/>
                                    <w:lang w:val="uk-UA"/>
                                  </w:rPr>
                                </w:pPr>
                                <w:r w:rsidRPr="00BD0BF4">
                                  <w:rPr>
                                    <w:rFonts w:ascii="Times New Roman" w:hAnsi="Times New Roman" w:cs="Times New Roman"/>
                                    <w:sz w:val="24"/>
                                    <w:szCs w:val="24"/>
                                    <w:lang w:val="uk-UA"/>
                                  </w:rPr>
                                  <w:t xml:space="preserve">Ознаки класифікації </w:t>
                                </w:r>
                              </w:p>
                            </w:txbxContent>
                          </wps:txbx>
                          <wps:bodyPr rot="0" vert="horz" wrap="square" lIns="91440" tIns="45720" rIns="91440" bIns="45720" anchor="ctr" anchorCtr="0" upright="1">
                            <a:noAutofit/>
                          </wps:bodyPr>
                        </wps:wsp>
                        <wps:wsp>
                          <wps:cNvPr id="1634637345" name="Прямая со стрелкой 1403"/>
                          <wps:cNvCnPr>
                            <a:cxnSpLocks noChangeShapeType="1"/>
                          </wps:cNvCnPr>
                          <wps:spPr bwMode="auto">
                            <a:xfrm>
                              <a:off x="2800" y="6222815"/>
                              <a:ext cx="120196" cy="300"/>
                            </a:xfrm>
                            <a:prstGeom prst="straightConnector1">
                              <a:avLst/>
                            </a:prstGeom>
                            <a:noFill/>
                            <a:ln w="635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1744116182" name="Прямая со стрелкой 1404"/>
                          <wps:cNvCnPr>
                            <a:cxnSpLocks noChangeShapeType="1"/>
                          </wps:cNvCnPr>
                          <wps:spPr bwMode="auto">
                            <a:xfrm>
                              <a:off x="0" y="5194513"/>
                              <a:ext cx="120096" cy="300"/>
                            </a:xfrm>
                            <a:prstGeom prst="straightConnector1">
                              <a:avLst/>
                            </a:prstGeom>
                            <a:noFill/>
                            <a:ln w="635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1172884114" name="Прямая со стрелкой 1405"/>
                          <wps:cNvCnPr>
                            <a:cxnSpLocks noChangeShapeType="1"/>
                          </wps:cNvCnPr>
                          <wps:spPr bwMode="auto">
                            <a:xfrm>
                              <a:off x="2800" y="4051400"/>
                              <a:ext cx="120196" cy="200"/>
                            </a:xfrm>
                            <a:prstGeom prst="straightConnector1">
                              <a:avLst/>
                            </a:prstGeom>
                            <a:noFill/>
                            <a:ln w="635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1529024272" name="Прямая со стрелкой 1406"/>
                          <wps:cNvCnPr>
                            <a:cxnSpLocks noChangeShapeType="1"/>
                          </wps:cNvCnPr>
                          <wps:spPr bwMode="auto">
                            <a:xfrm>
                              <a:off x="0" y="2565254"/>
                              <a:ext cx="120096" cy="300"/>
                            </a:xfrm>
                            <a:prstGeom prst="straightConnector1">
                              <a:avLst/>
                            </a:prstGeom>
                            <a:noFill/>
                            <a:ln w="635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1890015285" name="Прямая со стрелкой 1407"/>
                          <wps:cNvCnPr>
                            <a:cxnSpLocks noChangeShapeType="1"/>
                          </wps:cNvCnPr>
                          <wps:spPr bwMode="auto">
                            <a:xfrm>
                              <a:off x="3000" y="848584"/>
                              <a:ext cx="120096" cy="300"/>
                            </a:xfrm>
                            <a:prstGeom prst="straightConnector1">
                              <a:avLst/>
                            </a:prstGeom>
                            <a:noFill/>
                            <a:ln w="635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g:wgp>
                    </wpc:wpc>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A0CFB20" id="Полотно 1382" o:spid="_x0000_s1309" editas="canvas" style="width:466.3pt;height:549.7pt;mso-position-horizontal-relative:char;mso-position-vertical-relative:line" coordsize="59220,69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">
                <v:shape id="_x0000_s1310" type="#_x0000_t75" style="position:absolute;width:59220;height:69811;visibility:visible;mso-wrap-style:square">
                  <v:fill o:detectmouseclick="t"/>
                  <v:path o:connecttype="none"/>
                </v:shape>
                <v:line id="Прямая соединительная линия 1402" o:spid="_x0000_s1311" style="position:absolute;flip:x;visibility:visible;mso-wrap-style:square" from="28,2806" to="30,62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" strokecolor="black [3200]" strokeweight=".5pt">
                  <v:stroke joinstyle="miter"/>
                </v:line>
                <v:group id="Группа 883945303" o:spid="_x0000_s1312" style="position:absolute;top:79;width:59220;height:68252" coordorigin=",79" coordsize="59220,68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">
                  <v:shape id="Выноска со стрелкой вниз 1384" o:spid="_x0000_s1313" type="#_x0000_t80" style="position:absolute;left:16002;top:79;width:43218;height:40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" adj="14035,10289,16200,10544" fillcolor="white [3201]" strokecolor="black [3200]" strokeweight=".25pt">
                    <v:textbox>
                      <w:txbxContent>
                        <w:p w14:paraId="3F0AEAB8" w14:textId="77777777" w:rsidR="00280952" w:rsidRPr="00652D46" w:rsidRDefault="00280952" w:rsidP="00280952">
                          <w:pPr>
                            <w:jc w:val="center"/>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Характеристика </w:t>
                          </w:r>
                        </w:p>
                      </w:txbxContent>
                    </v:textbox>
                  </v:shape>
                  <v:rect id="Прямоугольник 1390" o:spid="_x0000_s1314" style="position:absolute;left:16001;top:4170;width:43218;height:81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" fillcolor="white [3201]" strokecolor="black [3200]" strokeweight=".25pt">
                    <v:textbox>
                      <w:txbxContent>
                        <w:p w14:paraId="20DB647F" w14:textId="77777777" w:rsidR="00280952" w:rsidRPr="00652D46" w:rsidRDefault="00280952" w:rsidP="00280952">
                          <w:pPr>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порівняння; коефіцієнтів; групувань; графічний; табличного відображення даних; операційно-вартісний; горизонтальний; вертикальний; факторний; методи статистичного та </w:t>
                          </w:r>
                          <w:r>
                            <w:rPr>
                              <w:rFonts w:ascii="Times New Roman" w:hAnsi="Times New Roman" w:cs="Times New Roman"/>
                              <w:sz w:val="24"/>
                              <w:szCs w:val="24"/>
                              <w:lang w:val="uk-UA"/>
                            </w:rPr>
                            <w:t>економіко-математичного аналізу</w:t>
                          </w:r>
                        </w:p>
                        <w:p w14:paraId="1BAB12D6" w14:textId="77777777" w:rsidR="00280952" w:rsidRPr="00652D46" w:rsidRDefault="00280952" w:rsidP="00280952">
                          <w:pPr>
                            <w:jc w:val="both"/>
                            <w:rPr>
                              <w:rFonts w:ascii="Times New Roman" w:hAnsi="Times New Roman" w:cs="Times New Roman"/>
                              <w:sz w:val="24"/>
                              <w:szCs w:val="24"/>
                              <w:lang w:val="uk-UA"/>
                            </w:rPr>
                          </w:pPr>
                        </w:p>
                      </w:txbxContent>
                    </v:textbox>
                  </v:rect>
                  <v:shape id="Стрелка вправо 1391" o:spid="_x0000_s1315" type="#_x0000_t13" style="position:absolute;left:1230;top:4170;width:14771;height:100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" adj="14266" fillcolor="white [3201]" strokecolor="black [3200]" strokeweight=".25pt">
                    <v:textbox>
                      <w:txbxContent>
                        <w:p w14:paraId="0CFE6626" w14:textId="77777777" w:rsidR="00280952" w:rsidRPr="00652D46" w:rsidRDefault="00280952" w:rsidP="00280952">
                          <w:pPr>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Методи </w:t>
                          </w:r>
                          <w:r>
                            <w:rPr>
                              <w:rFonts w:ascii="Times New Roman" w:hAnsi="Times New Roman" w:cs="Times New Roman"/>
                              <w:sz w:val="24"/>
                              <w:szCs w:val="24"/>
                              <w:lang w:val="uk-UA"/>
                            </w:rPr>
                            <w:t xml:space="preserve">аналізу </w:t>
                          </w:r>
                        </w:p>
                      </w:txbxContent>
                    </v:textbox>
                  </v:shape>
                  <v:rect id="Прямоугольник 1392" o:spid="_x0000_s1316" style="position:absolute;left:15999;top:12914;width:43217;height:201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" fillcolor="white [3201]" strokecolor="black [3200]" strokeweight=".25pt">
                    <v:textbox>
                      <w:txbxContent>
                        <w:p w14:paraId="16A18172" w14:textId="0904EFFF"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стратегічний (SWOT-аналіз, PEST-аналіз, бенчмаркінг, побудова прогнозних моделей)</w:t>
                          </w:r>
                          <w:r>
                            <w:rPr>
                              <w:rFonts w:ascii="Times New Roman" w:hAnsi="Times New Roman" w:cs="Times New Roman"/>
                              <w:sz w:val="24"/>
                              <w:szCs w:val="24"/>
                              <w:lang w:val="uk-UA"/>
                            </w:rPr>
                            <w:t>. Застосовується для розробки стратегії забезпечення ФСБ</w:t>
                          </w:r>
                          <w:r w:rsidRPr="00652D46">
                            <w:rPr>
                              <w:rFonts w:ascii="Times New Roman" w:hAnsi="Times New Roman" w:cs="Times New Roman"/>
                              <w:sz w:val="24"/>
                              <w:szCs w:val="24"/>
                              <w:lang w:val="uk-UA"/>
                            </w:rPr>
                            <w:t>;</w:t>
                          </w:r>
                        </w:p>
                        <w:p w14:paraId="4CEFAA63" w14:textId="77777777"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тактичний (дескриптивні моделі, засновані на використанні </w:t>
                          </w:r>
                          <w:r>
                            <w:rPr>
                              <w:rFonts w:ascii="Times New Roman" w:hAnsi="Times New Roman" w:cs="Times New Roman"/>
                              <w:sz w:val="24"/>
                              <w:szCs w:val="24"/>
                              <w:lang w:val="uk-UA"/>
                            </w:rPr>
                            <w:t xml:space="preserve">фінансової </w:t>
                          </w:r>
                          <w:r w:rsidRPr="00652D46">
                            <w:rPr>
                              <w:rFonts w:ascii="Times New Roman" w:hAnsi="Times New Roman" w:cs="Times New Roman"/>
                              <w:sz w:val="24"/>
                              <w:szCs w:val="24"/>
                              <w:lang w:val="uk-UA"/>
                            </w:rPr>
                            <w:t xml:space="preserve">звітності: складання форм звітності, надання звітності </w:t>
                          </w:r>
                          <w:r>
                            <w:rPr>
                              <w:rFonts w:ascii="Times New Roman" w:hAnsi="Times New Roman" w:cs="Times New Roman"/>
                              <w:sz w:val="24"/>
                              <w:szCs w:val="24"/>
                              <w:lang w:val="uk-UA"/>
                            </w:rPr>
                            <w:t>у</w:t>
                          </w:r>
                          <w:r w:rsidRPr="00652D46">
                            <w:rPr>
                              <w:rFonts w:ascii="Times New Roman" w:hAnsi="Times New Roman" w:cs="Times New Roman"/>
                              <w:sz w:val="24"/>
                              <w:szCs w:val="24"/>
                              <w:lang w:val="uk-UA"/>
                            </w:rPr>
                            <w:t xml:space="preserve"> різних аналітичних розрізах, вертикальний, горизонтальний, коефіцієнтний аналіз</w:t>
                          </w:r>
                          <w:r>
                            <w:rPr>
                              <w:rFonts w:ascii="Times New Roman" w:hAnsi="Times New Roman" w:cs="Times New Roman"/>
                              <w:sz w:val="24"/>
                              <w:szCs w:val="24"/>
                              <w:lang w:val="uk-UA"/>
                            </w:rPr>
                            <w:t>). Застосовується для розробки контрольних заходів</w:t>
                          </w:r>
                          <w:r w:rsidRPr="00652D46">
                            <w:rPr>
                              <w:rFonts w:ascii="Times New Roman" w:hAnsi="Times New Roman" w:cs="Times New Roman"/>
                              <w:sz w:val="24"/>
                              <w:szCs w:val="24"/>
                              <w:lang w:val="uk-UA"/>
                            </w:rPr>
                            <w:t xml:space="preserve">; </w:t>
                          </w:r>
                        </w:p>
                        <w:p w14:paraId="216865BE" w14:textId="13C4888C"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оперативний (моделі, </w:t>
                          </w:r>
                          <w:r>
                            <w:rPr>
                              <w:rFonts w:ascii="Times New Roman" w:hAnsi="Times New Roman" w:cs="Times New Roman"/>
                              <w:sz w:val="24"/>
                              <w:szCs w:val="24"/>
                              <w:lang w:val="uk-UA"/>
                            </w:rPr>
                            <w:t>що</w:t>
                          </w:r>
                          <w:r w:rsidRPr="00652D46">
                            <w:rPr>
                              <w:rFonts w:ascii="Times New Roman" w:hAnsi="Times New Roman" w:cs="Times New Roman"/>
                              <w:sz w:val="24"/>
                              <w:szCs w:val="24"/>
                              <w:lang w:val="uk-UA"/>
                            </w:rPr>
                            <w:t xml:space="preserve"> встановлюють норматив</w:t>
                          </w:r>
                          <w:r>
                            <w:rPr>
                              <w:rFonts w:ascii="Times New Roman" w:hAnsi="Times New Roman" w:cs="Times New Roman"/>
                              <w:sz w:val="24"/>
                              <w:szCs w:val="24"/>
                              <w:lang w:val="uk-UA"/>
                            </w:rPr>
                            <w:t>ні значення</w:t>
                          </w:r>
                          <w:r w:rsidRPr="00652D46">
                            <w:rPr>
                              <w:rFonts w:ascii="Times New Roman" w:hAnsi="Times New Roman" w:cs="Times New Roman"/>
                              <w:sz w:val="24"/>
                              <w:szCs w:val="24"/>
                              <w:lang w:val="uk-UA"/>
                            </w:rPr>
                            <w:t xml:space="preserve"> показників ФС</w:t>
                          </w:r>
                          <w:r>
                            <w:rPr>
                              <w:rFonts w:ascii="Times New Roman" w:hAnsi="Times New Roman" w:cs="Times New Roman"/>
                              <w:sz w:val="24"/>
                              <w:szCs w:val="24"/>
                              <w:lang w:val="uk-UA"/>
                            </w:rPr>
                            <w:t>Б</w:t>
                          </w:r>
                          <w:r w:rsidRPr="00652D46">
                            <w:rPr>
                              <w:rFonts w:ascii="Times New Roman" w:hAnsi="Times New Roman" w:cs="Times New Roman"/>
                              <w:sz w:val="24"/>
                              <w:szCs w:val="24"/>
                              <w:lang w:val="uk-UA"/>
                            </w:rPr>
                            <w:t xml:space="preserve"> та</w:t>
                          </w:r>
                          <w:r>
                            <w:rPr>
                              <w:rFonts w:ascii="Times New Roman" w:hAnsi="Times New Roman" w:cs="Times New Roman"/>
                              <w:sz w:val="24"/>
                              <w:szCs w:val="24"/>
                              <w:lang w:val="uk-UA"/>
                            </w:rPr>
                            <w:t xml:space="preserve"> передбачають</w:t>
                          </w:r>
                          <w:r w:rsidRPr="00652D46">
                            <w:rPr>
                              <w:rFonts w:ascii="Times New Roman" w:hAnsi="Times New Roman" w:cs="Times New Roman"/>
                              <w:sz w:val="24"/>
                              <w:szCs w:val="24"/>
                              <w:lang w:val="uk-UA"/>
                            </w:rPr>
                            <w:t xml:space="preserve"> аналіз відхилень фактичних даних)</w:t>
                          </w:r>
                          <w:r>
                            <w:rPr>
                              <w:rFonts w:ascii="Times New Roman" w:hAnsi="Times New Roman" w:cs="Times New Roman"/>
                              <w:sz w:val="24"/>
                              <w:szCs w:val="24"/>
                              <w:lang w:val="uk-UA"/>
                            </w:rPr>
                            <w:t>. Застосовується в процесі регулювання</w:t>
                          </w:r>
                        </w:p>
                      </w:txbxContent>
                    </v:textbox>
                  </v:rect>
                  <v:shape id="Стрелка вправо 1393" o:spid="_x0000_s1317" type="#_x0000_t13" style="position:absolute;left:1229;top:21080;width:14771;height:100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" adj="14267" fillcolor="white [3201]" strokecolor="black [3200]" strokeweight=".25pt">
                    <v:textbox>
                      <w:txbxContent>
                        <w:p w14:paraId="3D13F254" w14:textId="77777777" w:rsidR="00280952" w:rsidRPr="00652D46" w:rsidRDefault="00280952" w:rsidP="00280952">
                          <w:pPr>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Ієрархія аналізу</w:t>
                          </w:r>
                        </w:p>
                      </w:txbxContent>
                    </v:textbox>
                  </v:shape>
                  <v:rect id="Прямоугольник 1394" o:spid="_x0000_s1318" style="position:absolute;left:16000;top:33651;width:43217;height:13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" fillcolor="white [3201]" strokecolor="black [3200]" strokeweight=".25pt">
                    <v:textbox>
                      <w:txbxContent>
                        <w:p w14:paraId="41446538" w14:textId="00A18E92"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попередній (обґрунтування управлінських рішень та формування </w:t>
                          </w:r>
                          <w:r>
                            <w:rPr>
                              <w:rFonts w:ascii="Times New Roman" w:hAnsi="Times New Roman" w:cs="Times New Roman"/>
                              <w:sz w:val="24"/>
                              <w:szCs w:val="24"/>
                              <w:lang w:val="uk-UA"/>
                            </w:rPr>
                            <w:t xml:space="preserve">фінансової стратегії забезпечення ФСБ та </w:t>
                          </w:r>
                          <w:r w:rsidRPr="00652D46">
                            <w:rPr>
                              <w:rFonts w:ascii="Times New Roman" w:hAnsi="Times New Roman" w:cs="Times New Roman"/>
                              <w:sz w:val="24"/>
                              <w:szCs w:val="24"/>
                              <w:lang w:val="uk-UA"/>
                            </w:rPr>
                            <w:t>планів);</w:t>
                          </w:r>
                        </w:p>
                        <w:p w14:paraId="77EBF3FA" w14:textId="4C23A07C"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поточний (оперативна оцінка змін показників</w:t>
                          </w:r>
                          <w:r>
                            <w:rPr>
                              <w:rFonts w:ascii="Times New Roman" w:hAnsi="Times New Roman" w:cs="Times New Roman"/>
                              <w:sz w:val="24"/>
                              <w:szCs w:val="24"/>
                              <w:lang w:val="uk-UA"/>
                            </w:rPr>
                            <w:t xml:space="preserve"> ФСБ</w:t>
                          </w:r>
                          <w:r w:rsidRPr="00652D46">
                            <w:rPr>
                              <w:rFonts w:ascii="Times New Roman" w:hAnsi="Times New Roman" w:cs="Times New Roman"/>
                              <w:sz w:val="24"/>
                              <w:szCs w:val="24"/>
                              <w:lang w:val="uk-UA"/>
                            </w:rPr>
                            <w:t>, виявлення небажаних відхилень та причин їх виникнення, своєчасне проведення заходів щодо їх усунення);</w:t>
                          </w:r>
                        </w:p>
                        <w:p w14:paraId="31FBA778" w14:textId="6DAFDFD5"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ретроспективний (накопичення інформації про стан об’єктів управління </w:t>
                          </w:r>
                          <w:r>
                            <w:rPr>
                              <w:rFonts w:ascii="Times New Roman" w:hAnsi="Times New Roman" w:cs="Times New Roman"/>
                              <w:sz w:val="24"/>
                              <w:szCs w:val="24"/>
                              <w:lang w:val="uk-UA"/>
                            </w:rPr>
                            <w:t>ФСБ</w:t>
                          </w:r>
                          <w:r w:rsidRPr="00652D46">
                            <w:rPr>
                              <w:rFonts w:ascii="Times New Roman" w:hAnsi="Times New Roman" w:cs="Times New Roman"/>
                              <w:sz w:val="24"/>
                              <w:szCs w:val="24"/>
                              <w:lang w:val="uk-UA"/>
                            </w:rPr>
                            <w:t xml:space="preserve"> та ефективності </w:t>
                          </w:r>
                          <w:r>
                            <w:rPr>
                              <w:rFonts w:ascii="Times New Roman" w:hAnsi="Times New Roman" w:cs="Times New Roman"/>
                              <w:sz w:val="24"/>
                              <w:szCs w:val="24"/>
                              <w:lang w:val="uk-UA"/>
                            </w:rPr>
                            <w:t>ФСБ</w:t>
                          </w:r>
                          <w:r w:rsidRPr="00652D46">
                            <w:rPr>
                              <w:rFonts w:ascii="Times New Roman" w:hAnsi="Times New Roman" w:cs="Times New Roman"/>
                              <w:sz w:val="24"/>
                              <w:szCs w:val="24"/>
                              <w:lang w:val="uk-UA"/>
                            </w:rPr>
                            <w:t>)</w:t>
                          </w:r>
                        </w:p>
                      </w:txbxContent>
                    </v:textbox>
                  </v:rect>
                  <v:shape id="Стрелка вправо 1395" o:spid="_x0000_s1319" type="#_x0000_t13" style="position:absolute;left:1229;top:35939;width:14771;height:100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" adj="14266" fillcolor="white [3201]" strokecolor="black [3200]" strokeweight=".25pt">
                    <v:textbox>
                      <w:txbxContent>
                        <w:p w14:paraId="1E5484EE" w14:textId="77777777" w:rsidR="00280952" w:rsidRPr="00652D46" w:rsidRDefault="00280952" w:rsidP="00280952">
                          <w:pPr>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Період</w:t>
                          </w:r>
                          <w:r>
                            <w:rPr>
                              <w:rFonts w:ascii="Times New Roman" w:hAnsi="Times New Roman" w:cs="Times New Roman"/>
                              <w:sz w:val="24"/>
                              <w:szCs w:val="24"/>
                              <w:lang w:val="uk-UA"/>
                            </w:rPr>
                            <w:t xml:space="preserve"> аналізу</w:t>
                          </w:r>
                        </w:p>
                      </w:txbxContent>
                    </v:textbox>
                  </v:shape>
                  <v:rect id="Прямоугольник 1396" o:spid="_x0000_s1320" style="position:absolute;left:16001;top:48510;width:43217;height:68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" fillcolor="white [3201]" strokecolor="black [3200]" strokeweight=".25pt">
                    <v:textbox>
                      <w:txbxContent>
                        <w:p w14:paraId="2B7C6C3D" w14:textId="7B942CF2"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 xml:space="preserve">повний (об’єктом аналізу є сукупність </w:t>
                          </w:r>
                          <w:r>
                            <w:rPr>
                              <w:rFonts w:ascii="Times New Roman" w:hAnsi="Times New Roman" w:cs="Times New Roman"/>
                              <w:sz w:val="24"/>
                              <w:szCs w:val="24"/>
                              <w:lang w:val="uk-UA"/>
                            </w:rPr>
                            <w:t>у</w:t>
                          </w:r>
                          <w:r w:rsidRPr="00652D46">
                            <w:rPr>
                              <w:rFonts w:ascii="Times New Roman" w:hAnsi="Times New Roman" w:cs="Times New Roman"/>
                              <w:sz w:val="24"/>
                              <w:szCs w:val="24"/>
                              <w:lang w:val="uk-UA"/>
                            </w:rPr>
                            <w:t xml:space="preserve">сіх об’єктів </w:t>
                          </w:r>
                          <w:r>
                            <w:rPr>
                              <w:rFonts w:ascii="Times New Roman" w:hAnsi="Times New Roman" w:cs="Times New Roman"/>
                              <w:sz w:val="24"/>
                              <w:szCs w:val="24"/>
                              <w:lang w:val="uk-UA"/>
                            </w:rPr>
                            <w:t>ФСБ</w:t>
                          </w:r>
                          <w:r w:rsidRPr="00652D46">
                            <w:rPr>
                              <w:rFonts w:ascii="Times New Roman" w:hAnsi="Times New Roman" w:cs="Times New Roman"/>
                              <w:sz w:val="24"/>
                              <w:szCs w:val="24"/>
                              <w:lang w:val="uk-UA"/>
                            </w:rPr>
                            <w:t>);</w:t>
                          </w:r>
                        </w:p>
                        <w:p w14:paraId="5F512877" w14:textId="7622D122"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вибірковий (об’єктом аналізу є окремі аспекти</w:t>
                          </w:r>
                          <w:r>
                            <w:rPr>
                              <w:rFonts w:ascii="Times New Roman" w:hAnsi="Times New Roman" w:cs="Times New Roman"/>
                              <w:sz w:val="24"/>
                              <w:szCs w:val="24"/>
                              <w:lang w:val="uk-UA"/>
                            </w:rPr>
                            <w:t>/види діяльності банку</w:t>
                          </w:r>
                          <w:r w:rsidRPr="00652D46">
                            <w:rPr>
                              <w:rFonts w:ascii="Times New Roman" w:hAnsi="Times New Roman" w:cs="Times New Roman"/>
                              <w:sz w:val="24"/>
                              <w:szCs w:val="24"/>
                              <w:lang w:val="uk-UA"/>
                            </w:rPr>
                            <w:t xml:space="preserve"> або окремі об’єкти </w:t>
                          </w:r>
                          <w:r>
                            <w:rPr>
                              <w:rFonts w:ascii="Times New Roman" w:hAnsi="Times New Roman" w:cs="Times New Roman"/>
                              <w:sz w:val="24"/>
                              <w:szCs w:val="24"/>
                              <w:lang w:val="uk-UA"/>
                            </w:rPr>
                            <w:t>ФСБ</w:t>
                          </w:r>
                          <w:r w:rsidRPr="00652D46">
                            <w:rPr>
                              <w:rFonts w:ascii="Times New Roman" w:hAnsi="Times New Roman" w:cs="Times New Roman"/>
                              <w:sz w:val="24"/>
                              <w:szCs w:val="24"/>
                              <w:lang w:val="uk-UA"/>
                            </w:rPr>
                            <w:t>)</w:t>
                          </w:r>
                        </w:p>
                      </w:txbxContent>
                    </v:textbox>
                  </v:rect>
                  <v:shape id="Стрелка вправо 1397" o:spid="_x0000_s1321" type="#_x0000_t13" style="position:absolute;left:1229;top:48508;width:14773;height:7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" adj="14584" fillcolor="white [3201]" strokecolor="black [3200]" strokeweight=".25pt">
                    <v:textbox>
                      <w:txbxContent>
                        <w:p w14:paraId="478A41EF" w14:textId="77777777" w:rsidR="00280952" w:rsidRPr="00652D46" w:rsidRDefault="00280952" w:rsidP="00280952">
                          <w:pPr>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Тип аналізу</w:t>
                          </w:r>
                        </w:p>
                      </w:txbxContent>
                    </v:textbox>
                  </v:shape>
                  <v:rect id="Прямоугольник 1398" o:spid="_x0000_s1322" style="position:absolute;left:16001;top:56508;width:43219;height:11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" fillcolor="white [3201]" strokecolor="black [3200]" strokeweight=".25pt">
                    <v:textbox>
                      <w:txbxContent>
                        <w:p w14:paraId="1E104C76" w14:textId="40DF1F0A"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разовий (проводиться епізодично за якихось певних умов (у разі форс-мажор</w:t>
                          </w:r>
                          <w:r>
                            <w:rPr>
                              <w:rFonts w:ascii="Times New Roman" w:hAnsi="Times New Roman" w:cs="Times New Roman"/>
                              <w:sz w:val="24"/>
                              <w:szCs w:val="24"/>
                              <w:lang w:val="uk-UA"/>
                            </w:rPr>
                            <w:t>у; змін в операційному середовищі</w:t>
                          </w:r>
                          <w:r w:rsidRPr="00652D46">
                            <w:rPr>
                              <w:rFonts w:ascii="Times New Roman" w:hAnsi="Times New Roman" w:cs="Times New Roman"/>
                              <w:sz w:val="24"/>
                              <w:szCs w:val="24"/>
                              <w:lang w:val="uk-UA"/>
                            </w:rPr>
                            <w:t>);</w:t>
                          </w:r>
                        </w:p>
                        <w:p w14:paraId="72520E26" w14:textId="77777777" w:rsidR="00280952" w:rsidRPr="00652D46" w:rsidRDefault="00280952" w:rsidP="00280952">
                          <w:pPr>
                            <w:numPr>
                              <w:ilvl w:val="0"/>
                              <w:numId w:val="22"/>
                            </w:numPr>
                            <w:tabs>
                              <w:tab w:val="left" w:pos="180"/>
                              <w:tab w:val="left" w:pos="360"/>
                            </w:tabs>
                            <w:spacing w:after="0" w:line="240" w:lineRule="auto"/>
                            <w:ind w:left="0" w:firstLine="0"/>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періодичний (проводиться систематично через певний інтервал часу: щоденний, тижневий, декадний, місячний, квартальний, річний)</w:t>
                          </w:r>
                        </w:p>
                      </w:txbxContent>
                    </v:textbox>
                  </v:rect>
                  <v:shape id="Стрелка вправо 1399" o:spid="_x0000_s1323" type="#_x0000_t13" style="position:absolute;left:1229;top:57658;width:14773;height:7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" adj="14584" fillcolor="white [3201]" strokecolor="black [3200]" strokeweight=".25pt">
                    <v:textbox>
                      <w:txbxContent>
                        <w:p w14:paraId="50F5CC5A" w14:textId="77777777" w:rsidR="00280952" w:rsidRPr="00652D46" w:rsidRDefault="00280952" w:rsidP="00280952">
                          <w:pPr>
                            <w:jc w:val="both"/>
                            <w:rPr>
                              <w:rFonts w:ascii="Times New Roman" w:hAnsi="Times New Roman" w:cs="Times New Roman"/>
                              <w:sz w:val="24"/>
                              <w:szCs w:val="24"/>
                              <w:lang w:val="uk-UA"/>
                            </w:rPr>
                          </w:pPr>
                          <w:r w:rsidRPr="00652D46">
                            <w:rPr>
                              <w:rFonts w:ascii="Times New Roman" w:hAnsi="Times New Roman" w:cs="Times New Roman"/>
                              <w:sz w:val="24"/>
                              <w:szCs w:val="24"/>
                              <w:lang w:val="uk-UA"/>
                            </w:rPr>
                            <w:t>Частота аналізу</w:t>
                          </w:r>
                        </w:p>
                      </w:txbxContent>
                    </v:textbox>
                  </v:shape>
                  <v:rect id="Прямоугольник 1401" o:spid="_x0000_s1324" style="position:absolute;left:30;top:79;width:14836;height:27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" fillcolor="white [3201]" strokecolor="black [3200]" strokeweight="1pt">
                    <v:textbox>
                      <w:txbxContent>
                        <w:p w14:paraId="00AD7EFA" w14:textId="77777777" w:rsidR="00280952" w:rsidRPr="00BD0BF4" w:rsidRDefault="00280952" w:rsidP="00280952">
                          <w:pPr>
                            <w:jc w:val="center"/>
                            <w:rPr>
                              <w:rFonts w:ascii="Times New Roman" w:hAnsi="Times New Roman" w:cs="Times New Roman"/>
                              <w:sz w:val="24"/>
                              <w:szCs w:val="24"/>
                              <w:lang w:val="uk-UA"/>
                            </w:rPr>
                          </w:pPr>
                          <w:r w:rsidRPr="00BD0BF4">
                            <w:rPr>
                              <w:rFonts w:ascii="Times New Roman" w:hAnsi="Times New Roman" w:cs="Times New Roman"/>
                              <w:sz w:val="24"/>
                              <w:szCs w:val="24"/>
                              <w:lang w:val="uk-UA"/>
                            </w:rPr>
                            <w:t xml:space="preserve">Ознаки класифікації </w:t>
                          </w:r>
                        </w:p>
                      </w:txbxContent>
                    </v:textbox>
                  </v:rect>
                  <v:shape id="Прямая со стрелкой 1403" o:spid="_x0000_s1325" type="#_x0000_t32" style="position:absolute;left:28;top:62228;width:1201;height: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" strokecolor="black [3200]" strokeweight=".5pt">
                    <v:stroke endarrow="open" joinstyle="miter"/>
                  </v:shape>
                  <v:shape id="Прямая со стрелкой 1404" o:spid="_x0000_s1326" type="#_x0000_t32" style="position:absolute;top:51945;width:1200;height: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" strokecolor="black [3200]" strokeweight=".5pt">
                    <v:stroke endarrow="open" joinstyle="miter"/>
                  </v:shape>
                  <v:shape id="Прямая со стрелкой 1405" o:spid="_x0000_s1327" type="#_x0000_t32" style="position:absolute;left:28;top:40514;width:1201;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" strokecolor="black [3200]" strokeweight=".5pt">
                    <v:stroke endarrow="open" joinstyle="miter"/>
                  </v:shape>
                  <v:shape id="Прямая со стрелкой 1406" o:spid="_x0000_s1328" type="#_x0000_t32" style="position:absolute;top:25652;width:1200;height: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" strokecolor="black [3200]" strokeweight=".5pt">
                    <v:stroke endarrow="open" joinstyle="miter"/>
                  </v:shape>
                  <v:shape id="Прямая со стрелкой 1407" o:spid="_x0000_s1329" type="#_x0000_t32" style="position:absolute;left:30;top:8485;width:1200;height: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" strokecolor="black [3200]" strokeweight=".5pt">
                    <v:stroke endarrow="open" joinstyle="miter"/>
                  </v:shape>
                </v:group>
                <w10:anchorlock/>
              </v:group>
            </w:pict>
          </mc:Fallback>
        </mc:AlternateContent>
      </w:r>
    </w:p>
    <w:p w14:paraId="0694E104" w14:textId="4E8EB471" w:rsidR="00683D2C" w:rsidRPr="00F00EB0" w:rsidRDefault="00683D2C">
      <w:pP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br w:type="page"/>
      </w:r>
    </w:p>
    <w:p w14:paraId="67713265" w14:textId="0FFC9541" w:rsidR="00683D2C" w:rsidRPr="00F00EB0" w:rsidRDefault="00683D2C" w:rsidP="00683D2C">
      <w:pPr>
        <w:pStyle w:val="10"/>
        <w:rPr>
          <w:rFonts w:cs="Times New Roman"/>
          <w:b/>
          <w:color w:val="000000" w:themeColor="text1"/>
          <w:lang w:val="uk-UA"/>
        </w:rPr>
      </w:pPr>
      <w:bookmarkStart w:id="27" w:name="_Toc137414315"/>
      <w:r w:rsidRPr="00F00EB0">
        <w:rPr>
          <w:rFonts w:cs="Times New Roman"/>
          <w:b/>
          <w:color w:val="000000" w:themeColor="text1"/>
          <w:lang w:val="uk-UA"/>
        </w:rPr>
        <w:lastRenderedPageBreak/>
        <w:t>ДОДАТОК Д</w:t>
      </w:r>
      <w:r w:rsidRPr="00F00EB0">
        <w:rPr>
          <w:rFonts w:cs="Times New Roman"/>
          <w:b/>
          <w:color w:val="000000" w:themeColor="text1"/>
          <w:lang w:val="uk-UA"/>
        </w:rPr>
        <w:br/>
      </w:r>
      <w:r w:rsidR="00527F46" w:rsidRPr="00F00EB0">
        <w:rPr>
          <w:rFonts w:cs="Times New Roman"/>
          <w:b/>
          <w:color w:val="000000" w:themeColor="text1"/>
          <w:lang w:val="uk-UA"/>
        </w:rPr>
        <w:t>ОСНОВНІ КОЕФІЦІЄНТИ, ЩО МОЖУТЬ ВИКОРИСТОВУВАТИСЬ ДЛЯ АНАЛІЗУ ФСБ</w:t>
      </w:r>
      <w:bookmarkEnd w:id="27"/>
    </w:p>
    <w:p w14:paraId="7CA727BA" w14:textId="77777777" w:rsidR="00683D2C" w:rsidRPr="00F00EB0" w:rsidRDefault="00683D2C" w:rsidP="00683D2C">
      <w:pPr>
        <w:spacing w:after="0" w:line="360" w:lineRule="auto"/>
        <w:ind w:firstLine="709"/>
        <w:jc w:val="both"/>
        <w:rPr>
          <w:rFonts w:ascii="Times New Roman" w:hAnsi="Times New Roman" w:cs="Times New Roman"/>
          <w:color w:val="000000" w:themeColor="text1"/>
          <w:sz w:val="28"/>
          <w:szCs w:val="28"/>
          <w:lang w:val="uk-UA"/>
        </w:rPr>
      </w:pPr>
    </w:p>
    <w:p w14:paraId="33ABFF03" w14:textId="164529F8" w:rsidR="00683D2C" w:rsidRPr="00F00EB0" w:rsidRDefault="00683D2C" w:rsidP="00683D2C">
      <w:pPr>
        <w:spacing w:after="0" w:line="360" w:lineRule="auto"/>
        <w:ind w:firstLine="709"/>
        <w:jc w:val="both"/>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Таблиця Д.1 – Перелік коефіцієнтів, що характеризують об’єкти ФСБ</w:t>
      </w:r>
      <w:r w:rsidR="009067C1" w:rsidRPr="00F00EB0">
        <w:rPr>
          <w:rFonts w:ascii="Times New Roman" w:hAnsi="Times New Roman" w:cs="Times New Roman"/>
          <w:color w:val="000000" w:themeColor="text1"/>
          <w:sz w:val="28"/>
          <w:szCs w:val="28"/>
          <w:lang w:val="uk-UA"/>
        </w:rPr>
        <w:t xml:space="preserve"> </w:t>
      </w:r>
      <w:r w:rsidR="00A07A61" w:rsidRPr="00F00EB0">
        <w:rPr>
          <w:rFonts w:ascii="Times New Roman" w:eastAsia="Times New Roman" w:hAnsi="Times New Roman" w:cs="Times New Roman"/>
          <w:color w:val="000000" w:themeColor="text1"/>
          <w:sz w:val="28"/>
          <w:szCs w:val="28"/>
          <w:lang w:val="uk-UA" w:eastAsia="ru-RU"/>
        </w:rPr>
        <w:t>[61]</w:t>
      </w:r>
    </w:p>
    <w:tbl>
      <w:tblPr>
        <w:tblStyle w:val="af0"/>
        <w:tblW w:w="5000" w:type="pct"/>
        <w:tblLook w:val="04A0" w:firstRow="1" w:lastRow="0" w:firstColumn="1" w:lastColumn="0" w:noHBand="0" w:noVBand="1"/>
      </w:tblPr>
      <w:tblGrid>
        <w:gridCol w:w="7451"/>
        <w:gridCol w:w="2460"/>
      </w:tblGrid>
      <w:tr w:rsidR="00F00EB0" w:rsidRPr="00F00EB0" w14:paraId="40E5C56A" w14:textId="77777777" w:rsidTr="00A1795E">
        <w:tc>
          <w:tcPr>
            <w:tcW w:w="3759" w:type="pct"/>
            <w:vAlign w:val="center"/>
          </w:tcPr>
          <w:p w14:paraId="6862D40E"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Порядок розрахунку </w:t>
            </w:r>
          </w:p>
        </w:tc>
        <w:tc>
          <w:tcPr>
            <w:tcW w:w="1241" w:type="pct"/>
            <w:vAlign w:val="center"/>
          </w:tcPr>
          <w:p w14:paraId="326DFF3E"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Характеристика  </w:t>
            </w:r>
          </w:p>
        </w:tc>
      </w:tr>
      <w:tr w:rsidR="00F00EB0" w:rsidRPr="00F00EB0" w14:paraId="7651A324" w14:textId="77777777" w:rsidTr="00A1795E">
        <w:tc>
          <w:tcPr>
            <w:tcW w:w="3759" w:type="pct"/>
            <w:vAlign w:val="center"/>
          </w:tcPr>
          <w:p w14:paraId="49D34FD2"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1</w:t>
            </w:r>
          </w:p>
        </w:tc>
        <w:tc>
          <w:tcPr>
            <w:tcW w:w="1241" w:type="pct"/>
            <w:vAlign w:val="center"/>
          </w:tcPr>
          <w:p w14:paraId="4AA9FCBC"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2</w:t>
            </w:r>
          </w:p>
        </w:tc>
      </w:tr>
      <w:tr w:rsidR="00F00EB0" w:rsidRPr="00F00EB0" w14:paraId="7451069B" w14:textId="77777777" w:rsidTr="00A1795E">
        <w:tc>
          <w:tcPr>
            <w:tcW w:w="5000" w:type="pct"/>
            <w:gridSpan w:val="2"/>
            <w:vAlign w:val="center"/>
          </w:tcPr>
          <w:p w14:paraId="34EC9D08"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Капіталізація </w:t>
            </w:r>
          </w:p>
        </w:tc>
      </w:tr>
      <w:tr w:rsidR="00F00EB0" w:rsidRPr="00F00EB0" w14:paraId="3AF5975F" w14:textId="77777777" w:rsidTr="00A1795E">
        <w:tc>
          <w:tcPr>
            <w:tcW w:w="3759" w:type="pct"/>
          </w:tcPr>
          <w:p w14:paraId="63776C2E"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(Власний капітал + відрахування до резервів на покриття втрат за активами) / (Загальні активи – нематеріальні активи)</w:t>
            </w:r>
          </w:p>
        </w:tc>
        <w:tc>
          <w:tcPr>
            <w:tcW w:w="1241" w:type="pct"/>
            <w:vMerge w:val="restart"/>
            <w:vAlign w:val="center"/>
          </w:tcPr>
          <w:p w14:paraId="777E14EC"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можливість визначити, який рівень капіталу має банк та який рівень коштів знаходиться в розпорядженні банку умовно-постійно</w:t>
            </w:r>
          </w:p>
        </w:tc>
      </w:tr>
      <w:tr w:rsidR="00F00EB0" w:rsidRPr="00F00EB0" w14:paraId="27D18CA1" w14:textId="77777777" w:rsidTr="00A1795E">
        <w:tc>
          <w:tcPr>
            <w:tcW w:w="3759" w:type="pct"/>
          </w:tcPr>
          <w:p w14:paraId="7ABCF83E"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(Власний капітал + відрахування до резервів на покриття втрат за активами) / клієнтське та короткострокове фінансування</w:t>
            </w:r>
          </w:p>
        </w:tc>
        <w:tc>
          <w:tcPr>
            <w:tcW w:w="1241" w:type="pct"/>
            <w:vMerge/>
          </w:tcPr>
          <w:p w14:paraId="3E8C4F78"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00A2920" w14:textId="77777777" w:rsidTr="00A1795E">
        <w:tc>
          <w:tcPr>
            <w:tcW w:w="3759" w:type="pct"/>
          </w:tcPr>
          <w:p w14:paraId="2D0CD4C1"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(Власний капітал + відрахування до резервів на покриття втрат за активами) /необоротні активи</w:t>
            </w:r>
          </w:p>
        </w:tc>
        <w:tc>
          <w:tcPr>
            <w:tcW w:w="1241" w:type="pct"/>
            <w:vMerge/>
          </w:tcPr>
          <w:p w14:paraId="604AC8E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05893BD" w14:textId="77777777" w:rsidTr="00A1795E">
        <w:tc>
          <w:tcPr>
            <w:tcW w:w="3759" w:type="pct"/>
          </w:tcPr>
          <w:p w14:paraId="10D876FC"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(Власний капітал + відрахування до резервів на покриття втрат за кредитами) / кредити </w:t>
            </w:r>
          </w:p>
        </w:tc>
        <w:tc>
          <w:tcPr>
            <w:tcW w:w="1241" w:type="pct"/>
            <w:vMerge/>
          </w:tcPr>
          <w:p w14:paraId="5B596A8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789957F" w14:textId="77777777" w:rsidTr="00A1795E">
        <w:tc>
          <w:tcPr>
            <w:tcW w:w="3759" w:type="pct"/>
          </w:tcPr>
          <w:p w14:paraId="31287335"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(Власний капітал + відрахування до резервів на покриття втрат за активами) / загальні активи</w:t>
            </w:r>
          </w:p>
        </w:tc>
        <w:tc>
          <w:tcPr>
            <w:tcW w:w="1241" w:type="pct"/>
            <w:vMerge/>
          </w:tcPr>
          <w:p w14:paraId="77D87EE9"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5A0B19C" w14:textId="77777777" w:rsidTr="00A1795E">
        <w:tc>
          <w:tcPr>
            <w:tcW w:w="3759" w:type="pct"/>
          </w:tcPr>
          <w:p w14:paraId="043915DD"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(Власний капітал + відрахування до резервів на покриття втрат за активами) / загальні зобов’язання </w:t>
            </w:r>
          </w:p>
        </w:tc>
        <w:tc>
          <w:tcPr>
            <w:tcW w:w="1241" w:type="pct"/>
            <w:vMerge/>
          </w:tcPr>
          <w:p w14:paraId="1D0861E8"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8E92ADF" w14:textId="77777777" w:rsidTr="00A1795E">
        <w:tc>
          <w:tcPr>
            <w:tcW w:w="3759" w:type="pct"/>
          </w:tcPr>
          <w:p w14:paraId="60CA8D94"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(Власний капітал + відрахування до резервів на покриття втрат за активами) / сукупні активи, зважені за ступенем ризику </w:t>
            </w:r>
          </w:p>
        </w:tc>
        <w:tc>
          <w:tcPr>
            <w:tcW w:w="1241" w:type="pct"/>
            <w:vMerge/>
          </w:tcPr>
          <w:p w14:paraId="55A653C9"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AC4C8B3" w14:textId="77777777" w:rsidTr="00A1795E">
        <w:tc>
          <w:tcPr>
            <w:tcW w:w="3759" w:type="pct"/>
          </w:tcPr>
          <w:p w14:paraId="541E9995"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(Регулятивний капітал – капітал 1-го рівня) / (загальні активи – нематеріальні активи)</w:t>
            </w:r>
          </w:p>
        </w:tc>
        <w:tc>
          <w:tcPr>
            <w:tcW w:w="1241" w:type="pct"/>
            <w:vMerge/>
          </w:tcPr>
          <w:p w14:paraId="34F6CA89"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EB5FB2D" w14:textId="77777777" w:rsidTr="00A1795E">
        <w:tc>
          <w:tcPr>
            <w:tcW w:w="3759" w:type="pct"/>
          </w:tcPr>
          <w:p w14:paraId="6A54808C"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(Регулятивний капітал – капітал 1-го рівня) / необоротні активи</w:t>
            </w:r>
          </w:p>
        </w:tc>
        <w:tc>
          <w:tcPr>
            <w:tcW w:w="1241" w:type="pct"/>
            <w:vMerge/>
          </w:tcPr>
          <w:p w14:paraId="46D46F1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6C99BB9" w14:textId="77777777" w:rsidTr="00A1795E">
        <w:tc>
          <w:tcPr>
            <w:tcW w:w="3759" w:type="pct"/>
          </w:tcPr>
          <w:p w14:paraId="0671CDEF"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(Регулятивний капітал – капітал 1-го рівня) / кредити </w:t>
            </w:r>
          </w:p>
        </w:tc>
        <w:tc>
          <w:tcPr>
            <w:tcW w:w="1241" w:type="pct"/>
            <w:vMerge/>
          </w:tcPr>
          <w:p w14:paraId="56F60278"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98C2218" w14:textId="77777777" w:rsidTr="00A1795E">
        <w:tc>
          <w:tcPr>
            <w:tcW w:w="3759" w:type="pct"/>
          </w:tcPr>
          <w:p w14:paraId="6F67D1C9"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(Регулятивний капітал – капітал 1-го рівня) / загальні активи</w:t>
            </w:r>
          </w:p>
        </w:tc>
        <w:tc>
          <w:tcPr>
            <w:tcW w:w="1241" w:type="pct"/>
            <w:vMerge/>
          </w:tcPr>
          <w:p w14:paraId="7CE7F41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D950D83" w14:textId="77777777" w:rsidTr="00A1795E">
        <w:tc>
          <w:tcPr>
            <w:tcW w:w="3759" w:type="pct"/>
          </w:tcPr>
          <w:p w14:paraId="4004E9C8"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(Регулятивний капітал – капітал 1-го рівня) / загальні зобов’язання </w:t>
            </w:r>
          </w:p>
        </w:tc>
        <w:tc>
          <w:tcPr>
            <w:tcW w:w="1241" w:type="pct"/>
            <w:vMerge/>
          </w:tcPr>
          <w:p w14:paraId="17896930"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C0246E7" w14:textId="77777777" w:rsidTr="00A1795E">
        <w:tc>
          <w:tcPr>
            <w:tcW w:w="3759" w:type="pct"/>
          </w:tcPr>
          <w:p w14:paraId="2A342179"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(Регулятивний капітал – капітал 1-го рівня) / загальні активи, зважені за ступенем ризику</w:t>
            </w:r>
          </w:p>
        </w:tc>
        <w:tc>
          <w:tcPr>
            <w:tcW w:w="1241" w:type="pct"/>
            <w:vMerge/>
          </w:tcPr>
          <w:p w14:paraId="2CF4F25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9E52783" w14:textId="77777777" w:rsidTr="00A1795E">
        <w:tc>
          <w:tcPr>
            <w:tcW w:w="3759" w:type="pct"/>
          </w:tcPr>
          <w:p w14:paraId="0E66EE74"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Основні фонди / клієнтське та короткострокове фінансування</w:t>
            </w:r>
          </w:p>
        </w:tc>
        <w:tc>
          <w:tcPr>
            <w:tcW w:w="1241" w:type="pct"/>
            <w:vMerge/>
          </w:tcPr>
          <w:p w14:paraId="1DD68626"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D8B72D3" w14:textId="77777777" w:rsidTr="00A1795E">
        <w:tc>
          <w:tcPr>
            <w:tcW w:w="3759" w:type="pct"/>
          </w:tcPr>
          <w:p w14:paraId="77299FE8"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Основні фонди / загальні активи</w:t>
            </w:r>
          </w:p>
        </w:tc>
        <w:tc>
          <w:tcPr>
            <w:tcW w:w="1241" w:type="pct"/>
            <w:vMerge/>
          </w:tcPr>
          <w:p w14:paraId="12E886E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A7923ED" w14:textId="77777777" w:rsidTr="00A1795E">
        <w:tc>
          <w:tcPr>
            <w:tcW w:w="3759" w:type="pct"/>
          </w:tcPr>
          <w:p w14:paraId="69C109FA"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Основні фонди / загальні зобов’язання </w:t>
            </w:r>
          </w:p>
        </w:tc>
        <w:tc>
          <w:tcPr>
            <w:tcW w:w="1241" w:type="pct"/>
            <w:vMerge/>
          </w:tcPr>
          <w:p w14:paraId="2DA8A971"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2AB9615" w14:textId="77777777" w:rsidTr="00A1795E">
        <w:tc>
          <w:tcPr>
            <w:tcW w:w="3759" w:type="pct"/>
          </w:tcPr>
          <w:p w14:paraId="546406B3"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Інвестиції у власний капітал / сукупний капітал</w:t>
            </w:r>
          </w:p>
        </w:tc>
        <w:tc>
          <w:tcPr>
            <w:tcW w:w="1241" w:type="pct"/>
            <w:vMerge/>
          </w:tcPr>
          <w:p w14:paraId="1C61E56F"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CA3AEB5" w14:textId="77777777" w:rsidTr="00A1795E">
        <w:tc>
          <w:tcPr>
            <w:tcW w:w="3759" w:type="pct"/>
          </w:tcPr>
          <w:p w14:paraId="3BA99DC3"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Регулятивний капітал / (загальні активи – нематеріальні активи)</w:t>
            </w:r>
          </w:p>
        </w:tc>
        <w:tc>
          <w:tcPr>
            <w:tcW w:w="1241" w:type="pct"/>
            <w:vMerge/>
          </w:tcPr>
          <w:p w14:paraId="75161EAC"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EF5442B" w14:textId="77777777" w:rsidTr="00A1795E">
        <w:tc>
          <w:tcPr>
            <w:tcW w:w="3759" w:type="pct"/>
          </w:tcPr>
          <w:p w14:paraId="5E724A44"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Регулятивний капітал / клієнтське та короткострокове фінансування</w:t>
            </w:r>
          </w:p>
        </w:tc>
        <w:tc>
          <w:tcPr>
            <w:tcW w:w="1241" w:type="pct"/>
            <w:vMerge/>
          </w:tcPr>
          <w:p w14:paraId="6197FDEC"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E2B86C9" w14:textId="77777777" w:rsidTr="00A1795E">
        <w:tc>
          <w:tcPr>
            <w:tcW w:w="3759" w:type="pct"/>
          </w:tcPr>
          <w:p w14:paraId="4244DBA5"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Регулятивний капітал / необоротні активи</w:t>
            </w:r>
          </w:p>
        </w:tc>
        <w:tc>
          <w:tcPr>
            <w:tcW w:w="1241" w:type="pct"/>
            <w:vMerge/>
          </w:tcPr>
          <w:p w14:paraId="66AB215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C1A300B" w14:textId="77777777" w:rsidTr="00A1795E">
        <w:tc>
          <w:tcPr>
            <w:tcW w:w="3759" w:type="pct"/>
          </w:tcPr>
          <w:p w14:paraId="76DEA7FB"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Регулятивний капітал / кредити</w:t>
            </w:r>
          </w:p>
        </w:tc>
        <w:tc>
          <w:tcPr>
            <w:tcW w:w="1241" w:type="pct"/>
            <w:vMerge/>
          </w:tcPr>
          <w:p w14:paraId="56DF35A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2D83A79" w14:textId="77777777" w:rsidTr="00A1795E">
        <w:tc>
          <w:tcPr>
            <w:tcW w:w="3759" w:type="pct"/>
          </w:tcPr>
          <w:p w14:paraId="23B1F0D0"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Регулятивний капітал / сукупні активи</w:t>
            </w:r>
          </w:p>
        </w:tc>
        <w:tc>
          <w:tcPr>
            <w:tcW w:w="1241" w:type="pct"/>
            <w:vMerge/>
          </w:tcPr>
          <w:p w14:paraId="7C7014B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86D3FA1" w14:textId="77777777" w:rsidTr="00A1795E">
        <w:tc>
          <w:tcPr>
            <w:tcW w:w="3759" w:type="pct"/>
          </w:tcPr>
          <w:p w14:paraId="6C482D90"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Регулятивний капітал / сукупні зобов’язання</w:t>
            </w:r>
          </w:p>
        </w:tc>
        <w:tc>
          <w:tcPr>
            <w:tcW w:w="1241" w:type="pct"/>
            <w:vMerge/>
          </w:tcPr>
          <w:p w14:paraId="2808E606"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62C4283" w14:textId="77777777" w:rsidTr="00A1795E">
        <w:tc>
          <w:tcPr>
            <w:tcW w:w="3759" w:type="pct"/>
          </w:tcPr>
          <w:p w14:paraId="122F0052"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Регулятивний капітал / сукупні активи, зважені за ступенем ризику</w:t>
            </w:r>
          </w:p>
        </w:tc>
        <w:tc>
          <w:tcPr>
            <w:tcW w:w="1241" w:type="pct"/>
            <w:vMerge/>
          </w:tcPr>
          <w:p w14:paraId="302C14F2"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02E47D2" w14:textId="77777777" w:rsidTr="00A1795E">
        <w:tc>
          <w:tcPr>
            <w:tcW w:w="3759" w:type="pct"/>
          </w:tcPr>
          <w:p w14:paraId="0B0050B8"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Субординований борг / сума основних фондів</w:t>
            </w:r>
          </w:p>
        </w:tc>
        <w:tc>
          <w:tcPr>
            <w:tcW w:w="1241" w:type="pct"/>
            <w:vMerge/>
          </w:tcPr>
          <w:p w14:paraId="26254E01"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E0D7211" w14:textId="77777777" w:rsidTr="00A1795E">
        <w:tc>
          <w:tcPr>
            <w:tcW w:w="3759" w:type="pct"/>
          </w:tcPr>
          <w:p w14:paraId="0A85F366"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Капітал 1-го рівня / сукупні активи – нематеріальні активи</w:t>
            </w:r>
          </w:p>
        </w:tc>
        <w:tc>
          <w:tcPr>
            <w:tcW w:w="1241" w:type="pct"/>
            <w:vMerge/>
          </w:tcPr>
          <w:p w14:paraId="4FD734B2"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F4FCADD" w14:textId="77777777" w:rsidTr="00A1795E">
        <w:tc>
          <w:tcPr>
            <w:tcW w:w="3759" w:type="pct"/>
          </w:tcPr>
          <w:p w14:paraId="34DD9F76"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Капітал 1-го рівня / необоротні активи</w:t>
            </w:r>
          </w:p>
        </w:tc>
        <w:tc>
          <w:tcPr>
            <w:tcW w:w="1241" w:type="pct"/>
            <w:vMerge/>
          </w:tcPr>
          <w:p w14:paraId="353B4EEE"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7571D68" w14:textId="77777777" w:rsidTr="00A1795E">
        <w:tc>
          <w:tcPr>
            <w:tcW w:w="3759" w:type="pct"/>
          </w:tcPr>
          <w:p w14:paraId="73266848"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Капітал 1-го рівня / кредити</w:t>
            </w:r>
          </w:p>
        </w:tc>
        <w:tc>
          <w:tcPr>
            <w:tcW w:w="1241" w:type="pct"/>
            <w:vMerge/>
          </w:tcPr>
          <w:p w14:paraId="237B96D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A989A25" w14:textId="77777777" w:rsidTr="00A1795E">
        <w:tc>
          <w:tcPr>
            <w:tcW w:w="3759" w:type="pct"/>
          </w:tcPr>
          <w:p w14:paraId="4410146B"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Капітал 1-го рівня / загальні активи</w:t>
            </w:r>
          </w:p>
        </w:tc>
        <w:tc>
          <w:tcPr>
            <w:tcW w:w="1241" w:type="pct"/>
            <w:vMerge/>
          </w:tcPr>
          <w:p w14:paraId="37EC2D74"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201BA5D" w14:textId="77777777" w:rsidTr="00A1795E">
        <w:tc>
          <w:tcPr>
            <w:tcW w:w="3759" w:type="pct"/>
          </w:tcPr>
          <w:p w14:paraId="4B5E89EE"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Капітал 1-го рівня / загальні зобов’язання </w:t>
            </w:r>
          </w:p>
        </w:tc>
        <w:tc>
          <w:tcPr>
            <w:tcW w:w="1241" w:type="pct"/>
            <w:vMerge/>
          </w:tcPr>
          <w:p w14:paraId="04DE5F7C"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B6526C9" w14:textId="77777777" w:rsidTr="00A1795E">
        <w:tc>
          <w:tcPr>
            <w:tcW w:w="3759" w:type="pct"/>
          </w:tcPr>
          <w:p w14:paraId="775762F7"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Капітал 1-го рівня/ загальні активи, зважені за ступенем ризику</w:t>
            </w:r>
          </w:p>
        </w:tc>
        <w:tc>
          <w:tcPr>
            <w:tcW w:w="1241" w:type="pct"/>
            <w:vMerge/>
          </w:tcPr>
          <w:p w14:paraId="6E7C8E1F" w14:textId="77777777" w:rsidR="00683D2C" w:rsidRPr="00F00EB0" w:rsidRDefault="00683D2C" w:rsidP="00A1795E">
            <w:pPr>
              <w:ind w:left="-57" w:right="-57"/>
              <w:rPr>
                <w:rFonts w:ascii="Times New Roman" w:hAnsi="Times New Roman" w:cs="Times New Roman"/>
                <w:color w:val="000000" w:themeColor="text1"/>
                <w:lang w:val="uk-UA"/>
              </w:rPr>
            </w:pPr>
          </w:p>
        </w:tc>
      </w:tr>
    </w:tbl>
    <w:p w14:paraId="328DB9AC" w14:textId="77777777" w:rsidR="00683D2C" w:rsidRPr="00F00EB0" w:rsidRDefault="00683D2C" w:rsidP="00683D2C">
      <w:pPr>
        <w:spacing w:after="0"/>
        <w:jc w:val="right"/>
        <w:rPr>
          <w:rFonts w:ascii="Times New Roman" w:hAnsi="Times New Roman" w:cs="Times New Roman"/>
          <w:color w:val="000000" w:themeColor="text1"/>
          <w:lang w:val="uk-UA"/>
        </w:rPr>
      </w:pPr>
    </w:p>
    <w:p w14:paraId="0218CE5C" w14:textId="07BD5AF1" w:rsidR="00683D2C" w:rsidRPr="00F00EB0" w:rsidRDefault="001F6853" w:rsidP="00683D2C">
      <w:pPr>
        <w:spacing w:after="0"/>
        <w:jc w:val="right"/>
        <w:rPr>
          <w:rFonts w:ascii="Times New Roman" w:hAnsi="Times New Roman" w:cs="Times New Roman"/>
          <w:color w:val="000000" w:themeColor="text1"/>
          <w:sz w:val="28"/>
          <w:szCs w:val="28"/>
          <w:lang w:val="uk-UA" w:eastAsia="ru-RU"/>
        </w:rPr>
      </w:pPr>
      <w:r w:rsidRPr="00F00EB0">
        <w:rPr>
          <w:rFonts w:ascii="Times New Roman" w:hAnsi="Times New Roman" w:cs="Times New Roman"/>
          <w:color w:val="000000" w:themeColor="text1"/>
          <w:sz w:val="28"/>
          <w:szCs w:val="28"/>
          <w:lang w:val="uk-UA"/>
        </w:rPr>
        <w:lastRenderedPageBreak/>
        <w:br/>
      </w:r>
      <w:r w:rsidR="00683D2C" w:rsidRPr="00F00EB0">
        <w:rPr>
          <w:rFonts w:ascii="Times New Roman" w:hAnsi="Times New Roman" w:cs="Times New Roman"/>
          <w:color w:val="000000" w:themeColor="text1"/>
          <w:sz w:val="28"/>
          <w:szCs w:val="28"/>
          <w:lang w:val="uk-UA"/>
        </w:rPr>
        <w:t>Продовження таблиці Д.1</w:t>
      </w:r>
    </w:p>
    <w:tbl>
      <w:tblPr>
        <w:tblStyle w:val="af0"/>
        <w:tblW w:w="5000" w:type="pct"/>
        <w:tblLook w:val="04A0" w:firstRow="1" w:lastRow="0" w:firstColumn="1" w:lastColumn="0" w:noHBand="0" w:noVBand="1"/>
      </w:tblPr>
      <w:tblGrid>
        <w:gridCol w:w="7451"/>
        <w:gridCol w:w="2460"/>
      </w:tblGrid>
      <w:tr w:rsidR="00F00EB0" w:rsidRPr="00F00EB0" w14:paraId="4C02325B" w14:textId="77777777" w:rsidTr="00A1795E">
        <w:tc>
          <w:tcPr>
            <w:tcW w:w="3759" w:type="pct"/>
          </w:tcPr>
          <w:p w14:paraId="0CB14EDB"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1</w:t>
            </w:r>
          </w:p>
        </w:tc>
        <w:tc>
          <w:tcPr>
            <w:tcW w:w="1241" w:type="pct"/>
          </w:tcPr>
          <w:p w14:paraId="092ADA37"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2</w:t>
            </w:r>
          </w:p>
        </w:tc>
      </w:tr>
      <w:tr w:rsidR="00F00EB0" w:rsidRPr="00F00EB0" w14:paraId="73437F31" w14:textId="77777777" w:rsidTr="00A1795E">
        <w:tc>
          <w:tcPr>
            <w:tcW w:w="3759" w:type="pct"/>
          </w:tcPr>
          <w:p w14:paraId="0B52BB76"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Загальний капітал / загальні активи </w:t>
            </w:r>
          </w:p>
        </w:tc>
        <w:tc>
          <w:tcPr>
            <w:tcW w:w="1241" w:type="pct"/>
          </w:tcPr>
          <w:p w14:paraId="7FEE47C0"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AC7382F" w14:textId="77777777" w:rsidTr="00A1795E">
        <w:tc>
          <w:tcPr>
            <w:tcW w:w="5000" w:type="pct"/>
            <w:gridSpan w:val="2"/>
          </w:tcPr>
          <w:p w14:paraId="7F73711C"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Ліквідність </w:t>
            </w:r>
          </w:p>
        </w:tc>
      </w:tr>
      <w:tr w:rsidR="00F00EB0" w:rsidRPr="00F00EB0" w14:paraId="235CCEE7" w14:textId="77777777" w:rsidTr="00A1795E">
        <w:tc>
          <w:tcPr>
            <w:tcW w:w="3759" w:type="pct"/>
          </w:tcPr>
          <w:p w14:paraId="17C3240A"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Депозити / загальні зобов’язання</w:t>
            </w:r>
          </w:p>
        </w:tc>
        <w:tc>
          <w:tcPr>
            <w:tcW w:w="1241" w:type="pct"/>
            <w:vMerge w:val="restart"/>
          </w:tcPr>
          <w:p w14:paraId="344A599E"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можливість визначити, наскільки є збалансованою ресурсна база та активи за строками та можливість банку своєчасно виконати свої зобов’язання</w:t>
            </w:r>
          </w:p>
        </w:tc>
      </w:tr>
      <w:tr w:rsidR="00F00EB0" w:rsidRPr="00F00EB0" w14:paraId="2A446CB3" w14:textId="77777777" w:rsidTr="00A1795E">
        <w:tc>
          <w:tcPr>
            <w:tcW w:w="3759" w:type="pct"/>
          </w:tcPr>
          <w:p w14:paraId="3A7A38DA"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Ліквідні активи / загальні активи</w:t>
            </w:r>
          </w:p>
        </w:tc>
        <w:tc>
          <w:tcPr>
            <w:tcW w:w="1241" w:type="pct"/>
            <w:vMerge/>
          </w:tcPr>
          <w:p w14:paraId="7DE3E13A"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2A6527D" w14:textId="77777777" w:rsidTr="00A1795E">
        <w:tc>
          <w:tcPr>
            <w:tcW w:w="3759" w:type="pct"/>
          </w:tcPr>
          <w:p w14:paraId="1E0AE7F8"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Ліквідні активи / сума депозитів</w:t>
            </w:r>
          </w:p>
        </w:tc>
        <w:tc>
          <w:tcPr>
            <w:tcW w:w="1241" w:type="pct"/>
            <w:vMerge/>
          </w:tcPr>
          <w:p w14:paraId="2371DFE0"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0916FA6" w14:textId="77777777" w:rsidTr="00A1795E">
        <w:tc>
          <w:tcPr>
            <w:tcW w:w="3759" w:type="pct"/>
          </w:tcPr>
          <w:p w14:paraId="21B77581"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Ліквідні активи / клієнтське та короткострокове фінансування</w:t>
            </w:r>
          </w:p>
        </w:tc>
        <w:tc>
          <w:tcPr>
            <w:tcW w:w="1241" w:type="pct"/>
            <w:vMerge/>
          </w:tcPr>
          <w:p w14:paraId="1623A584"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A38A257" w14:textId="77777777" w:rsidTr="00A1795E">
        <w:tc>
          <w:tcPr>
            <w:tcW w:w="3759" w:type="pct"/>
          </w:tcPr>
          <w:p w14:paraId="16752413"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Кредити / депозити клієнтів</w:t>
            </w:r>
          </w:p>
        </w:tc>
        <w:tc>
          <w:tcPr>
            <w:tcW w:w="1241" w:type="pct"/>
            <w:vMerge/>
          </w:tcPr>
          <w:p w14:paraId="26F5AE9E"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2631D01" w14:textId="77777777" w:rsidTr="00A1795E">
        <w:tc>
          <w:tcPr>
            <w:tcW w:w="3759" w:type="pct"/>
          </w:tcPr>
          <w:p w14:paraId="29B8AD43"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Кредити/загальні активи</w:t>
            </w:r>
          </w:p>
        </w:tc>
        <w:tc>
          <w:tcPr>
            <w:tcW w:w="1241" w:type="pct"/>
            <w:vMerge/>
          </w:tcPr>
          <w:p w14:paraId="2CDBAC06"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7B6B2C1" w14:textId="77777777" w:rsidTr="00A1795E">
        <w:trPr>
          <w:trHeight w:val="389"/>
        </w:trPr>
        <w:tc>
          <w:tcPr>
            <w:tcW w:w="3759" w:type="pct"/>
          </w:tcPr>
          <w:p w14:paraId="2F5C5308"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Кредити / загальні активи</w:t>
            </w:r>
          </w:p>
        </w:tc>
        <w:tc>
          <w:tcPr>
            <w:tcW w:w="1241" w:type="pct"/>
            <w:vMerge/>
          </w:tcPr>
          <w:p w14:paraId="03EA1F12"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CC4FACD" w14:textId="77777777" w:rsidTr="00A1795E">
        <w:trPr>
          <w:trHeight w:val="389"/>
        </w:trPr>
        <w:tc>
          <w:tcPr>
            <w:tcW w:w="5000" w:type="pct"/>
            <w:gridSpan w:val="2"/>
          </w:tcPr>
          <w:p w14:paraId="46F47F50"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Рентабельність</w:t>
            </w:r>
          </w:p>
        </w:tc>
      </w:tr>
      <w:tr w:rsidR="00F00EB0" w:rsidRPr="00F00EB0" w14:paraId="0E3B578C" w14:textId="77777777" w:rsidTr="00A1795E">
        <w:tc>
          <w:tcPr>
            <w:tcW w:w="3759" w:type="pct"/>
          </w:tcPr>
          <w:p w14:paraId="1BD6630A"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(Прибуток до оподаткування + резерви на покриття втрат за активами) / сукупна виручка</w:t>
            </w:r>
          </w:p>
        </w:tc>
        <w:tc>
          <w:tcPr>
            <w:tcW w:w="1241" w:type="pct"/>
            <w:vMerge w:val="restart"/>
            <w:vAlign w:val="center"/>
          </w:tcPr>
          <w:p w14:paraId="0AA244F0"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можливість визначити наскільки стабільно діяльність банку є прибутковою до врахування витрат за можливими ризиками та після</w:t>
            </w:r>
          </w:p>
        </w:tc>
      </w:tr>
      <w:tr w:rsidR="00F00EB0" w:rsidRPr="00F00EB0" w14:paraId="441721A8" w14:textId="77777777" w:rsidTr="00A1795E">
        <w:tc>
          <w:tcPr>
            <w:tcW w:w="3759" w:type="pct"/>
          </w:tcPr>
          <w:p w14:paraId="159A5DB8"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процентні витрати) / (Сукупні активи – нематеріальні активи)</w:t>
            </w:r>
          </w:p>
        </w:tc>
        <w:tc>
          <w:tcPr>
            <w:tcW w:w="1241" w:type="pct"/>
            <w:vMerge/>
          </w:tcPr>
          <w:p w14:paraId="5E0A16BC"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628182C" w14:textId="77777777" w:rsidTr="00A1795E">
        <w:tc>
          <w:tcPr>
            <w:tcW w:w="3759" w:type="pct"/>
          </w:tcPr>
          <w:p w14:paraId="4673116F"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процентні витрати) / клієнтське та короткострокове фінансування</w:t>
            </w:r>
          </w:p>
        </w:tc>
        <w:tc>
          <w:tcPr>
            <w:tcW w:w="1241" w:type="pct"/>
            <w:vMerge/>
          </w:tcPr>
          <w:p w14:paraId="47709C4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D8D9C84" w14:textId="77777777" w:rsidTr="00A1795E">
        <w:tc>
          <w:tcPr>
            <w:tcW w:w="3759" w:type="pct"/>
          </w:tcPr>
          <w:p w14:paraId="0B343BA9"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процентні витрати) / власний капітал</w:t>
            </w:r>
          </w:p>
        </w:tc>
        <w:tc>
          <w:tcPr>
            <w:tcW w:w="1241" w:type="pct"/>
            <w:vMerge/>
          </w:tcPr>
          <w:p w14:paraId="6DE1768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9231ED7" w14:textId="77777777" w:rsidTr="00A1795E">
        <w:tc>
          <w:tcPr>
            <w:tcW w:w="3759" w:type="pct"/>
          </w:tcPr>
          <w:p w14:paraId="3CBA750E"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процентні витрати) / необоротні активи</w:t>
            </w:r>
          </w:p>
        </w:tc>
        <w:tc>
          <w:tcPr>
            <w:tcW w:w="1241" w:type="pct"/>
            <w:vMerge/>
          </w:tcPr>
          <w:p w14:paraId="582972BA"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9E2D849" w14:textId="77777777" w:rsidTr="00A1795E">
        <w:tc>
          <w:tcPr>
            <w:tcW w:w="3759" w:type="pct"/>
          </w:tcPr>
          <w:p w14:paraId="6362ECB4"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процентні витрати) / кредити</w:t>
            </w:r>
          </w:p>
        </w:tc>
        <w:tc>
          <w:tcPr>
            <w:tcW w:w="1241" w:type="pct"/>
            <w:vMerge/>
          </w:tcPr>
          <w:p w14:paraId="651FA3FC"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AA20415" w14:textId="77777777" w:rsidTr="00A1795E">
        <w:tc>
          <w:tcPr>
            <w:tcW w:w="3759" w:type="pct"/>
          </w:tcPr>
          <w:p w14:paraId="5E9024E9"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процентні витрати) / загальні активи</w:t>
            </w:r>
          </w:p>
        </w:tc>
        <w:tc>
          <w:tcPr>
            <w:tcW w:w="1241" w:type="pct"/>
            <w:vMerge/>
          </w:tcPr>
          <w:p w14:paraId="5AE4E7E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B303DF2" w14:textId="77777777" w:rsidTr="00A1795E">
        <w:tc>
          <w:tcPr>
            <w:tcW w:w="3759" w:type="pct"/>
          </w:tcPr>
          <w:p w14:paraId="548347B5"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(Сукупні витрати – процентні витрати) / загальні зобов’язання </w:t>
            </w:r>
          </w:p>
        </w:tc>
        <w:tc>
          <w:tcPr>
            <w:tcW w:w="1241" w:type="pct"/>
            <w:vMerge/>
          </w:tcPr>
          <w:p w14:paraId="4B62DFC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E2159CF" w14:textId="77777777" w:rsidTr="00A1795E">
        <w:tc>
          <w:tcPr>
            <w:tcW w:w="3759" w:type="pct"/>
          </w:tcPr>
          <w:p w14:paraId="74C54687"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процентні витрати) / сукупна виручка</w:t>
            </w:r>
          </w:p>
        </w:tc>
        <w:tc>
          <w:tcPr>
            <w:tcW w:w="1241" w:type="pct"/>
            <w:vMerge/>
          </w:tcPr>
          <w:p w14:paraId="4F2F8C2C"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A4178E8" w14:textId="77777777" w:rsidTr="00A1795E">
        <w:tc>
          <w:tcPr>
            <w:tcW w:w="3759" w:type="pct"/>
          </w:tcPr>
          <w:p w14:paraId="107F54A3"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процентні витрати) / загальні активи, зважені за ступенем ризику</w:t>
            </w:r>
          </w:p>
        </w:tc>
        <w:tc>
          <w:tcPr>
            <w:tcW w:w="1241" w:type="pct"/>
            <w:vMerge/>
          </w:tcPr>
          <w:p w14:paraId="7FDE9D32"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5B4AD15" w14:textId="77777777" w:rsidTr="00A1795E">
        <w:tc>
          <w:tcPr>
            <w:tcW w:w="3759" w:type="pct"/>
          </w:tcPr>
          <w:p w14:paraId="5CC82BEE"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(Дохід від торгових операцій + інші операційні доходи) / операційний дохід</w:t>
            </w:r>
          </w:p>
        </w:tc>
        <w:tc>
          <w:tcPr>
            <w:tcW w:w="1241" w:type="pct"/>
            <w:vMerge/>
          </w:tcPr>
          <w:p w14:paraId="064A268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C33486D" w14:textId="77777777" w:rsidTr="00A1795E">
        <w:tc>
          <w:tcPr>
            <w:tcW w:w="3759" w:type="pct"/>
          </w:tcPr>
          <w:p w14:paraId="5F60E6A1"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Співвідношення витрат і прибутку (операційні витрати / операційний дохід)</w:t>
            </w:r>
          </w:p>
        </w:tc>
        <w:tc>
          <w:tcPr>
            <w:tcW w:w="1241" w:type="pct"/>
            <w:vMerge/>
          </w:tcPr>
          <w:p w14:paraId="237C8CD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60EC149" w14:textId="77777777" w:rsidTr="00A1795E">
        <w:tc>
          <w:tcPr>
            <w:tcW w:w="3759" w:type="pct"/>
          </w:tcPr>
          <w:p w14:paraId="566E6C44"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Процентні витрати / депозити</w:t>
            </w:r>
          </w:p>
        </w:tc>
        <w:tc>
          <w:tcPr>
            <w:tcW w:w="1241" w:type="pct"/>
            <w:vMerge/>
          </w:tcPr>
          <w:p w14:paraId="653C517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D86A70D" w14:textId="77777777" w:rsidTr="00A1795E">
        <w:tc>
          <w:tcPr>
            <w:tcW w:w="3759" w:type="pct"/>
          </w:tcPr>
          <w:p w14:paraId="0F19F30D"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Процентні витрати / загальні зобов’язання </w:t>
            </w:r>
          </w:p>
        </w:tc>
        <w:tc>
          <w:tcPr>
            <w:tcW w:w="1241" w:type="pct"/>
            <w:vMerge/>
          </w:tcPr>
          <w:p w14:paraId="718DF1E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760C459" w14:textId="77777777" w:rsidTr="00A1795E">
        <w:tc>
          <w:tcPr>
            <w:tcW w:w="3759" w:type="pct"/>
          </w:tcPr>
          <w:p w14:paraId="61C3801A"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Процентні витрати / сукупні витрати</w:t>
            </w:r>
          </w:p>
        </w:tc>
        <w:tc>
          <w:tcPr>
            <w:tcW w:w="1241" w:type="pct"/>
            <w:vMerge/>
          </w:tcPr>
          <w:p w14:paraId="24165251"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32A0806" w14:textId="77777777" w:rsidTr="00A1795E">
        <w:tc>
          <w:tcPr>
            <w:tcW w:w="3759" w:type="pct"/>
          </w:tcPr>
          <w:p w14:paraId="2659326C"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Процентний дохід / процентні витрати </w:t>
            </w:r>
          </w:p>
        </w:tc>
        <w:tc>
          <w:tcPr>
            <w:tcW w:w="1241" w:type="pct"/>
            <w:vMerge/>
          </w:tcPr>
          <w:p w14:paraId="46F0138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C588EDD" w14:textId="77777777" w:rsidTr="00A1795E">
        <w:tc>
          <w:tcPr>
            <w:tcW w:w="3759" w:type="pct"/>
          </w:tcPr>
          <w:p w14:paraId="7E8289D2"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дохід / (загальні активи – нематеріальні активи)</w:t>
            </w:r>
          </w:p>
        </w:tc>
        <w:tc>
          <w:tcPr>
            <w:tcW w:w="1241" w:type="pct"/>
            <w:vMerge/>
          </w:tcPr>
          <w:p w14:paraId="70EE2D9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1ED526C" w14:textId="77777777" w:rsidTr="00A1795E">
        <w:tc>
          <w:tcPr>
            <w:tcW w:w="3759" w:type="pct"/>
          </w:tcPr>
          <w:p w14:paraId="6C6DA25A"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дохід / клієнтське та короткострокове фінансування</w:t>
            </w:r>
          </w:p>
        </w:tc>
        <w:tc>
          <w:tcPr>
            <w:tcW w:w="1241" w:type="pct"/>
            <w:vMerge/>
          </w:tcPr>
          <w:p w14:paraId="44FA5074"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2AFC0F1" w14:textId="77777777" w:rsidTr="00A1795E">
        <w:tc>
          <w:tcPr>
            <w:tcW w:w="3759" w:type="pct"/>
          </w:tcPr>
          <w:p w14:paraId="187FE2BC"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дохід / власний капітал</w:t>
            </w:r>
          </w:p>
        </w:tc>
        <w:tc>
          <w:tcPr>
            <w:tcW w:w="1241" w:type="pct"/>
            <w:vMerge/>
          </w:tcPr>
          <w:p w14:paraId="7D2A168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CA7C4D3" w14:textId="77777777" w:rsidTr="00A1795E">
        <w:tc>
          <w:tcPr>
            <w:tcW w:w="3759" w:type="pct"/>
          </w:tcPr>
          <w:p w14:paraId="3B89AD80"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дохід / необоротні активи</w:t>
            </w:r>
          </w:p>
        </w:tc>
        <w:tc>
          <w:tcPr>
            <w:tcW w:w="1241" w:type="pct"/>
            <w:vMerge/>
          </w:tcPr>
          <w:p w14:paraId="2BD1DA1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3C5ACEF" w14:textId="77777777" w:rsidTr="00A1795E">
        <w:tc>
          <w:tcPr>
            <w:tcW w:w="3759" w:type="pct"/>
          </w:tcPr>
          <w:p w14:paraId="3B3695CA"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дохід / кредити</w:t>
            </w:r>
          </w:p>
        </w:tc>
        <w:tc>
          <w:tcPr>
            <w:tcW w:w="1241" w:type="pct"/>
            <w:vMerge/>
          </w:tcPr>
          <w:p w14:paraId="381D36A2"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040FD00" w14:textId="77777777" w:rsidTr="00A1795E">
        <w:tc>
          <w:tcPr>
            <w:tcW w:w="3759" w:type="pct"/>
          </w:tcPr>
          <w:p w14:paraId="61881C9F"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дохід / загальні активи</w:t>
            </w:r>
          </w:p>
        </w:tc>
        <w:tc>
          <w:tcPr>
            <w:tcW w:w="1241" w:type="pct"/>
            <w:vMerge/>
          </w:tcPr>
          <w:p w14:paraId="3DBEEAC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0D192ED" w14:textId="77777777" w:rsidTr="00A1795E">
        <w:tc>
          <w:tcPr>
            <w:tcW w:w="3759" w:type="pct"/>
          </w:tcPr>
          <w:p w14:paraId="3836D1C0"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дохід / дохідні  активи</w:t>
            </w:r>
          </w:p>
        </w:tc>
        <w:tc>
          <w:tcPr>
            <w:tcW w:w="1241" w:type="pct"/>
            <w:vMerge/>
          </w:tcPr>
          <w:p w14:paraId="2A198A0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BC43C94" w14:textId="77777777" w:rsidTr="00A1795E">
        <w:tc>
          <w:tcPr>
            <w:tcW w:w="3759" w:type="pct"/>
          </w:tcPr>
          <w:p w14:paraId="72FE5A26"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дохід / сукупні витрати</w:t>
            </w:r>
          </w:p>
        </w:tc>
        <w:tc>
          <w:tcPr>
            <w:tcW w:w="1241" w:type="pct"/>
            <w:vMerge/>
          </w:tcPr>
          <w:p w14:paraId="22D54BA8"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974B78E" w14:textId="77777777" w:rsidTr="00A1795E">
        <w:tc>
          <w:tcPr>
            <w:tcW w:w="3759" w:type="pct"/>
          </w:tcPr>
          <w:p w14:paraId="6254DDB8"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дохід / загальні зобов’язання</w:t>
            </w:r>
          </w:p>
        </w:tc>
        <w:tc>
          <w:tcPr>
            <w:tcW w:w="1241" w:type="pct"/>
            <w:vMerge/>
          </w:tcPr>
          <w:p w14:paraId="6CCAC1A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75F7A63" w14:textId="77777777" w:rsidTr="00A1795E">
        <w:tc>
          <w:tcPr>
            <w:tcW w:w="3759" w:type="pct"/>
          </w:tcPr>
          <w:p w14:paraId="4DB294EE"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дохід / сукупна виручка</w:t>
            </w:r>
          </w:p>
        </w:tc>
        <w:tc>
          <w:tcPr>
            <w:tcW w:w="1241" w:type="pct"/>
            <w:vMerge/>
          </w:tcPr>
          <w:p w14:paraId="5708603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DBAAF46" w14:textId="77777777" w:rsidTr="00A1795E">
        <w:tc>
          <w:tcPr>
            <w:tcW w:w="3759" w:type="pct"/>
          </w:tcPr>
          <w:p w14:paraId="24E71D74"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дохід / загальні активи, зважені за ступенем ризику</w:t>
            </w:r>
          </w:p>
        </w:tc>
        <w:tc>
          <w:tcPr>
            <w:tcW w:w="1241" w:type="pct"/>
            <w:vMerge/>
          </w:tcPr>
          <w:p w14:paraId="5161BDC9"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FF65932" w14:textId="77777777" w:rsidTr="00A1795E">
        <w:tc>
          <w:tcPr>
            <w:tcW w:w="3759" w:type="pct"/>
          </w:tcPr>
          <w:p w14:paraId="6DE2CF71"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процентний дохід / середній розмір активів</w:t>
            </w:r>
          </w:p>
        </w:tc>
        <w:tc>
          <w:tcPr>
            <w:tcW w:w="1241" w:type="pct"/>
            <w:vMerge/>
          </w:tcPr>
          <w:p w14:paraId="313D190A"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D5DF274" w14:textId="77777777" w:rsidTr="00A1795E">
        <w:tc>
          <w:tcPr>
            <w:tcW w:w="3759" w:type="pct"/>
          </w:tcPr>
          <w:p w14:paraId="78C88E5B"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Чиста процентна маржа</w:t>
            </w:r>
          </w:p>
        </w:tc>
        <w:tc>
          <w:tcPr>
            <w:tcW w:w="1241" w:type="pct"/>
            <w:vMerge/>
          </w:tcPr>
          <w:p w14:paraId="410A25EE"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93B06E6" w14:textId="77777777" w:rsidTr="00A1795E">
        <w:tc>
          <w:tcPr>
            <w:tcW w:w="3759" w:type="pct"/>
          </w:tcPr>
          <w:p w14:paraId="13FB958B"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процентний дохід / власний капітал</w:t>
            </w:r>
          </w:p>
        </w:tc>
        <w:tc>
          <w:tcPr>
            <w:tcW w:w="1241" w:type="pct"/>
            <w:vMerge/>
          </w:tcPr>
          <w:p w14:paraId="35A4AAD9"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5137935" w14:textId="77777777" w:rsidTr="00A1795E">
        <w:tc>
          <w:tcPr>
            <w:tcW w:w="3759" w:type="pct"/>
          </w:tcPr>
          <w:p w14:paraId="388464A5"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процентний дохід / необоротні активи</w:t>
            </w:r>
          </w:p>
        </w:tc>
        <w:tc>
          <w:tcPr>
            <w:tcW w:w="1241" w:type="pct"/>
            <w:vMerge/>
          </w:tcPr>
          <w:p w14:paraId="4A15E588"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29EC3E9" w14:textId="77777777" w:rsidTr="00A1795E">
        <w:tc>
          <w:tcPr>
            <w:tcW w:w="3759" w:type="pct"/>
          </w:tcPr>
          <w:p w14:paraId="171DC830"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процентний дохід / кредити</w:t>
            </w:r>
          </w:p>
        </w:tc>
        <w:tc>
          <w:tcPr>
            <w:tcW w:w="1241" w:type="pct"/>
            <w:vMerge/>
          </w:tcPr>
          <w:p w14:paraId="6C959C6C"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EB30F03" w14:textId="77777777" w:rsidTr="00A1795E">
        <w:tc>
          <w:tcPr>
            <w:tcW w:w="3759" w:type="pct"/>
          </w:tcPr>
          <w:p w14:paraId="5FCE920A"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процентний дохід / загальні активи</w:t>
            </w:r>
          </w:p>
        </w:tc>
        <w:tc>
          <w:tcPr>
            <w:tcW w:w="1241" w:type="pct"/>
            <w:vMerge/>
          </w:tcPr>
          <w:p w14:paraId="12C58604"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1C408AA" w14:textId="77777777" w:rsidTr="00A1795E">
        <w:tc>
          <w:tcPr>
            <w:tcW w:w="3759" w:type="pct"/>
          </w:tcPr>
          <w:p w14:paraId="7653AB78"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процентний дохід / дохідні активи</w:t>
            </w:r>
          </w:p>
        </w:tc>
        <w:tc>
          <w:tcPr>
            <w:tcW w:w="1241" w:type="pct"/>
            <w:vMerge/>
          </w:tcPr>
          <w:p w14:paraId="02E62271"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D4CDB62" w14:textId="77777777" w:rsidTr="00A1795E">
        <w:tc>
          <w:tcPr>
            <w:tcW w:w="3759" w:type="pct"/>
          </w:tcPr>
          <w:p w14:paraId="688D43C4"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процентний дохід / сукупні витрати</w:t>
            </w:r>
          </w:p>
        </w:tc>
        <w:tc>
          <w:tcPr>
            <w:tcW w:w="1241" w:type="pct"/>
            <w:vMerge/>
          </w:tcPr>
          <w:p w14:paraId="0E6D972A"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14B40BD" w14:textId="77777777" w:rsidTr="00A1795E">
        <w:tc>
          <w:tcPr>
            <w:tcW w:w="3759" w:type="pct"/>
          </w:tcPr>
          <w:p w14:paraId="28891020"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Чистий процентний дохід / загальні зобов’язання </w:t>
            </w:r>
          </w:p>
        </w:tc>
        <w:tc>
          <w:tcPr>
            <w:tcW w:w="1241" w:type="pct"/>
            <w:vMerge/>
          </w:tcPr>
          <w:p w14:paraId="2D3C6714" w14:textId="77777777" w:rsidR="00683D2C" w:rsidRPr="00F00EB0" w:rsidRDefault="00683D2C" w:rsidP="00A1795E">
            <w:pPr>
              <w:ind w:left="-57" w:right="-57"/>
              <w:rPr>
                <w:rFonts w:ascii="Times New Roman" w:hAnsi="Times New Roman" w:cs="Times New Roman"/>
                <w:color w:val="000000" w:themeColor="text1"/>
                <w:lang w:val="uk-UA"/>
              </w:rPr>
            </w:pPr>
          </w:p>
        </w:tc>
      </w:tr>
    </w:tbl>
    <w:p w14:paraId="3EFF374D" w14:textId="55394EB8" w:rsidR="00683D2C" w:rsidRPr="00F00EB0" w:rsidRDefault="00683D2C" w:rsidP="00683D2C">
      <w:pPr>
        <w:spacing w:after="0"/>
        <w:jc w:val="right"/>
        <w:rPr>
          <w:rFonts w:ascii="Times New Roman" w:hAnsi="Times New Roman" w:cs="Times New Roman"/>
          <w:color w:val="000000" w:themeColor="text1"/>
          <w:sz w:val="28"/>
          <w:szCs w:val="28"/>
          <w:lang w:val="uk-UA" w:eastAsia="ru-RU"/>
        </w:rPr>
      </w:pPr>
      <w:r w:rsidRPr="00F00EB0">
        <w:rPr>
          <w:rFonts w:ascii="Times New Roman" w:hAnsi="Times New Roman" w:cs="Times New Roman"/>
          <w:color w:val="000000" w:themeColor="text1"/>
          <w:sz w:val="28"/>
          <w:szCs w:val="28"/>
          <w:lang w:val="uk-UA"/>
        </w:rPr>
        <w:lastRenderedPageBreak/>
        <w:t>Продовження таблиці Д.1</w:t>
      </w:r>
    </w:p>
    <w:tbl>
      <w:tblPr>
        <w:tblStyle w:val="af0"/>
        <w:tblW w:w="5000" w:type="pct"/>
        <w:tblLook w:val="04A0" w:firstRow="1" w:lastRow="0" w:firstColumn="1" w:lastColumn="0" w:noHBand="0" w:noVBand="1"/>
      </w:tblPr>
      <w:tblGrid>
        <w:gridCol w:w="7451"/>
        <w:gridCol w:w="2460"/>
      </w:tblGrid>
      <w:tr w:rsidR="00F00EB0" w:rsidRPr="00F00EB0" w14:paraId="677FB659" w14:textId="77777777" w:rsidTr="00A1795E">
        <w:tc>
          <w:tcPr>
            <w:tcW w:w="3759" w:type="pct"/>
          </w:tcPr>
          <w:p w14:paraId="5FF957FE"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1</w:t>
            </w:r>
          </w:p>
        </w:tc>
        <w:tc>
          <w:tcPr>
            <w:tcW w:w="1241" w:type="pct"/>
          </w:tcPr>
          <w:p w14:paraId="7BB19A77"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2</w:t>
            </w:r>
          </w:p>
        </w:tc>
      </w:tr>
      <w:tr w:rsidR="00F00EB0" w:rsidRPr="00F00EB0" w14:paraId="4246D46E" w14:textId="77777777" w:rsidTr="00A1795E">
        <w:tc>
          <w:tcPr>
            <w:tcW w:w="3759" w:type="pct"/>
          </w:tcPr>
          <w:p w14:paraId="29835C8F"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процентний дохід / сукупний операційний доход</w:t>
            </w:r>
          </w:p>
        </w:tc>
        <w:tc>
          <w:tcPr>
            <w:tcW w:w="1241" w:type="pct"/>
            <w:vMerge w:val="restart"/>
          </w:tcPr>
          <w:p w14:paraId="2F82A6D4"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3EDD1C6" w14:textId="77777777" w:rsidTr="00A1795E">
        <w:tc>
          <w:tcPr>
            <w:tcW w:w="3759" w:type="pct"/>
          </w:tcPr>
          <w:p w14:paraId="32504964"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процентний дохід / загальні активи, зважені за ступенем ризику</w:t>
            </w:r>
          </w:p>
        </w:tc>
        <w:tc>
          <w:tcPr>
            <w:tcW w:w="1241" w:type="pct"/>
            <w:vMerge/>
          </w:tcPr>
          <w:p w14:paraId="4D1C5B7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A8C6748" w14:textId="77777777" w:rsidTr="00A1795E">
        <w:tc>
          <w:tcPr>
            <w:tcW w:w="3759" w:type="pct"/>
          </w:tcPr>
          <w:p w14:paraId="65958832"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Непроцентний дохід / середній розмір активів</w:t>
            </w:r>
          </w:p>
        </w:tc>
        <w:tc>
          <w:tcPr>
            <w:tcW w:w="1241" w:type="pct"/>
            <w:vMerge/>
          </w:tcPr>
          <w:p w14:paraId="3496DC41"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224A0A1" w14:textId="77777777" w:rsidTr="00A1795E">
        <w:tc>
          <w:tcPr>
            <w:tcW w:w="3759" w:type="pct"/>
          </w:tcPr>
          <w:p w14:paraId="1762FB71"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Позареалізаційні доходи / чистий дохід </w:t>
            </w:r>
          </w:p>
        </w:tc>
        <w:tc>
          <w:tcPr>
            <w:tcW w:w="1241" w:type="pct"/>
            <w:vMerge/>
          </w:tcPr>
          <w:p w14:paraId="4B54E010"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323E47F" w14:textId="77777777" w:rsidTr="00A1795E">
        <w:tc>
          <w:tcPr>
            <w:tcW w:w="3759" w:type="pct"/>
          </w:tcPr>
          <w:p w14:paraId="2232F9A9"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Інші операційні доходи / середній розмір активів</w:t>
            </w:r>
          </w:p>
        </w:tc>
        <w:tc>
          <w:tcPr>
            <w:tcW w:w="1241" w:type="pct"/>
            <w:vMerge/>
          </w:tcPr>
          <w:p w14:paraId="18A09294"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8EF11A2" w14:textId="77777777" w:rsidTr="00A1795E">
        <w:tc>
          <w:tcPr>
            <w:tcW w:w="3759" w:type="pct"/>
          </w:tcPr>
          <w:p w14:paraId="7301C6D5"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Інші операційні доходи / (загальні активи – нематеріальні активи)</w:t>
            </w:r>
          </w:p>
        </w:tc>
        <w:tc>
          <w:tcPr>
            <w:tcW w:w="1241" w:type="pct"/>
            <w:vMerge/>
          </w:tcPr>
          <w:p w14:paraId="2635CC65"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6B3E357" w14:textId="77777777" w:rsidTr="00A1795E">
        <w:tc>
          <w:tcPr>
            <w:tcW w:w="3759" w:type="pct"/>
          </w:tcPr>
          <w:p w14:paraId="068476FB"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Інші операційні доходи / клієнтське та короткострокове фінансування</w:t>
            </w:r>
          </w:p>
        </w:tc>
        <w:tc>
          <w:tcPr>
            <w:tcW w:w="1241" w:type="pct"/>
            <w:vMerge/>
          </w:tcPr>
          <w:p w14:paraId="22D529DE"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F8F8E0E" w14:textId="77777777" w:rsidTr="00A1795E">
        <w:tc>
          <w:tcPr>
            <w:tcW w:w="3759" w:type="pct"/>
          </w:tcPr>
          <w:p w14:paraId="1E257B91"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Інші операційні доходи / власний капітал</w:t>
            </w:r>
          </w:p>
        </w:tc>
        <w:tc>
          <w:tcPr>
            <w:tcW w:w="1241" w:type="pct"/>
            <w:vMerge/>
          </w:tcPr>
          <w:p w14:paraId="1F021FED"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067ED31" w14:textId="77777777" w:rsidTr="00A1795E">
        <w:tc>
          <w:tcPr>
            <w:tcW w:w="3759" w:type="pct"/>
          </w:tcPr>
          <w:p w14:paraId="31498973"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Інші операційні доходи / необоротні активи</w:t>
            </w:r>
          </w:p>
        </w:tc>
        <w:tc>
          <w:tcPr>
            <w:tcW w:w="1241" w:type="pct"/>
            <w:vMerge/>
          </w:tcPr>
          <w:p w14:paraId="6D2ADCDD"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7DF98C3" w14:textId="77777777" w:rsidTr="00A1795E">
        <w:tc>
          <w:tcPr>
            <w:tcW w:w="3759" w:type="pct"/>
          </w:tcPr>
          <w:p w14:paraId="4E0341A6"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Інші операційні доходи / кредити</w:t>
            </w:r>
          </w:p>
        </w:tc>
        <w:tc>
          <w:tcPr>
            <w:tcW w:w="1241" w:type="pct"/>
            <w:vMerge/>
          </w:tcPr>
          <w:p w14:paraId="6DFA56C4"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F078BF3" w14:textId="77777777" w:rsidTr="00A1795E">
        <w:tc>
          <w:tcPr>
            <w:tcW w:w="3759" w:type="pct"/>
          </w:tcPr>
          <w:p w14:paraId="17F4388D"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Інші операційні доходи / загальні активи</w:t>
            </w:r>
          </w:p>
        </w:tc>
        <w:tc>
          <w:tcPr>
            <w:tcW w:w="1241" w:type="pct"/>
            <w:vMerge/>
          </w:tcPr>
          <w:p w14:paraId="0F2A262F"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0F5A0BB" w14:textId="77777777" w:rsidTr="00A1795E">
        <w:tc>
          <w:tcPr>
            <w:tcW w:w="3759" w:type="pct"/>
          </w:tcPr>
          <w:p w14:paraId="3F90CFEE"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Інші операційні доходи / дохідні активи</w:t>
            </w:r>
          </w:p>
        </w:tc>
        <w:tc>
          <w:tcPr>
            <w:tcW w:w="1241" w:type="pct"/>
            <w:vMerge/>
          </w:tcPr>
          <w:p w14:paraId="3185B175"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E6030A7" w14:textId="77777777" w:rsidTr="00A1795E">
        <w:tc>
          <w:tcPr>
            <w:tcW w:w="3759" w:type="pct"/>
          </w:tcPr>
          <w:p w14:paraId="1A240DDD"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Інші операційні доходи / сукупні витрати</w:t>
            </w:r>
          </w:p>
        </w:tc>
        <w:tc>
          <w:tcPr>
            <w:tcW w:w="1241" w:type="pct"/>
            <w:vMerge/>
          </w:tcPr>
          <w:p w14:paraId="7434885C"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D5FF506" w14:textId="77777777" w:rsidTr="00A1795E">
        <w:tc>
          <w:tcPr>
            <w:tcW w:w="3759" w:type="pct"/>
          </w:tcPr>
          <w:p w14:paraId="6B373AA0"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Інші операційні доходи / загальні зобов’язання </w:t>
            </w:r>
          </w:p>
        </w:tc>
        <w:tc>
          <w:tcPr>
            <w:tcW w:w="1241" w:type="pct"/>
            <w:vMerge/>
          </w:tcPr>
          <w:p w14:paraId="40D102A9"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B014514" w14:textId="77777777" w:rsidTr="00A1795E">
        <w:tc>
          <w:tcPr>
            <w:tcW w:w="3759" w:type="pct"/>
          </w:tcPr>
          <w:p w14:paraId="5547A2AC"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Інші операційні доходи / сукупна виручка</w:t>
            </w:r>
          </w:p>
        </w:tc>
        <w:tc>
          <w:tcPr>
            <w:tcW w:w="1241" w:type="pct"/>
            <w:vMerge/>
          </w:tcPr>
          <w:p w14:paraId="383882DE"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F2A5965" w14:textId="77777777" w:rsidTr="00A1795E">
        <w:tc>
          <w:tcPr>
            <w:tcW w:w="3759" w:type="pct"/>
          </w:tcPr>
          <w:p w14:paraId="2AC40694"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Інші операційні доходи / загальні активи, зважені за ступенем ризику</w:t>
            </w:r>
          </w:p>
        </w:tc>
        <w:tc>
          <w:tcPr>
            <w:tcW w:w="1241" w:type="pct"/>
            <w:vMerge/>
          </w:tcPr>
          <w:p w14:paraId="3D3D2E69"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C708BB0" w14:textId="77777777" w:rsidTr="00A1795E">
        <w:tc>
          <w:tcPr>
            <w:tcW w:w="3759" w:type="pct"/>
          </w:tcPr>
          <w:p w14:paraId="46B45D12"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Прибуток до оподаткування / чистий дохід</w:t>
            </w:r>
          </w:p>
        </w:tc>
        <w:tc>
          <w:tcPr>
            <w:tcW w:w="1241" w:type="pct"/>
            <w:vMerge/>
          </w:tcPr>
          <w:p w14:paraId="10634C3D"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4C066DF" w14:textId="77777777" w:rsidTr="00A1795E">
        <w:tc>
          <w:tcPr>
            <w:tcW w:w="3759" w:type="pct"/>
          </w:tcPr>
          <w:p w14:paraId="14ABBC60"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Прибуток до оподаткування / (загальні активи – нематеріальні активи)</w:t>
            </w:r>
          </w:p>
        </w:tc>
        <w:tc>
          <w:tcPr>
            <w:tcW w:w="1241" w:type="pct"/>
            <w:vMerge/>
          </w:tcPr>
          <w:p w14:paraId="1B6675C2"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D76B4BE" w14:textId="77777777" w:rsidTr="00A1795E">
        <w:tc>
          <w:tcPr>
            <w:tcW w:w="3759" w:type="pct"/>
          </w:tcPr>
          <w:p w14:paraId="24375939"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Прибуток до оподаткування / клієнтське та короткострокове фінансування</w:t>
            </w:r>
          </w:p>
        </w:tc>
        <w:tc>
          <w:tcPr>
            <w:tcW w:w="1241" w:type="pct"/>
            <w:vMerge/>
          </w:tcPr>
          <w:p w14:paraId="7A669BDF"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618CBA8" w14:textId="77777777" w:rsidTr="00A1795E">
        <w:tc>
          <w:tcPr>
            <w:tcW w:w="3759" w:type="pct"/>
          </w:tcPr>
          <w:p w14:paraId="5E00CB3E"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Прибуток до оподаткування / власний капітал</w:t>
            </w:r>
          </w:p>
        </w:tc>
        <w:tc>
          <w:tcPr>
            <w:tcW w:w="1241" w:type="pct"/>
            <w:vMerge/>
          </w:tcPr>
          <w:p w14:paraId="5F81EAC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E2CA228" w14:textId="77777777" w:rsidTr="00A1795E">
        <w:tc>
          <w:tcPr>
            <w:tcW w:w="3759" w:type="pct"/>
          </w:tcPr>
          <w:p w14:paraId="5049AD11"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Прибуток до оподаткування / необоротні активи</w:t>
            </w:r>
          </w:p>
        </w:tc>
        <w:tc>
          <w:tcPr>
            <w:tcW w:w="1241" w:type="pct"/>
            <w:vMerge/>
          </w:tcPr>
          <w:p w14:paraId="3581587E"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F51666C" w14:textId="77777777" w:rsidTr="00A1795E">
        <w:tc>
          <w:tcPr>
            <w:tcW w:w="3759" w:type="pct"/>
          </w:tcPr>
          <w:p w14:paraId="51559DD7"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Прибуток до оподаткування / кредити</w:t>
            </w:r>
          </w:p>
        </w:tc>
        <w:tc>
          <w:tcPr>
            <w:tcW w:w="1241" w:type="pct"/>
            <w:vMerge/>
          </w:tcPr>
          <w:p w14:paraId="5C951B9E"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6CE3E96" w14:textId="77777777" w:rsidTr="00A1795E">
        <w:tc>
          <w:tcPr>
            <w:tcW w:w="3759" w:type="pct"/>
          </w:tcPr>
          <w:p w14:paraId="50D317E6"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Прибуток до оподаткування / загальні активи</w:t>
            </w:r>
          </w:p>
        </w:tc>
        <w:tc>
          <w:tcPr>
            <w:tcW w:w="1241" w:type="pct"/>
            <w:vMerge/>
          </w:tcPr>
          <w:p w14:paraId="4D48A42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40C056F" w14:textId="77777777" w:rsidTr="00A1795E">
        <w:tc>
          <w:tcPr>
            <w:tcW w:w="3759" w:type="pct"/>
          </w:tcPr>
          <w:p w14:paraId="6143F933"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Прибуток до оподаткування / дохідні активи</w:t>
            </w:r>
          </w:p>
        </w:tc>
        <w:tc>
          <w:tcPr>
            <w:tcW w:w="1241" w:type="pct"/>
            <w:vMerge/>
          </w:tcPr>
          <w:p w14:paraId="07BC0B59"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37E0685" w14:textId="77777777" w:rsidTr="00A1795E">
        <w:tc>
          <w:tcPr>
            <w:tcW w:w="3759" w:type="pct"/>
          </w:tcPr>
          <w:p w14:paraId="6C3964B0"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Прибуток до оподаткування / сукупні витрати</w:t>
            </w:r>
          </w:p>
        </w:tc>
        <w:tc>
          <w:tcPr>
            <w:tcW w:w="1241" w:type="pct"/>
            <w:vMerge/>
          </w:tcPr>
          <w:p w14:paraId="70D8AD52"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B53B766" w14:textId="77777777" w:rsidTr="00A1795E">
        <w:tc>
          <w:tcPr>
            <w:tcW w:w="3759" w:type="pct"/>
          </w:tcPr>
          <w:p w14:paraId="54CCED2A"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Прибуток до оподаткування / загальні зобов’язання </w:t>
            </w:r>
          </w:p>
        </w:tc>
        <w:tc>
          <w:tcPr>
            <w:tcW w:w="1241" w:type="pct"/>
            <w:vMerge/>
          </w:tcPr>
          <w:p w14:paraId="54B33DB9"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B21DB43" w14:textId="77777777" w:rsidTr="00A1795E">
        <w:tc>
          <w:tcPr>
            <w:tcW w:w="3759" w:type="pct"/>
          </w:tcPr>
          <w:p w14:paraId="55AFB20C"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Прибуток до оподаткування / сукупна виручка</w:t>
            </w:r>
          </w:p>
        </w:tc>
        <w:tc>
          <w:tcPr>
            <w:tcW w:w="1241" w:type="pct"/>
            <w:vMerge/>
          </w:tcPr>
          <w:p w14:paraId="504E691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3027BB6" w14:textId="77777777" w:rsidTr="00A1795E">
        <w:tc>
          <w:tcPr>
            <w:tcW w:w="3759" w:type="pct"/>
          </w:tcPr>
          <w:p w14:paraId="0CE57F9F"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Прибуток до оподаткування / загальні активи, зважені за ступенем ризику</w:t>
            </w:r>
          </w:p>
        </w:tc>
        <w:tc>
          <w:tcPr>
            <w:tcW w:w="1241" w:type="pct"/>
            <w:vMerge/>
          </w:tcPr>
          <w:p w14:paraId="5B5DA7FD"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E91986E" w14:textId="77777777" w:rsidTr="00A1795E">
        <w:tc>
          <w:tcPr>
            <w:tcW w:w="3759" w:type="pct"/>
          </w:tcPr>
          <w:p w14:paraId="0150D70D" w14:textId="77777777" w:rsidR="00683D2C" w:rsidRPr="00F00EB0" w:rsidRDefault="00683D2C" w:rsidP="00A1795E">
            <w:pPr>
              <w:tabs>
                <w:tab w:val="right" w:pos="5028"/>
              </w:tabs>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Середня рентабельність активів (ROAA)</w:t>
            </w:r>
            <w:r w:rsidRPr="00F00EB0">
              <w:rPr>
                <w:rFonts w:ascii="Times New Roman" w:hAnsi="Times New Roman" w:cs="Times New Roman"/>
                <w:color w:val="000000" w:themeColor="text1"/>
                <w:lang w:val="uk-UA"/>
              </w:rPr>
              <w:tab/>
            </w:r>
          </w:p>
        </w:tc>
        <w:tc>
          <w:tcPr>
            <w:tcW w:w="1241" w:type="pct"/>
            <w:vMerge/>
          </w:tcPr>
          <w:p w14:paraId="1556D0B6"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708C225" w14:textId="77777777" w:rsidTr="00A1795E">
        <w:tc>
          <w:tcPr>
            <w:tcW w:w="3759" w:type="pct"/>
          </w:tcPr>
          <w:p w14:paraId="72918FC8"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Середня рентабельність власного капіталу (ROAЕ)</w:t>
            </w:r>
          </w:p>
        </w:tc>
        <w:tc>
          <w:tcPr>
            <w:tcW w:w="1241" w:type="pct"/>
            <w:vMerge/>
          </w:tcPr>
          <w:p w14:paraId="5545EFAE"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278A946" w14:textId="77777777" w:rsidTr="00A1795E">
        <w:tc>
          <w:tcPr>
            <w:tcW w:w="3759" w:type="pct"/>
          </w:tcPr>
          <w:p w14:paraId="260D00C6"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(загальні активи – нематеріальні активи)</w:t>
            </w:r>
          </w:p>
        </w:tc>
        <w:tc>
          <w:tcPr>
            <w:tcW w:w="1241" w:type="pct"/>
            <w:vMerge/>
          </w:tcPr>
          <w:p w14:paraId="5BE3852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E000C95" w14:textId="77777777" w:rsidTr="00A1795E">
        <w:tc>
          <w:tcPr>
            <w:tcW w:w="3759" w:type="pct"/>
          </w:tcPr>
          <w:p w14:paraId="2A02B66D"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клієнтське та короткострокове фінансування</w:t>
            </w:r>
          </w:p>
        </w:tc>
        <w:tc>
          <w:tcPr>
            <w:tcW w:w="1241" w:type="pct"/>
            <w:vMerge/>
          </w:tcPr>
          <w:p w14:paraId="451D3ED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0E48A2F" w14:textId="77777777" w:rsidTr="00A1795E">
        <w:tc>
          <w:tcPr>
            <w:tcW w:w="3759" w:type="pct"/>
          </w:tcPr>
          <w:p w14:paraId="32EF6122"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власний капітал</w:t>
            </w:r>
          </w:p>
        </w:tc>
        <w:tc>
          <w:tcPr>
            <w:tcW w:w="1241" w:type="pct"/>
            <w:vMerge w:val="restart"/>
          </w:tcPr>
          <w:p w14:paraId="246E2740"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B4C5F97" w14:textId="77777777" w:rsidTr="00A1795E">
        <w:tc>
          <w:tcPr>
            <w:tcW w:w="3759" w:type="pct"/>
          </w:tcPr>
          <w:p w14:paraId="4A95EEF0"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необоротні активи</w:t>
            </w:r>
          </w:p>
        </w:tc>
        <w:tc>
          <w:tcPr>
            <w:tcW w:w="1241" w:type="pct"/>
            <w:vMerge/>
          </w:tcPr>
          <w:p w14:paraId="74FC3A10"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2D2FB78" w14:textId="77777777" w:rsidTr="00A1795E">
        <w:tc>
          <w:tcPr>
            <w:tcW w:w="3759" w:type="pct"/>
          </w:tcPr>
          <w:p w14:paraId="0BFBED5D"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кредити</w:t>
            </w:r>
          </w:p>
        </w:tc>
        <w:tc>
          <w:tcPr>
            <w:tcW w:w="1241" w:type="pct"/>
            <w:vMerge/>
          </w:tcPr>
          <w:p w14:paraId="5ACDC38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DDB9130" w14:textId="77777777" w:rsidTr="00A1795E">
        <w:tc>
          <w:tcPr>
            <w:tcW w:w="3759" w:type="pct"/>
          </w:tcPr>
          <w:p w14:paraId="1305F3E0"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загальні активи</w:t>
            </w:r>
          </w:p>
        </w:tc>
        <w:tc>
          <w:tcPr>
            <w:tcW w:w="1241" w:type="pct"/>
            <w:vMerge/>
          </w:tcPr>
          <w:p w14:paraId="6669A49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75CB164" w14:textId="77777777" w:rsidTr="00A1795E">
        <w:tc>
          <w:tcPr>
            <w:tcW w:w="3759" w:type="pct"/>
          </w:tcPr>
          <w:p w14:paraId="6B5DCCF4"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дохідні активи</w:t>
            </w:r>
          </w:p>
        </w:tc>
        <w:tc>
          <w:tcPr>
            <w:tcW w:w="1241" w:type="pct"/>
            <w:vMerge/>
          </w:tcPr>
          <w:p w14:paraId="088CA9D9"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5E2FC7B" w14:textId="77777777" w:rsidTr="00A1795E">
        <w:tc>
          <w:tcPr>
            <w:tcW w:w="3759" w:type="pct"/>
          </w:tcPr>
          <w:p w14:paraId="5A0E0EB6"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Сукупні витрати / загальні зобов’язання </w:t>
            </w:r>
          </w:p>
        </w:tc>
        <w:tc>
          <w:tcPr>
            <w:tcW w:w="1241" w:type="pct"/>
            <w:vMerge/>
          </w:tcPr>
          <w:p w14:paraId="68573D99"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B759E3A" w14:textId="77777777" w:rsidTr="00A1795E">
        <w:tc>
          <w:tcPr>
            <w:tcW w:w="3759" w:type="pct"/>
          </w:tcPr>
          <w:p w14:paraId="1FFCFC16"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сукупна виручка</w:t>
            </w:r>
          </w:p>
        </w:tc>
        <w:tc>
          <w:tcPr>
            <w:tcW w:w="1241" w:type="pct"/>
            <w:vMerge/>
          </w:tcPr>
          <w:p w14:paraId="475FA624"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91DF307" w14:textId="77777777" w:rsidTr="00A1795E">
        <w:tc>
          <w:tcPr>
            <w:tcW w:w="3759" w:type="pct"/>
          </w:tcPr>
          <w:p w14:paraId="2A43E72C"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загальні активи, зважені за ступенем ризику</w:t>
            </w:r>
          </w:p>
        </w:tc>
        <w:tc>
          <w:tcPr>
            <w:tcW w:w="1241" w:type="pct"/>
            <w:vMerge/>
          </w:tcPr>
          <w:p w14:paraId="0A083D22"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6A2DE9F" w14:textId="77777777" w:rsidTr="00A1795E">
        <w:tc>
          <w:tcPr>
            <w:tcW w:w="3759" w:type="pct"/>
          </w:tcPr>
          <w:p w14:paraId="0D013DCB"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операційні витрати / загальні активи</w:t>
            </w:r>
          </w:p>
        </w:tc>
        <w:tc>
          <w:tcPr>
            <w:tcW w:w="1241" w:type="pct"/>
            <w:vMerge/>
          </w:tcPr>
          <w:p w14:paraId="03AC5E1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C1FDBFA" w14:textId="77777777" w:rsidTr="00A1795E">
        <w:tc>
          <w:tcPr>
            <w:tcW w:w="3759" w:type="pct"/>
          </w:tcPr>
          <w:p w14:paraId="31431EB4"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операційні витрати / дохідні активи</w:t>
            </w:r>
          </w:p>
        </w:tc>
        <w:tc>
          <w:tcPr>
            <w:tcW w:w="1241" w:type="pct"/>
            <w:vMerge/>
          </w:tcPr>
          <w:p w14:paraId="76FDA7E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B063877" w14:textId="77777777" w:rsidTr="00A1795E">
        <w:tc>
          <w:tcPr>
            <w:tcW w:w="3759" w:type="pct"/>
          </w:tcPr>
          <w:p w14:paraId="6D46FE87"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Сукупний операційний доход / (загальні активи – нематеріальні активи)</w:t>
            </w:r>
          </w:p>
        </w:tc>
        <w:tc>
          <w:tcPr>
            <w:tcW w:w="1241" w:type="pct"/>
            <w:vMerge/>
          </w:tcPr>
          <w:p w14:paraId="579F72DC"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097F57D" w14:textId="77777777" w:rsidTr="00A1795E">
        <w:trPr>
          <w:trHeight w:val="416"/>
        </w:trPr>
        <w:tc>
          <w:tcPr>
            <w:tcW w:w="3759" w:type="pct"/>
          </w:tcPr>
          <w:p w14:paraId="58B0FF33"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Сукупний операційний доход / клієнтське та короткострокове фінансування</w:t>
            </w:r>
          </w:p>
        </w:tc>
        <w:tc>
          <w:tcPr>
            <w:tcW w:w="1241" w:type="pct"/>
            <w:vMerge/>
          </w:tcPr>
          <w:p w14:paraId="193B3CC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8BB477F" w14:textId="77777777" w:rsidTr="00A1795E">
        <w:tc>
          <w:tcPr>
            <w:tcW w:w="3759" w:type="pct"/>
          </w:tcPr>
          <w:p w14:paraId="30B189AA"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Сукупний операційний доход / власний капітал</w:t>
            </w:r>
          </w:p>
        </w:tc>
        <w:tc>
          <w:tcPr>
            <w:tcW w:w="1241" w:type="pct"/>
            <w:vMerge/>
          </w:tcPr>
          <w:p w14:paraId="25FAFCA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87F25F9" w14:textId="77777777" w:rsidTr="00A1795E">
        <w:tc>
          <w:tcPr>
            <w:tcW w:w="3759" w:type="pct"/>
          </w:tcPr>
          <w:p w14:paraId="33B288C9"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Сукупний операційний доход / необоротні активи</w:t>
            </w:r>
          </w:p>
        </w:tc>
        <w:tc>
          <w:tcPr>
            <w:tcW w:w="1241" w:type="pct"/>
            <w:vMerge/>
          </w:tcPr>
          <w:p w14:paraId="633662F4"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3C974A3" w14:textId="77777777" w:rsidTr="00A1795E">
        <w:tc>
          <w:tcPr>
            <w:tcW w:w="3759" w:type="pct"/>
          </w:tcPr>
          <w:p w14:paraId="00E09A8D"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Сукупний операційний доход / кредити</w:t>
            </w:r>
          </w:p>
        </w:tc>
        <w:tc>
          <w:tcPr>
            <w:tcW w:w="1241" w:type="pct"/>
            <w:vMerge/>
          </w:tcPr>
          <w:p w14:paraId="4395C59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D163693" w14:textId="77777777" w:rsidTr="00A1795E">
        <w:tc>
          <w:tcPr>
            <w:tcW w:w="3759" w:type="pct"/>
          </w:tcPr>
          <w:p w14:paraId="428C8D85"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Сукупний операційний доход / загальні активи</w:t>
            </w:r>
          </w:p>
        </w:tc>
        <w:tc>
          <w:tcPr>
            <w:tcW w:w="1241" w:type="pct"/>
            <w:vMerge/>
          </w:tcPr>
          <w:p w14:paraId="251E0E45"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13D91EF" w14:textId="77777777" w:rsidTr="00A1795E">
        <w:tc>
          <w:tcPr>
            <w:tcW w:w="3759" w:type="pct"/>
          </w:tcPr>
          <w:p w14:paraId="28386026"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Сукупний операційний доход / дохідні активи</w:t>
            </w:r>
          </w:p>
        </w:tc>
        <w:tc>
          <w:tcPr>
            <w:tcW w:w="1241" w:type="pct"/>
            <w:vMerge/>
          </w:tcPr>
          <w:p w14:paraId="15CD54DE"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378DEBB" w14:textId="77777777" w:rsidTr="00A1795E">
        <w:tc>
          <w:tcPr>
            <w:tcW w:w="3759" w:type="pct"/>
          </w:tcPr>
          <w:p w14:paraId="321423AA"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Сукупний операційний доход / сукупні витрати</w:t>
            </w:r>
          </w:p>
        </w:tc>
        <w:tc>
          <w:tcPr>
            <w:tcW w:w="1241" w:type="pct"/>
            <w:vMerge/>
          </w:tcPr>
          <w:p w14:paraId="49A9002F"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64FA035" w14:textId="77777777" w:rsidTr="00A1795E">
        <w:tc>
          <w:tcPr>
            <w:tcW w:w="3759" w:type="pct"/>
          </w:tcPr>
          <w:p w14:paraId="7F059162"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Сукупний операційний доход / загальні зобов’язання </w:t>
            </w:r>
          </w:p>
        </w:tc>
        <w:tc>
          <w:tcPr>
            <w:tcW w:w="1241" w:type="pct"/>
            <w:vMerge/>
          </w:tcPr>
          <w:p w14:paraId="13A75AB5" w14:textId="77777777" w:rsidR="00683D2C" w:rsidRPr="00F00EB0" w:rsidRDefault="00683D2C" w:rsidP="00A1795E">
            <w:pPr>
              <w:ind w:left="-57" w:right="57"/>
              <w:rPr>
                <w:rFonts w:ascii="Times New Roman" w:hAnsi="Times New Roman" w:cs="Times New Roman"/>
                <w:color w:val="000000" w:themeColor="text1"/>
                <w:lang w:val="uk-UA"/>
              </w:rPr>
            </w:pPr>
          </w:p>
        </w:tc>
      </w:tr>
    </w:tbl>
    <w:p w14:paraId="302EB905" w14:textId="77777777" w:rsidR="00683D2C" w:rsidRPr="00F00EB0" w:rsidRDefault="00683D2C">
      <w:pPr>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br w:type="page"/>
      </w:r>
    </w:p>
    <w:p w14:paraId="07C1CB8D" w14:textId="422F6B28" w:rsidR="00683D2C" w:rsidRPr="00F00EB0" w:rsidRDefault="00683D2C" w:rsidP="00683D2C">
      <w:pPr>
        <w:spacing w:after="0"/>
        <w:jc w:val="right"/>
        <w:rPr>
          <w:rFonts w:ascii="Times New Roman" w:hAnsi="Times New Roman" w:cs="Times New Roman"/>
          <w:color w:val="000000" w:themeColor="text1"/>
          <w:sz w:val="28"/>
          <w:szCs w:val="28"/>
          <w:lang w:val="uk-UA" w:eastAsia="ru-RU"/>
        </w:rPr>
      </w:pPr>
      <w:r w:rsidRPr="00F00EB0">
        <w:rPr>
          <w:rFonts w:ascii="Times New Roman" w:hAnsi="Times New Roman" w:cs="Times New Roman"/>
          <w:color w:val="000000" w:themeColor="text1"/>
          <w:sz w:val="28"/>
          <w:szCs w:val="28"/>
          <w:lang w:val="uk-UA"/>
        </w:rPr>
        <w:lastRenderedPageBreak/>
        <w:t>Продовження таблиці Д.1</w:t>
      </w:r>
    </w:p>
    <w:tbl>
      <w:tblPr>
        <w:tblStyle w:val="af0"/>
        <w:tblW w:w="5000" w:type="pct"/>
        <w:tblLook w:val="04A0" w:firstRow="1" w:lastRow="0" w:firstColumn="1" w:lastColumn="0" w:noHBand="0" w:noVBand="1"/>
      </w:tblPr>
      <w:tblGrid>
        <w:gridCol w:w="7451"/>
        <w:gridCol w:w="2460"/>
      </w:tblGrid>
      <w:tr w:rsidR="00F00EB0" w:rsidRPr="00F00EB0" w14:paraId="74E9ADB4" w14:textId="77777777" w:rsidTr="00A1795E">
        <w:tc>
          <w:tcPr>
            <w:tcW w:w="3759" w:type="pct"/>
          </w:tcPr>
          <w:p w14:paraId="30AA9FD7"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1</w:t>
            </w:r>
          </w:p>
        </w:tc>
        <w:tc>
          <w:tcPr>
            <w:tcW w:w="1241" w:type="pct"/>
          </w:tcPr>
          <w:p w14:paraId="1CC2B6C0"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2</w:t>
            </w:r>
          </w:p>
        </w:tc>
      </w:tr>
      <w:tr w:rsidR="00F00EB0" w:rsidRPr="00F00EB0" w14:paraId="57243C4E" w14:textId="77777777" w:rsidTr="00A1795E">
        <w:tc>
          <w:tcPr>
            <w:tcW w:w="3759" w:type="pct"/>
          </w:tcPr>
          <w:p w14:paraId="43B9B6F2"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сукупна виручка</w:t>
            </w:r>
          </w:p>
        </w:tc>
        <w:tc>
          <w:tcPr>
            <w:tcW w:w="1241" w:type="pct"/>
            <w:vMerge w:val="restart"/>
          </w:tcPr>
          <w:p w14:paraId="46AC32C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436C9FB" w14:textId="77777777" w:rsidTr="00A1795E">
        <w:trPr>
          <w:trHeight w:val="701"/>
        </w:trPr>
        <w:tc>
          <w:tcPr>
            <w:tcW w:w="3759" w:type="pct"/>
          </w:tcPr>
          <w:p w14:paraId="242A5188"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Сукупні витрати / загальні активи, зважені за ступенем ризику</w:t>
            </w:r>
          </w:p>
        </w:tc>
        <w:tc>
          <w:tcPr>
            <w:tcW w:w="1241" w:type="pct"/>
            <w:vMerge/>
          </w:tcPr>
          <w:p w14:paraId="0686960B"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6AE5448" w14:textId="77777777" w:rsidTr="00A1795E">
        <w:tc>
          <w:tcPr>
            <w:tcW w:w="3759" w:type="pct"/>
          </w:tcPr>
          <w:p w14:paraId="74EFA5E8"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Сукупна виручка / (загальні активи – нематеріальні активи)</w:t>
            </w:r>
          </w:p>
        </w:tc>
        <w:tc>
          <w:tcPr>
            <w:tcW w:w="1241" w:type="pct"/>
            <w:vMerge/>
          </w:tcPr>
          <w:p w14:paraId="28BC9BB6"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8144633" w14:textId="77777777" w:rsidTr="00A1795E">
        <w:tc>
          <w:tcPr>
            <w:tcW w:w="3759" w:type="pct"/>
          </w:tcPr>
          <w:p w14:paraId="48E42CB7"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Сукупна виручка / клієнтське та короткострокове фінансування</w:t>
            </w:r>
          </w:p>
        </w:tc>
        <w:tc>
          <w:tcPr>
            <w:tcW w:w="1241" w:type="pct"/>
            <w:vMerge/>
          </w:tcPr>
          <w:p w14:paraId="74944B28"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573970F" w14:textId="77777777" w:rsidTr="00A1795E">
        <w:tc>
          <w:tcPr>
            <w:tcW w:w="3759" w:type="pct"/>
          </w:tcPr>
          <w:p w14:paraId="3CD5F85B"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Сукупна виручка / власний капітал</w:t>
            </w:r>
          </w:p>
        </w:tc>
        <w:tc>
          <w:tcPr>
            <w:tcW w:w="1241" w:type="pct"/>
            <w:vMerge/>
          </w:tcPr>
          <w:p w14:paraId="77A58F3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1F84C35" w14:textId="77777777" w:rsidTr="00A1795E">
        <w:tc>
          <w:tcPr>
            <w:tcW w:w="3759" w:type="pct"/>
          </w:tcPr>
          <w:p w14:paraId="5E76D3EB"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Сукупна виручка / необоротні активи</w:t>
            </w:r>
          </w:p>
        </w:tc>
        <w:tc>
          <w:tcPr>
            <w:tcW w:w="1241" w:type="pct"/>
            <w:vMerge/>
          </w:tcPr>
          <w:p w14:paraId="0FACC46D"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49D8DEE" w14:textId="77777777" w:rsidTr="00A1795E">
        <w:tc>
          <w:tcPr>
            <w:tcW w:w="3759" w:type="pct"/>
          </w:tcPr>
          <w:p w14:paraId="5D907973"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Сукупна виручка / кредити</w:t>
            </w:r>
          </w:p>
        </w:tc>
        <w:tc>
          <w:tcPr>
            <w:tcW w:w="1241" w:type="pct"/>
            <w:vMerge/>
          </w:tcPr>
          <w:p w14:paraId="0A9015B6"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BEF0E4C" w14:textId="77777777" w:rsidTr="00A1795E">
        <w:tc>
          <w:tcPr>
            <w:tcW w:w="3759" w:type="pct"/>
          </w:tcPr>
          <w:p w14:paraId="3B5AC0BF"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Сукупна виручка / загальні активи</w:t>
            </w:r>
          </w:p>
        </w:tc>
        <w:tc>
          <w:tcPr>
            <w:tcW w:w="1241" w:type="pct"/>
            <w:vMerge/>
          </w:tcPr>
          <w:p w14:paraId="23A13EB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D1D86BB" w14:textId="77777777" w:rsidTr="00A1795E">
        <w:tc>
          <w:tcPr>
            <w:tcW w:w="3759" w:type="pct"/>
          </w:tcPr>
          <w:p w14:paraId="1D047F6F"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Сукупна виручка / дохідні активи</w:t>
            </w:r>
          </w:p>
        </w:tc>
        <w:tc>
          <w:tcPr>
            <w:tcW w:w="1241" w:type="pct"/>
            <w:vMerge/>
          </w:tcPr>
          <w:p w14:paraId="509988AF"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28CC349" w14:textId="77777777" w:rsidTr="00A1795E">
        <w:tc>
          <w:tcPr>
            <w:tcW w:w="3759" w:type="pct"/>
          </w:tcPr>
          <w:p w14:paraId="60C66FA6"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Сукупна виручка / сукупні витрати</w:t>
            </w:r>
          </w:p>
        </w:tc>
        <w:tc>
          <w:tcPr>
            <w:tcW w:w="1241" w:type="pct"/>
            <w:vMerge/>
          </w:tcPr>
          <w:p w14:paraId="37B62A9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7498CEC" w14:textId="77777777" w:rsidTr="00A1795E">
        <w:tc>
          <w:tcPr>
            <w:tcW w:w="3759" w:type="pct"/>
          </w:tcPr>
          <w:p w14:paraId="4D2CBEF4"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Сукупна виручка / загальні зобов’язання </w:t>
            </w:r>
          </w:p>
        </w:tc>
        <w:tc>
          <w:tcPr>
            <w:tcW w:w="1241" w:type="pct"/>
            <w:vMerge/>
          </w:tcPr>
          <w:p w14:paraId="48A68503"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47E2338" w14:textId="77777777" w:rsidTr="00A1795E">
        <w:tc>
          <w:tcPr>
            <w:tcW w:w="3759" w:type="pct"/>
          </w:tcPr>
          <w:p w14:paraId="1BB0027E"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Сукупна виручка / загальні активи, зважені за ступенем ризику</w:t>
            </w:r>
          </w:p>
        </w:tc>
        <w:tc>
          <w:tcPr>
            <w:tcW w:w="1241" w:type="pct"/>
            <w:vMerge/>
          </w:tcPr>
          <w:p w14:paraId="4A5C5D8F"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394716C" w14:textId="77777777" w:rsidTr="00A1795E">
        <w:trPr>
          <w:trHeight w:val="693"/>
        </w:trPr>
        <w:tc>
          <w:tcPr>
            <w:tcW w:w="3759" w:type="pct"/>
          </w:tcPr>
          <w:p w14:paraId="061A073F" w14:textId="77777777" w:rsidR="00683D2C" w:rsidRPr="00F00EB0" w:rsidRDefault="00683D2C" w:rsidP="00A1795E">
            <w:pPr>
              <w:ind w:left="-57" w:right="-57"/>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(Чистий процентний доход + чистий доход від комісій та зборів) / (чистий процентний доход + сукупний непроцентний операційний доход)</w:t>
            </w:r>
          </w:p>
        </w:tc>
        <w:tc>
          <w:tcPr>
            <w:tcW w:w="1241" w:type="pct"/>
            <w:vMerge/>
          </w:tcPr>
          <w:p w14:paraId="2F949E94"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FF62312" w14:textId="77777777" w:rsidTr="00A1795E">
        <w:tc>
          <w:tcPr>
            <w:tcW w:w="5000" w:type="pct"/>
            <w:gridSpan w:val="2"/>
          </w:tcPr>
          <w:p w14:paraId="20D03E63"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Якість активів </w:t>
            </w:r>
          </w:p>
        </w:tc>
      </w:tr>
      <w:tr w:rsidR="00F00EB0" w:rsidRPr="00D00194" w14:paraId="2848E5EF" w14:textId="77777777" w:rsidTr="00A1795E">
        <w:tc>
          <w:tcPr>
            <w:tcW w:w="3759" w:type="pct"/>
          </w:tcPr>
          <w:p w14:paraId="50AC51D7"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Відрахування до резервів на покриття втрат за кредитами/ (кредити + відрахування до резервів на покриття втрат за кредитами )</w:t>
            </w:r>
          </w:p>
        </w:tc>
        <w:tc>
          <w:tcPr>
            <w:tcW w:w="1241" w:type="pct"/>
            <w:vMerge w:val="restart"/>
            <w:vAlign w:val="center"/>
          </w:tcPr>
          <w:p w14:paraId="7DCC78F2"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 xml:space="preserve">можливість зробити висновок про якість кредитного портфелю та розмір ризиків, пов’язаних з можливим неповерненням активів, внаслідок чого ризиків невиконання банком своїх зобов’язань вчасно </w:t>
            </w:r>
          </w:p>
        </w:tc>
      </w:tr>
      <w:tr w:rsidR="00F00EB0" w:rsidRPr="00F00EB0" w14:paraId="6CE4D687" w14:textId="77777777" w:rsidTr="00A1795E">
        <w:tc>
          <w:tcPr>
            <w:tcW w:w="3759" w:type="pct"/>
          </w:tcPr>
          <w:p w14:paraId="0FA9CBC8"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Відрахування до резервів на покриття втрат за кредитами / (операційний дохід + відрахування до резервів на покриття втрат за кредитами)</w:t>
            </w:r>
          </w:p>
        </w:tc>
        <w:tc>
          <w:tcPr>
            <w:tcW w:w="1241" w:type="pct"/>
            <w:vMerge/>
          </w:tcPr>
          <w:p w14:paraId="7FFB75D8"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C130AFD" w14:textId="77777777" w:rsidTr="00A1795E">
        <w:tc>
          <w:tcPr>
            <w:tcW w:w="3759" w:type="pct"/>
          </w:tcPr>
          <w:p w14:paraId="2206EB03"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Відрахування до резервів на покриття втрат за кредитами / кредити</w:t>
            </w:r>
          </w:p>
        </w:tc>
        <w:tc>
          <w:tcPr>
            <w:tcW w:w="1241" w:type="pct"/>
            <w:vMerge/>
          </w:tcPr>
          <w:p w14:paraId="7E729034"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F68277A" w14:textId="77777777" w:rsidTr="00A1795E">
        <w:tc>
          <w:tcPr>
            <w:tcW w:w="3759" w:type="pct"/>
          </w:tcPr>
          <w:p w14:paraId="51993532"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Відрахування до резервів на покриття втрат за кредитами / чистий процентний дохід</w:t>
            </w:r>
          </w:p>
        </w:tc>
        <w:tc>
          <w:tcPr>
            <w:tcW w:w="1241" w:type="pct"/>
            <w:vMerge/>
          </w:tcPr>
          <w:p w14:paraId="7D9A9C39"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3053646" w14:textId="77777777" w:rsidTr="00A1795E">
        <w:tc>
          <w:tcPr>
            <w:tcW w:w="3759" w:type="pct"/>
          </w:tcPr>
          <w:p w14:paraId="49BF3508"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Відрахування до резервів на покриття втрат за кредитами / загальні активи</w:t>
            </w:r>
          </w:p>
        </w:tc>
        <w:tc>
          <w:tcPr>
            <w:tcW w:w="1241" w:type="pct"/>
            <w:vMerge/>
          </w:tcPr>
          <w:p w14:paraId="47625936"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A5E5816" w14:textId="77777777" w:rsidTr="00A1795E">
        <w:tc>
          <w:tcPr>
            <w:tcW w:w="3759" w:type="pct"/>
          </w:tcPr>
          <w:p w14:paraId="19FFE41D"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Відрахування до резервів на покриття втрат за кредитами/ чистий дохід</w:t>
            </w:r>
          </w:p>
        </w:tc>
        <w:tc>
          <w:tcPr>
            <w:tcW w:w="1241" w:type="pct"/>
            <w:vMerge/>
          </w:tcPr>
          <w:p w14:paraId="08DEE75C"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DDCD84F" w14:textId="77777777" w:rsidTr="00A1795E">
        <w:tc>
          <w:tcPr>
            <w:tcW w:w="3759" w:type="pct"/>
          </w:tcPr>
          <w:p w14:paraId="40662F84"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Резерви на покриття втрат за кредитами / сума наданих кредитів</w:t>
            </w:r>
          </w:p>
        </w:tc>
        <w:tc>
          <w:tcPr>
            <w:tcW w:w="1241" w:type="pct"/>
            <w:vMerge/>
          </w:tcPr>
          <w:p w14:paraId="2B39A788"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3D9AD32" w14:textId="77777777" w:rsidTr="00A1795E">
        <w:tc>
          <w:tcPr>
            <w:tcW w:w="3759" w:type="pct"/>
          </w:tcPr>
          <w:p w14:paraId="7C63289C"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Резерви на покриття втрат за кредитами / (кредити + відрахування до резервів на покриття втрат за кредитами )</w:t>
            </w:r>
          </w:p>
        </w:tc>
        <w:tc>
          <w:tcPr>
            <w:tcW w:w="1241" w:type="pct"/>
            <w:vMerge/>
          </w:tcPr>
          <w:p w14:paraId="0319E7AE"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DDEE02B" w14:textId="77777777" w:rsidTr="00A1795E">
        <w:tc>
          <w:tcPr>
            <w:tcW w:w="3759" w:type="pct"/>
          </w:tcPr>
          <w:p w14:paraId="20D60660"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Резерви на покриття втрат за кредитами / кредити</w:t>
            </w:r>
          </w:p>
        </w:tc>
        <w:tc>
          <w:tcPr>
            <w:tcW w:w="1241" w:type="pct"/>
            <w:vMerge/>
          </w:tcPr>
          <w:p w14:paraId="4DBF45A0"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6E99F73" w14:textId="77777777" w:rsidTr="00A1795E">
        <w:tc>
          <w:tcPr>
            <w:tcW w:w="3759" w:type="pct"/>
          </w:tcPr>
          <w:p w14:paraId="2A4AB1AE"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Резерви на покриття втрат за кредитами / проблемні кредити</w:t>
            </w:r>
          </w:p>
        </w:tc>
        <w:tc>
          <w:tcPr>
            <w:tcW w:w="1241" w:type="pct"/>
            <w:vMerge/>
          </w:tcPr>
          <w:p w14:paraId="0E8F34CF"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3C30AA1" w14:textId="77777777" w:rsidTr="00A1795E">
        <w:tc>
          <w:tcPr>
            <w:tcW w:w="3759" w:type="pct"/>
          </w:tcPr>
          <w:p w14:paraId="6B96C5BB"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Резерви на покриття втрат за кредитами / загальні активи, зважені з урахуванням ризику</w:t>
            </w:r>
          </w:p>
        </w:tc>
        <w:tc>
          <w:tcPr>
            <w:tcW w:w="1241" w:type="pct"/>
            <w:vMerge/>
          </w:tcPr>
          <w:p w14:paraId="122C97AA"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5A694B56" w14:textId="77777777" w:rsidTr="00A1795E">
        <w:tc>
          <w:tcPr>
            <w:tcW w:w="3759" w:type="pct"/>
          </w:tcPr>
          <w:p w14:paraId="7C7BB354"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Чисті списання / середній сукупний обсяг наданих кредитів</w:t>
            </w:r>
          </w:p>
        </w:tc>
        <w:tc>
          <w:tcPr>
            <w:tcW w:w="1241" w:type="pct"/>
            <w:vMerge/>
          </w:tcPr>
          <w:p w14:paraId="309B8C7C"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D9FEB40" w14:textId="77777777" w:rsidTr="00A1795E">
        <w:tc>
          <w:tcPr>
            <w:tcW w:w="3759" w:type="pct"/>
          </w:tcPr>
          <w:p w14:paraId="147BF75D"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Чисті списання / чистий дохід до відрахувань у резерви на покриття втрат за кредитами</w:t>
            </w:r>
          </w:p>
        </w:tc>
        <w:tc>
          <w:tcPr>
            <w:tcW w:w="1241" w:type="pct"/>
            <w:vMerge/>
          </w:tcPr>
          <w:p w14:paraId="72CD6B72"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2CF2FE2F" w14:textId="77777777" w:rsidTr="00A1795E">
        <w:tc>
          <w:tcPr>
            <w:tcW w:w="3759" w:type="pct"/>
          </w:tcPr>
          <w:p w14:paraId="58260CF8"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Чисті списання / кредити</w:t>
            </w:r>
          </w:p>
        </w:tc>
        <w:tc>
          <w:tcPr>
            <w:tcW w:w="1241" w:type="pct"/>
            <w:vMerge/>
          </w:tcPr>
          <w:p w14:paraId="46CC76B6"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42789FE" w14:textId="77777777" w:rsidTr="00A1795E">
        <w:tc>
          <w:tcPr>
            <w:tcW w:w="3759" w:type="pct"/>
          </w:tcPr>
          <w:p w14:paraId="010E114B"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Чисті списання / сукупні активи</w:t>
            </w:r>
          </w:p>
        </w:tc>
        <w:tc>
          <w:tcPr>
            <w:tcW w:w="1241" w:type="pct"/>
            <w:vMerge/>
          </w:tcPr>
          <w:p w14:paraId="13BA10EA"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0D20F0B5" w14:textId="77777777" w:rsidTr="00A1795E">
        <w:tc>
          <w:tcPr>
            <w:tcW w:w="3759" w:type="pct"/>
          </w:tcPr>
          <w:p w14:paraId="147EA0A8"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Проблемні кредити / (сукупний капітал + резерви на покриття втрат за кредитами)</w:t>
            </w:r>
          </w:p>
        </w:tc>
        <w:tc>
          <w:tcPr>
            <w:tcW w:w="1241" w:type="pct"/>
            <w:vMerge/>
          </w:tcPr>
          <w:p w14:paraId="58E610D7"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4866D45" w14:textId="77777777" w:rsidTr="00A1795E">
        <w:tc>
          <w:tcPr>
            <w:tcW w:w="3759" w:type="pct"/>
          </w:tcPr>
          <w:p w14:paraId="43BF191C"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Проблемні кредити / (кредити + відрахування до резервів на покриття втрат за кредитами)</w:t>
            </w:r>
          </w:p>
        </w:tc>
        <w:tc>
          <w:tcPr>
            <w:tcW w:w="1241" w:type="pct"/>
            <w:vMerge/>
          </w:tcPr>
          <w:p w14:paraId="15331A58"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1D4F974F" w14:textId="77777777" w:rsidTr="00A1795E">
        <w:tc>
          <w:tcPr>
            <w:tcW w:w="3759" w:type="pct"/>
          </w:tcPr>
          <w:p w14:paraId="141ADEF7"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Проблемні кредити / (кредити + резерви на покриття втрат за кредитами)</w:t>
            </w:r>
          </w:p>
        </w:tc>
        <w:tc>
          <w:tcPr>
            <w:tcW w:w="1241" w:type="pct"/>
            <w:vMerge/>
          </w:tcPr>
          <w:p w14:paraId="65E8569C"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425EB17F" w14:textId="77777777" w:rsidTr="00A1795E">
        <w:trPr>
          <w:trHeight w:val="286"/>
        </w:trPr>
        <w:tc>
          <w:tcPr>
            <w:tcW w:w="3759" w:type="pct"/>
          </w:tcPr>
          <w:p w14:paraId="116C761D"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Проблемні кредити / кредити</w:t>
            </w:r>
          </w:p>
        </w:tc>
        <w:tc>
          <w:tcPr>
            <w:tcW w:w="1241" w:type="pct"/>
            <w:vMerge/>
          </w:tcPr>
          <w:p w14:paraId="08FBE3CC"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34DFBC85" w14:textId="77777777" w:rsidTr="00A1795E">
        <w:tc>
          <w:tcPr>
            <w:tcW w:w="3759" w:type="pct"/>
          </w:tcPr>
          <w:p w14:paraId="45CC2B4E"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Проблемні кредити / власний капітал</w:t>
            </w:r>
          </w:p>
        </w:tc>
        <w:tc>
          <w:tcPr>
            <w:tcW w:w="1241" w:type="pct"/>
            <w:vMerge/>
          </w:tcPr>
          <w:p w14:paraId="44A624D4"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7A3C3C08" w14:textId="77777777" w:rsidTr="00A1795E">
        <w:tc>
          <w:tcPr>
            <w:tcW w:w="3759" w:type="pct"/>
          </w:tcPr>
          <w:p w14:paraId="06501C8D" w14:textId="77777777" w:rsidR="00683D2C" w:rsidRPr="00F00EB0" w:rsidRDefault="00683D2C" w:rsidP="00A1795E">
            <w:pPr>
              <w:ind w:left="-57" w:right="-57"/>
              <w:jc w:val="both"/>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Загальні активи, зважені з урахуванням ризику / загальні активи</w:t>
            </w:r>
          </w:p>
        </w:tc>
        <w:tc>
          <w:tcPr>
            <w:tcW w:w="1241" w:type="pct"/>
            <w:vMerge/>
          </w:tcPr>
          <w:p w14:paraId="4A6405B8" w14:textId="77777777" w:rsidR="00683D2C" w:rsidRPr="00F00EB0" w:rsidRDefault="00683D2C" w:rsidP="00A1795E">
            <w:pPr>
              <w:ind w:left="-57" w:right="-57"/>
              <w:rPr>
                <w:rFonts w:ascii="Times New Roman" w:hAnsi="Times New Roman" w:cs="Times New Roman"/>
                <w:color w:val="000000" w:themeColor="text1"/>
                <w:lang w:val="uk-UA"/>
              </w:rPr>
            </w:pPr>
          </w:p>
        </w:tc>
      </w:tr>
      <w:tr w:rsidR="00F00EB0" w:rsidRPr="00F00EB0" w14:paraId="69B238D2" w14:textId="77777777" w:rsidTr="00A1795E">
        <w:tc>
          <w:tcPr>
            <w:tcW w:w="5000" w:type="pct"/>
            <w:gridSpan w:val="2"/>
          </w:tcPr>
          <w:p w14:paraId="7D420B23"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Якість ресурсів</w:t>
            </w:r>
          </w:p>
        </w:tc>
      </w:tr>
      <w:tr w:rsidR="00F00EB0" w:rsidRPr="00D00194" w14:paraId="41BA2571" w14:textId="77777777" w:rsidTr="00A1795E">
        <w:tc>
          <w:tcPr>
            <w:tcW w:w="3759" w:type="pct"/>
            <w:vAlign w:val="center"/>
          </w:tcPr>
          <w:p w14:paraId="753ABAE9" w14:textId="77777777" w:rsidR="00683D2C" w:rsidRPr="00F00EB0" w:rsidRDefault="00683D2C" w:rsidP="00A1795E">
            <w:pPr>
              <w:shd w:val="clear" w:color="auto" w:fill="FFFFFF"/>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spacing w:val="-2"/>
                <w:lang w:val="uk-UA"/>
              </w:rPr>
              <w:t xml:space="preserve">Залишки </w:t>
            </w:r>
            <w:r w:rsidRPr="00F00EB0">
              <w:rPr>
                <w:rFonts w:ascii="Times New Roman" w:hAnsi="Times New Roman" w:cs="Times New Roman"/>
                <w:color w:val="000000" w:themeColor="text1"/>
                <w:lang w:val="uk-UA"/>
              </w:rPr>
              <w:t xml:space="preserve">коштів клієнтів на вимогу / загальні зобов’язання </w:t>
            </w:r>
          </w:p>
        </w:tc>
        <w:tc>
          <w:tcPr>
            <w:tcW w:w="1241" w:type="pct"/>
            <w:vMerge w:val="restart"/>
          </w:tcPr>
          <w:p w14:paraId="692168B0" w14:textId="77777777" w:rsidR="00683D2C" w:rsidRPr="00F00EB0" w:rsidRDefault="00683D2C" w:rsidP="00A1795E">
            <w:pPr>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можливість зробити висновок про якість ресурсів та розмір ризиків, пов’язаних з можливим їх відтоком</w:t>
            </w:r>
          </w:p>
        </w:tc>
      </w:tr>
      <w:tr w:rsidR="00F00EB0" w:rsidRPr="00F00EB0" w14:paraId="5D1CDD01" w14:textId="77777777" w:rsidTr="00A1795E">
        <w:tc>
          <w:tcPr>
            <w:tcW w:w="3759" w:type="pct"/>
            <w:vAlign w:val="center"/>
          </w:tcPr>
          <w:p w14:paraId="1D3B4368" w14:textId="77777777" w:rsidR="00683D2C" w:rsidRPr="00F00EB0" w:rsidRDefault="00683D2C" w:rsidP="00A1795E">
            <w:pPr>
              <w:shd w:val="clear" w:color="auto" w:fill="FFFFFF"/>
              <w:ind w:left="-57" w:right="-57"/>
              <w:jc w:val="center"/>
              <w:rPr>
                <w:rFonts w:ascii="Times New Roman" w:hAnsi="Times New Roman" w:cs="Times New Roman"/>
                <w:color w:val="000000" w:themeColor="text1"/>
                <w:lang w:val="uk-UA"/>
              </w:rPr>
            </w:pPr>
            <w:r w:rsidRPr="00F00EB0">
              <w:rPr>
                <w:rFonts w:ascii="Times New Roman" w:hAnsi="Times New Roman" w:cs="Times New Roman"/>
                <w:color w:val="000000" w:themeColor="text1"/>
                <w:lang w:val="uk-UA"/>
              </w:rPr>
              <w:t>Строкові кошти клієнтів / загальні зобов’язання</w:t>
            </w:r>
          </w:p>
        </w:tc>
        <w:tc>
          <w:tcPr>
            <w:tcW w:w="1241" w:type="pct"/>
            <w:vMerge/>
          </w:tcPr>
          <w:p w14:paraId="0595C114" w14:textId="77777777" w:rsidR="00683D2C" w:rsidRPr="00F00EB0" w:rsidRDefault="00683D2C" w:rsidP="00A1795E">
            <w:pPr>
              <w:ind w:left="-57" w:right="-57"/>
              <w:rPr>
                <w:rFonts w:ascii="Times New Roman" w:hAnsi="Times New Roman" w:cs="Times New Roman"/>
                <w:color w:val="000000" w:themeColor="text1"/>
                <w:lang w:val="uk-UA"/>
              </w:rPr>
            </w:pPr>
          </w:p>
        </w:tc>
      </w:tr>
    </w:tbl>
    <w:p w14:paraId="1C84854D" w14:textId="77777777" w:rsidR="00903678" w:rsidRPr="00F00EB0" w:rsidRDefault="00903678">
      <w:pPr>
        <w:rPr>
          <w:rFonts w:ascii="Times New Roman" w:hAnsi="Times New Roman" w:cs="Times New Roman"/>
          <w:color w:val="000000" w:themeColor="text1"/>
          <w:lang w:val="uk-UA"/>
        </w:rPr>
      </w:pPr>
    </w:p>
    <w:p w14:paraId="6A0ABB82" w14:textId="77777777" w:rsidR="00903678" w:rsidRPr="00F00EB0" w:rsidRDefault="00903678">
      <w:pPr>
        <w:rPr>
          <w:rFonts w:ascii="Times New Roman" w:hAnsi="Times New Roman" w:cs="Times New Roman"/>
          <w:color w:val="000000" w:themeColor="text1"/>
          <w:lang w:val="uk-UA"/>
        </w:rPr>
        <w:sectPr w:rsidR="00903678" w:rsidRPr="00F00EB0" w:rsidSect="009C6EC8">
          <w:endnotePr>
            <w:numFmt w:val="decimal"/>
          </w:endnotePr>
          <w:pgSz w:w="11906" w:h="16838"/>
          <w:pgMar w:top="1134" w:right="567" w:bottom="1134" w:left="1418" w:header="709" w:footer="709" w:gutter="0"/>
          <w:cols w:space="708"/>
          <w:docGrid w:linePitch="360"/>
        </w:sectPr>
      </w:pPr>
    </w:p>
    <w:p w14:paraId="2BA2B84A" w14:textId="2EF7F313" w:rsidR="003C1952" w:rsidRPr="00F00EB0" w:rsidRDefault="003C1952" w:rsidP="003C1952">
      <w:pPr>
        <w:keepNext/>
        <w:suppressAutoHyphens/>
        <w:spacing w:after="0" w:line="360" w:lineRule="auto"/>
        <w:ind w:firstLine="709"/>
        <w:jc w:val="center"/>
        <w:outlineLvl w:val="1"/>
        <w:rPr>
          <w:rFonts w:ascii="Times New Roman" w:eastAsia="Times New Roman" w:hAnsi="Times New Roman" w:cs="Times New Roman"/>
          <w:b/>
          <w:color w:val="000000" w:themeColor="text1"/>
          <w:sz w:val="28"/>
          <w:szCs w:val="28"/>
          <w:lang w:val="uk-UA" w:eastAsia="ru-RU"/>
        </w:rPr>
      </w:pPr>
      <w:bookmarkStart w:id="28" w:name="_Toc137414316"/>
      <w:r w:rsidRPr="00F00EB0">
        <w:rPr>
          <w:rFonts w:ascii="Times New Roman" w:eastAsia="Times New Roman" w:hAnsi="Times New Roman" w:cs="Times New Roman"/>
          <w:b/>
          <w:bCs/>
          <w:caps/>
          <w:color w:val="000000" w:themeColor="text1"/>
          <w:sz w:val="28"/>
          <w:szCs w:val="28"/>
          <w:lang w:val="uk-UA" w:eastAsia="ru-RU"/>
        </w:rPr>
        <w:lastRenderedPageBreak/>
        <w:t xml:space="preserve">ДОДАТОК </w:t>
      </w:r>
      <w:r w:rsidR="0082338F" w:rsidRPr="00F00EB0">
        <w:rPr>
          <w:rFonts w:ascii="Times New Roman" w:eastAsia="Times New Roman" w:hAnsi="Times New Roman" w:cs="Times New Roman"/>
          <w:b/>
          <w:bCs/>
          <w:caps/>
          <w:color w:val="000000" w:themeColor="text1"/>
          <w:sz w:val="28"/>
          <w:szCs w:val="28"/>
          <w:lang w:val="uk-UA" w:eastAsia="ru-RU"/>
        </w:rPr>
        <w:t>Е</w:t>
      </w:r>
      <w:r w:rsidRPr="00F00EB0">
        <w:rPr>
          <w:rFonts w:ascii="Times New Roman" w:eastAsia="Times New Roman" w:hAnsi="Times New Roman" w:cs="Times New Roman"/>
          <w:b/>
          <w:bCs/>
          <w:caps/>
          <w:color w:val="000000" w:themeColor="text1"/>
          <w:sz w:val="28"/>
          <w:szCs w:val="28"/>
          <w:lang w:val="uk-UA" w:eastAsia="ru-RU"/>
        </w:rPr>
        <w:br/>
      </w:r>
      <w:r w:rsidR="001F6853" w:rsidRPr="00F00EB0">
        <w:rPr>
          <w:rFonts w:ascii="Times New Roman" w:eastAsia="Times New Roman" w:hAnsi="Times New Roman" w:cs="Times New Roman"/>
          <w:b/>
          <w:color w:val="000000" w:themeColor="text1"/>
          <w:sz w:val="28"/>
          <w:szCs w:val="28"/>
          <w:lang w:val="uk-UA" w:eastAsia="ru-RU"/>
        </w:rPr>
        <w:t>ДЕТАЛІЗАЦІЯ СУБ’ЄКТІВ ЗАБЕЗПЕЧЕННЯ ФІНАНСОВОЇ СТІЙКОСТІ АТ КБ «ПРИВАТБАНК»</w:t>
      </w:r>
      <w:bookmarkEnd w:id="28"/>
    </w:p>
    <w:p w14:paraId="1C84B2FF" w14:textId="77777777" w:rsidR="003C1952" w:rsidRPr="00F00EB0" w:rsidRDefault="003C1952" w:rsidP="003C1952">
      <w:pPr>
        <w:rPr>
          <w:rFonts w:ascii="Times New Roman" w:hAnsi="Times New Roman" w:cs="Times New Roman"/>
          <w:noProof/>
          <w:color w:val="000000" w:themeColor="text1"/>
          <w:lang w:val="uk-UA" w:eastAsia="uk-UA"/>
        </w:rPr>
      </w:pPr>
    </w:p>
    <w:p w14:paraId="31286378" w14:textId="77777777" w:rsidR="003C1952" w:rsidRPr="00F00EB0" w:rsidRDefault="003C1952" w:rsidP="003C1952">
      <w:pPr>
        <w:rPr>
          <w:rFonts w:ascii="Times New Roman" w:eastAsia="Times New Roman" w:hAnsi="Times New Roman" w:cs="Times New Roman"/>
          <w:bCs/>
          <w:caps/>
          <w:color w:val="000000" w:themeColor="text1"/>
          <w:sz w:val="28"/>
          <w:szCs w:val="28"/>
          <w:lang w:val="uk-UA" w:eastAsia="ru-RU"/>
        </w:rPr>
        <w:sectPr w:rsidR="003C1952" w:rsidRPr="00F00EB0" w:rsidSect="004D60A5">
          <w:headerReference w:type="default" r:id="rId110"/>
          <w:endnotePr>
            <w:numFmt w:val="decimal"/>
          </w:endnotePr>
          <w:pgSz w:w="16838" w:h="11906" w:orient="landscape"/>
          <w:pgMar w:top="1134" w:right="567" w:bottom="567" w:left="1418" w:header="708" w:footer="708" w:gutter="0"/>
          <w:cols w:space="708"/>
          <w:docGrid w:linePitch="360"/>
        </w:sectPr>
      </w:pPr>
      <w:r w:rsidRPr="00F00EB0">
        <w:rPr>
          <w:rFonts w:ascii="Times New Roman" w:hAnsi="Times New Roman" w:cs="Times New Roman"/>
          <w:noProof/>
          <w:color w:val="000000" w:themeColor="text1"/>
          <w:lang w:eastAsia="ru-RU"/>
        </w:rPr>
        <w:drawing>
          <wp:inline distT="0" distB="0" distL="0" distR="0" wp14:anchorId="5622221F" wp14:editId="7683DA39">
            <wp:extent cx="9547255" cy="4814596"/>
            <wp:effectExtent l="0" t="0" r="0" b="5080"/>
            <wp:docPr id="261"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1">
                      <a:extLst>
                        <a:ext uri="{BEBA8EAE-BF5A-486C-A8C5-ECC9F3942E4B}">
                          <a14:imgProps xmlns:a14="http://schemas.microsoft.com/office/drawing/2010/main">
                            <a14:imgLayer r:embed="rId112">
                              <a14:imgEffect>
                                <a14:brightnessContrast contrast="-40000"/>
                              </a14:imgEffect>
                            </a14:imgLayer>
                          </a14:imgProps>
                        </a:ext>
                      </a:extLst>
                    </a:blip>
                    <a:srcRect t="13878" b="17841"/>
                    <a:stretch/>
                  </pic:blipFill>
                  <pic:spPr bwMode="auto">
                    <a:xfrm>
                      <a:off x="0" y="0"/>
                      <a:ext cx="9560455" cy="4821253"/>
                    </a:xfrm>
                    <a:prstGeom prst="rect">
                      <a:avLst/>
                    </a:prstGeom>
                    <a:ln>
                      <a:noFill/>
                    </a:ln>
                    <a:extLst>
                      <a:ext uri="{53640926-AAD7-44D8-BBD7-CCE9431645EC}">
                        <a14:shadowObscured xmlns:a14="http://schemas.microsoft.com/office/drawing/2010/main"/>
                      </a:ext>
                    </a:extLst>
                  </pic:spPr>
                </pic:pic>
              </a:graphicData>
            </a:graphic>
          </wp:inline>
        </w:drawing>
      </w:r>
      <w:r w:rsidRPr="00F00EB0">
        <w:rPr>
          <w:rFonts w:ascii="Times New Roman" w:eastAsia="Times New Roman" w:hAnsi="Times New Roman" w:cs="Times New Roman"/>
          <w:bCs/>
          <w:caps/>
          <w:color w:val="000000" w:themeColor="text1"/>
          <w:sz w:val="28"/>
          <w:szCs w:val="28"/>
          <w:lang w:val="uk-UA" w:eastAsia="ru-RU"/>
        </w:rPr>
        <w:br w:type="page"/>
      </w:r>
    </w:p>
    <w:p w14:paraId="2DC80B28" w14:textId="5741B86C" w:rsidR="00EA670F" w:rsidRPr="00F00EB0" w:rsidRDefault="00EA670F" w:rsidP="00EA670F">
      <w:pPr>
        <w:keepNext/>
        <w:suppressAutoHyphens/>
        <w:spacing w:after="0" w:line="360" w:lineRule="auto"/>
        <w:jc w:val="center"/>
        <w:outlineLvl w:val="1"/>
        <w:rPr>
          <w:rFonts w:ascii="Times New Roman" w:eastAsia="Times New Roman" w:hAnsi="Times New Roman" w:cs="Times New Roman"/>
          <w:b/>
          <w:bCs/>
          <w:caps/>
          <w:color w:val="000000" w:themeColor="text1"/>
          <w:sz w:val="28"/>
          <w:szCs w:val="28"/>
          <w:lang w:val="uk-UA" w:eastAsia="ru-RU"/>
        </w:rPr>
      </w:pPr>
      <w:bookmarkStart w:id="29" w:name="_Toc137414317"/>
      <w:r w:rsidRPr="00F00EB0">
        <w:rPr>
          <w:rFonts w:ascii="Times New Roman" w:eastAsia="Times New Roman" w:hAnsi="Times New Roman" w:cs="Times New Roman"/>
          <w:b/>
          <w:bCs/>
          <w:caps/>
          <w:color w:val="000000" w:themeColor="text1"/>
          <w:sz w:val="28"/>
          <w:szCs w:val="28"/>
          <w:lang w:val="uk-UA" w:eastAsia="ru-RU"/>
        </w:rPr>
        <w:lastRenderedPageBreak/>
        <w:t>ДОДАТОК Ж</w:t>
      </w:r>
      <w:r w:rsidRPr="00F00EB0">
        <w:rPr>
          <w:rFonts w:ascii="Times New Roman" w:eastAsia="Times New Roman" w:hAnsi="Times New Roman" w:cs="Times New Roman"/>
          <w:b/>
          <w:bCs/>
          <w:caps/>
          <w:color w:val="000000" w:themeColor="text1"/>
          <w:sz w:val="28"/>
          <w:szCs w:val="28"/>
          <w:lang w:val="uk-UA" w:eastAsia="ru-RU"/>
        </w:rPr>
        <w:br/>
      </w:r>
      <w:r w:rsidR="001F6853" w:rsidRPr="00F00EB0">
        <w:rPr>
          <w:rFonts w:ascii="Times New Roman" w:eastAsia="Times New Roman" w:hAnsi="Times New Roman" w:cs="Times New Roman"/>
          <w:b/>
          <w:bCs/>
          <w:color w:val="000000" w:themeColor="text1"/>
          <w:sz w:val="28"/>
          <w:szCs w:val="28"/>
          <w:lang w:val="uk-UA" w:eastAsia="ru-RU"/>
        </w:rPr>
        <w:t xml:space="preserve">ФУНКЦІОНАЛЬНА СКЛАДОВА ЗАБЕЗПЕЧЕННЯ </w:t>
      </w:r>
      <w:r w:rsidR="001F6853" w:rsidRPr="00F00EB0">
        <w:rPr>
          <w:rFonts w:ascii="Times New Roman" w:hAnsi="Times New Roman" w:cs="Times New Roman"/>
          <w:b/>
          <w:bCs/>
          <w:color w:val="000000" w:themeColor="text1"/>
          <w:sz w:val="28"/>
          <w:szCs w:val="28"/>
          <w:lang w:val="uk-UA"/>
        </w:rPr>
        <w:t xml:space="preserve">ФІНАНСОВОЇ СТІЙКОСТІ </w:t>
      </w:r>
      <w:r w:rsidR="001F6853" w:rsidRPr="00F00EB0">
        <w:rPr>
          <w:rFonts w:ascii="Times New Roman" w:eastAsia="WenQuanYi Micro Hei" w:hAnsi="Times New Roman" w:cs="Times New Roman"/>
          <w:b/>
          <w:bCs/>
          <w:color w:val="000000" w:themeColor="text1"/>
          <w:kern w:val="3"/>
          <w:sz w:val="28"/>
          <w:szCs w:val="28"/>
          <w:lang w:val="uk-UA" w:eastAsia="zh-CN" w:bidi="hi-IN"/>
        </w:rPr>
        <w:t>АТ КБ «ПРИВАТБАНК»</w:t>
      </w:r>
      <w:bookmarkEnd w:id="29"/>
    </w:p>
    <w:p w14:paraId="5580B28F" w14:textId="3964AE32" w:rsidR="00EA670F" w:rsidRPr="00F00EB0" w:rsidRDefault="00D90F03" w:rsidP="00EA670F">
      <w:pPr>
        <w:widowControl w:val="0"/>
        <w:tabs>
          <w:tab w:val="left" w:pos="993"/>
        </w:tabs>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val="uk-UA" w:eastAsia="ru-RU"/>
        </w:rPr>
      </w:pPr>
      <w:r w:rsidRPr="00F00EB0">
        <w:rPr>
          <w:rFonts w:ascii="Times New Roman" w:hAnsi="Times New Roman" w:cs="Times New Roman"/>
          <w:noProof/>
          <w:color w:val="000000" w:themeColor="text1"/>
          <w:lang w:eastAsia="ru-RU"/>
        </w:rPr>
        <mc:AlternateContent>
          <mc:Choice Requires="wps">
            <w:drawing>
              <wp:anchor distT="0" distB="0" distL="114300" distR="114300" simplePos="0" relativeHeight="251674112" behindDoc="0" locked="0" layoutInCell="1" allowOverlap="1" wp14:anchorId="1F135C68" wp14:editId="1C1DAC38">
                <wp:simplePos x="0" y="0"/>
                <wp:positionH relativeFrom="column">
                  <wp:posOffset>4686300</wp:posOffset>
                </wp:positionH>
                <wp:positionV relativeFrom="paragraph">
                  <wp:posOffset>718185</wp:posOffset>
                </wp:positionV>
                <wp:extent cx="1600200" cy="3648710"/>
                <wp:effectExtent l="0" t="0" r="0" b="8890"/>
                <wp:wrapNone/>
                <wp:docPr id="1444977438"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3648710"/>
                        </a:xfrm>
                        <a:prstGeom prst="rect">
                          <a:avLst/>
                        </a:prstGeom>
                      </wps:spPr>
                      <wps:style>
                        <a:lnRef idx="1">
                          <a:schemeClr val="accent3"/>
                        </a:lnRef>
                        <a:fillRef idx="3">
                          <a:schemeClr val="accent3"/>
                        </a:fillRef>
                        <a:effectRef idx="2">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3473045" id="Прямоугольник 6" o:spid="_x0000_s1026" style="position:absolute;margin-left:369pt;margin-top:56.55pt;width:126pt;height:287.3pt;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" fillcolor="#aaa [3030]" strokecolor="#a5a5a5 [3206]" strokeweight=".5pt">
                <v:fill color2="#a3a3a3 [3174]" rotate="t" colors="0 #afafaf;.5 #a5a5a5;1 #929292" focus="100%" type="gradient">
                  <o:fill v:ext="view" type="gradientUnscaled"/>
                </v:fill>
                <v:path arrowok="t"/>
              </v:rect>
            </w:pict>
          </mc:Fallback>
        </mc:AlternateContent>
      </w:r>
      <w:r w:rsidRPr="00F00EB0">
        <w:rPr>
          <w:rFonts w:ascii="Times New Roman" w:hAnsi="Times New Roman" w:cs="Times New Roman"/>
          <w:noProof/>
          <w:color w:val="000000" w:themeColor="text1"/>
          <w:lang w:eastAsia="ru-RU"/>
        </w:rPr>
        <mc:AlternateContent>
          <mc:Choice Requires="wps">
            <w:drawing>
              <wp:anchor distT="0" distB="0" distL="114300" distR="114300" simplePos="0" relativeHeight="251676160" behindDoc="0" locked="0" layoutInCell="1" allowOverlap="1" wp14:anchorId="44CCB69B" wp14:editId="6B75B8C1">
                <wp:simplePos x="0" y="0"/>
                <wp:positionH relativeFrom="column">
                  <wp:posOffset>4605655</wp:posOffset>
                </wp:positionH>
                <wp:positionV relativeFrom="paragraph">
                  <wp:posOffset>718185</wp:posOffset>
                </wp:positionV>
                <wp:extent cx="194310" cy="3655060"/>
                <wp:effectExtent l="0" t="0" r="0" b="2540"/>
                <wp:wrapNone/>
                <wp:docPr id="536219776" name="Правая фигурная скобка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310" cy="365506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BAA6EF8"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5" o:spid="_x0000_s1026" type="#_x0000_t88" style="position:absolute;margin-left:362.65pt;margin-top:56.55pt;width:15.3pt;height:287.8pt;z-index:25175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" adj="96" strokecolor="black [3200]" strokeweight=".5pt">
                <v:stroke joinstyle="miter"/>
              </v:shape>
            </w:pict>
          </mc:Fallback>
        </mc:AlternateContent>
      </w:r>
      <w:r w:rsidRPr="00F00EB0">
        <w:rPr>
          <w:rFonts w:ascii="Times New Roman" w:hAnsi="Times New Roman" w:cs="Times New Roman"/>
          <w:noProof/>
          <w:color w:val="000000" w:themeColor="text1"/>
          <w:lang w:eastAsia="ru-RU"/>
        </w:rPr>
        <mc:AlternateContent>
          <mc:Choice Requires="wps">
            <w:drawing>
              <wp:anchor distT="0" distB="0" distL="114300" distR="114300" simplePos="0" relativeHeight="251675136" behindDoc="0" locked="0" layoutInCell="1" allowOverlap="1" wp14:anchorId="7C863451" wp14:editId="6ADE62C9">
                <wp:simplePos x="0" y="0"/>
                <wp:positionH relativeFrom="column">
                  <wp:posOffset>3017520</wp:posOffset>
                </wp:positionH>
                <wp:positionV relativeFrom="paragraph">
                  <wp:posOffset>1333500</wp:posOffset>
                </wp:positionV>
                <wp:extent cx="352425" cy="6183630"/>
                <wp:effectExtent l="2914650" t="0" r="2924175" b="0"/>
                <wp:wrapNone/>
                <wp:docPr id="1959619981" name="Левая фигурная скобка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352425" cy="6183630"/>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7B98DE5" id="Левая фигурная скобка 4" o:spid="_x0000_s1026" type="#_x0000_t87" style="position:absolute;margin-left:237.6pt;margin-top:105pt;width:27.75pt;height:486.9pt;rotation:-90;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" adj="103" strokecolor="black [3200]" strokeweight=".5pt">
                <v:stroke joinstyle="miter"/>
              </v:shape>
            </w:pict>
          </mc:Fallback>
        </mc:AlternateContent>
      </w:r>
      <w:r w:rsidRPr="00F00EB0">
        <w:rPr>
          <w:rFonts w:ascii="Times New Roman" w:hAnsi="Times New Roman" w:cs="Times New Roman"/>
          <w:noProof/>
          <w:color w:val="000000" w:themeColor="text1"/>
          <w:lang w:eastAsia="ru-RU"/>
        </w:rPr>
        <mc:AlternateContent>
          <mc:Choice Requires="wps">
            <w:drawing>
              <wp:anchor distT="0" distB="0" distL="114300" distR="114300" simplePos="0" relativeHeight="251679232" behindDoc="0" locked="0" layoutInCell="1" allowOverlap="1" wp14:anchorId="439209BA" wp14:editId="3AF36556">
                <wp:simplePos x="0" y="0"/>
                <wp:positionH relativeFrom="column">
                  <wp:posOffset>4799330</wp:posOffset>
                </wp:positionH>
                <wp:positionV relativeFrom="paragraph">
                  <wp:posOffset>3418205</wp:posOffset>
                </wp:positionV>
                <wp:extent cx="1486535" cy="954405"/>
                <wp:effectExtent l="0" t="0" r="0" b="0"/>
                <wp:wrapNone/>
                <wp:docPr id="1449797046" name="Прямоугольник: скругленные углы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6535" cy="954405"/>
                        </a:xfrm>
                        <a:prstGeom prst="roundRect">
                          <a:avLst/>
                        </a:prstGeom>
                      </wps:spPr>
                      <wps:style>
                        <a:lnRef idx="2">
                          <a:schemeClr val="dk1"/>
                        </a:lnRef>
                        <a:fillRef idx="1">
                          <a:schemeClr val="lt1"/>
                        </a:fillRef>
                        <a:effectRef idx="0">
                          <a:schemeClr val="dk1"/>
                        </a:effectRef>
                        <a:fontRef idx="minor">
                          <a:schemeClr val="dk1"/>
                        </a:fontRef>
                      </wps:style>
                      <wps:txbx>
                        <w:txbxContent>
                          <w:p w14:paraId="2B6569CE" w14:textId="77777777" w:rsidR="00EA670F" w:rsidRPr="00B51EA1" w:rsidRDefault="00EA670F" w:rsidP="00EA670F">
                            <w:pPr>
                              <w:spacing w:after="0" w:line="216" w:lineRule="auto"/>
                              <w:ind w:left="-113" w:right="-57"/>
                              <w:jc w:val="center"/>
                              <w:rPr>
                                <w:sz w:val="24"/>
                                <w:szCs w:val="24"/>
                              </w:rPr>
                            </w:pPr>
                            <w:r w:rsidRPr="00B51EA1">
                              <w:rPr>
                                <w:rFonts w:ascii="Times New Roman" w:eastAsia="Times New Roman" w:hAnsi="Times New Roman" w:cs="Times New Roman"/>
                                <w:sz w:val="24"/>
                                <w:szCs w:val="24"/>
                                <w:lang w:val="uk-UA" w:eastAsia="ru-RU"/>
                              </w:rPr>
                              <w:t>подальший, проводиться після здійснення операцій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439209BA" id="Прямоугольник: скругленные углы 3" o:spid="_x0000_s1330" style="position:absolute;left:0;text-align:left;margin-left:377.9pt;margin-top:269.15pt;width:117.05pt;height:75.1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" fillcolor="white [3201]" strokecolor="black [3200]" strokeweight="1pt">
                <v:stroke joinstyle="miter"/>
                <v:path arrowok="t"/>
                <v:textbox>
                  <w:txbxContent>
                    <w:p w14:paraId="2B6569CE" w14:textId="77777777" w:rsidR="00EA670F" w:rsidRPr="00B51EA1" w:rsidRDefault="00EA670F" w:rsidP="00EA670F">
                      <w:pPr>
                        <w:spacing w:after="0" w:line="216" w:lineRule="auto"/>
                        <w:ind w:left="-113" w:right="-57"/>
                        <w:jc w:val="center"/>
                        <w:rPr>
                          <w:sz w:val="24"/>
                          <w:szCs w:val="24"/>
                        </w:rPr>
                      </w:pPr>
                      <w:r w:rsidRPr="00B51EA1">
                        <w:rPr>
                          <w:rFonts w:ascii="Times New Roman" w:eastAsia="Times New Roman" w:hAnsi="Times New Roman" w:cs="Times New Roman"/>
                          <w:sz w:val="24"/>
                          <w:szCs w:val="24"/>
                          <w:lang w:val="uk-UA" w:eastAsia="ru-RU"/>
                        </w:rPr>
                        <w:t>подальший, проводиться після здійснення операцій</w:t>
                      </w:r>
                    </w:p>
                  </w:txbxContent>
                </v:textbox>
              </v:roundrect>
            </w:pict>
          </mc:Fallback>
        </mc:AlternateContent>
      </w:r>
      <w:r w:rsidRPr="00F00EB0">
        <w:rPr>
          <w:rFonts w:ascii="Times New Roman" w:hAnsi="Times New Roman" w:cs="Times New Roman"/>
          <w:noProof/>
          <w:color w:val="000000" w:themeColor="text1"/>
          <w:lang w:eastAsia="ru-RU"/>
        </w:rPr>
        <mc:AlternateContent>
          <mc:Choice Requires="wps">
            <w:drawing>
              <wp:anchor distT="0" distB="0" distL="114300" distR="114300" simplePos="0" relativeHeight="251678208" behindDoc="0" locked="0" layoutInCell="1" allowOverlap="1" wp14:anchorId="548BF99D" wp14:editId="1DC20F61">
                <wp:simplePos x="0" y="0"/>
                <wp:positionH relativeFrom="column">
                  <wp:posOffset>4799330</wp:posOffset>
                </wp:positionH>
                <wp:positionV relativeFrom="paragraph">
                  <wp:posOffset>2312670</wp:posOffset>
                </wp:positionV>
                <wp:extent cx="1486535" cy="954405"/>
                <wp:effectExtent l="0" t="0" r="0" b="0"/>
                <wp:wrapNone/>
                <wp:docPr id="324606688" name="Прямоугольник: скругленные углы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6535" cy="954405"/>
                        </a:xfrm>
                        <a:prstGeom prst="roundRect">
                          <a:avLst/>
                        </a:prstGeom>
                      </wps:spPr>
                      <wps:style>
                        <a:lnRef idx="2">
                          <a:schemeClr val="dk1"/>
                        </a:lnRef>
                        <a:fillRef idx="1">
                          <a:schemeClr val="lt1"/>
                        </a:fillRef>
                        <a:effectRef idx="0">
                          <a:schemeClr val="dk1"/>
                        </a:effectRef>
                        <a:fontRef idx="minor">
                          <a:schemeClr val="dk1"/>
                        </a:fontRef>
                      </wps:style>
                      <wps:txbx>
                        <w:txbxContent>
                          <w:p w14:paraId="6C98DE32" w14:textId="77777777" w:rsidR="00EA670F" w:rsidRPr="00B51EA1" w:rsidRDefault="00EA670F" w:rsidP="00EA670F">
                            <w:pPr>
                              <w:spacing w:after="0" w:line="216" w:lineRule="auto"/>
                              <w:ind w:left="-113" w:right="-57"/>
                              <w:jc w:val="center"/>
                              <w:rPr>
                                <w:sz w:val="24"/>
                                <w:szCs w:val="24"/>
                              </w:rPr>
                            </w:pPr>
                            <w:r>
                              <w:rPr>
                                <w:rFonts w:ascii="Times New Roman" w:eastAsia="Times New Roman" w:hAnsi="Times New Roman" w:cs="Times New Roman"/>
                                <w:sz w:val="24"/>
                                <w:szCs w:val="24"/>
                                <w:lang w:val="uk-UA" w:eastAsia="ru-RU"/>
                              </w:rPr>
                              <w:t>п</w:t>
                            </w:r>
                            <w:r w:rsidRPr="00B51EA1">
                              <w:rPr>
                                <w:rFonts w:ascii="Times New Roman" w:eastAsia="Times New Roman" w:hAnsi="Times New Roman" w:cs="Times New Roman"/>
                                <w:sz w:val="24"/>
                                <w:szCs w:val="24"/>
                                <w:lang w:val="uk-UA" w:eastAsia="ru-RU"/>
                              </w:rPr>
                              <w:t>оточний, проводиться під час здійснення операцій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548BF99D" id="Прямоугольник: скругленные углы 2" o:spid="_x0000_s1331" style="position:absolute;left:0;text-align:left;margin-left:377.9pt;margin-top:182.1pt;width:117.05pt;height:75.1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" fillcolor="white [3201]" strokecolor="black [3200]" strokeweight="1pt">
                <v:stroke joinstyle="miter"/>
                <v:path arrowok="t"/>
                <v:textbox>
                  <w:txbxContent>
                    <w:p w14:paraId="6C98DE32" w14:textId="77777777" w:rsidR="00EA670F" w:rsidRPr="00B51EA1" w:rsidRDefault="00EA670F" w:rsidP="00EA670F">
                      <w:pPr>
                        <w:spacing w:after="0" w:line="216" w:lineRule="auto"/>
                        <w:ind w:left="-113" w:right="-57"/>
                        <w:jc w:val="center"/>
                        <w:rPr>
                          <w:sz w:val="24"/>
                          <w:szCs w:val="24"/>
                        </w:rPr>
                      </w:pPr>
                      <w:r>
                        <w:rPr>
                          <w:rFonts w:ascii="Times New Roman" w:eastAsia="Times New Roman" w:hAnsi="Times New Roman" w:cs="Times New Roman"/>
                          <w:sz w:val="24"/>
                          <w:szCs w:val="24"/>
                          <w:lang w:val="uk-UA" w:eastAsia="ru-RU"/>
                        </w:rPr>
                        <w:t>п</w:t>
                      </w:r>
                      <w:r w:rsidRPr="00B51EA1">
                        <w:rPr>
                          <w:rFonts w:ascii="Times New Roman" w:eastAsia="Times New Roman" w:hAnsi="Times New Roman" w:cs="Times New Roman"/>
                          <w:sz w:val="24"/>
                          <w:szCs w:val="24"/>
                          <w:lang w:val="uk-UA" w:eastAsia="ru-RU"/>
                        </w:rPr>
                        <w:t>оточний, проводиться під час здійснення операцій</w:t>
                      </w:r>
                    </w:p>
                  </w:txbxContent>
                </v:textbox>
              </v:roundrect>
            </w:pict>
          </mc:Fallback>
        </mc:AlternateContent>
      </w:r>
      <w:r w:rsidRPr="00F00EB0">
        <w:rPr>
          <w:rFonts w:ascii="Times New Roman" w:hAnsi="Times New Roman" w:cs="Times New Roman"/>
          <w:noProof/>
          <w:color w:val="000000" w:themeColor="text1"/>
          <w:lang w:eastAsia="ru-RU"/>
        </w:rPr>
        <mc:AlternateContent>
          <mc:Choice Requires="wps">
            <w:drawing>
              <wp:anchor distT="0" distB="0" distL="114300" distR="114300" simplePos="0" relativeHeight="251677184" behindDoc="0" locked="0" layoutInCell="1" allowOverlap="1" wp14:anchorId="18F3DC19" wp14:editId="5FC3BA67">
                <wp:simplePos x="0" y="0"/>
                <wp:positionH relativeFrom="column">
                  <wp:posOffset>4799965</wp:posOffset>
                </wp:positionH>
                <wp:positionV relativeFrom="paragraph">
                  <wp:posOffset>747395</wp:posOffset>
                </wp:positionV>
                <wp:extent cx="1486535" cy="1361440"/>
                <wp:effectExtent l="0" t="0" r="0" b="0"/>
                <wp:wrapNone/>
                <wp:docPr id="649894269" name="Прямоугольник: скругленные углы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6535" cy="1361440"/>
                        </a:xfrm>
                        <a:prstGeom prst="roundRect">
                          <a:avLst/>
                        </a:prstGeom>
                      </wps:spPr>
                      <wps:style>
                        <a:lnRef idx="2">
                          <a:schemeClr val="dk1"/>
                        </a:lnRef>
                        <a:fillRef idx="1">
                          <a:schemeClr val="lt1"/>
                        </a:fillRef>
                        <a:effectRef idx="0">
                          <a:schemeClr val="dk1"/>
                        </a:effectRef>
                        <a:fontRef idx="minor">
                          <a:schemeClr val="dk1"/>
                        </a:fontRef>
                      </wps:style>
                      <wps:txbx>
                        <w:txbxContent>
                          <w:p w14:paraId="3F91269D" w14:textId="77777777" w:rsidR="00EA670F" w:rsidRPr="00B51EA1" w:rsidRDefault="00EA670F" w:rsidP="00EA670F">
                            <w:pPr>
                              <w:spacing w:after="0" w:line="216" w:lineRule="auto"/>
                              <w:ind w:left="-170" w:right="-170"/>
                              <w:jc w:val="center"/>
                              <w:rPr>
                                <w:sz w:val="24"/>
                                <w:szCs w:val="24"/>
                              </w:rPr>
                            </w:pPr>
                            <w:r w:rsidRPr="00B51EA1">
                              <w:rPr>
                                <w:rFonts w:ascii="Times New Roman" w:eastAsia="Times New Roman" w:hAnsi="Times New Roman" w:cs="Times New Roman"/>
                                <w:sz w:val="24"/>
                                <w:szCs w:val="24"/>
                                <w:lang w:val="uk-UA" w:eastAsia="ru-RU"/>
                              </w:rPr>
                              <w:t>попередній, проводиться до</w:t>
                            </w:r>
                            <w:r>
                              <w:rPr>
                                <w:rFonts w:ascii="Times New Roman" w:eastAsia="Times New Roman" w:hAnsi="Times New Roman" w:cs="Times New Roman"/>
                                <w:sz w:val="24"/>
                                <w:szCs w:val="24"/>
                                <w:lang w:val="uk-UA" w:eastAsia="ru-RU"/>
                              </w:rPr>
                              <w:t xml:space="preserve"> фактичного здійснення певної діяльності, </w:t>
                            </w:r>
                            <w:r w:rsidRPr="00B51EA1">
                              <w:rPr>
                                <w:rFonts w:ascii="Times New Roman" w:eastAsia="Times New Roman" w:hAnsi="Times New Roman" w:cs="Times New Roman"/>
                                <w:sz w:val="24"/>
                                <w:szCs w:val="24"/>
                                <w:lang w:val="uk-UA" w:eastAsia="ru-RU"/>
                              </w:rPr>
                              <w:t>розробки та запровадження нових продуктів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18F3DC19" id="Прямоугольник: скругленные углы 1" o:spid="_x0000_s1332" style="position:absolute;left:0;text-align:left;margin-left:377.95pt;margin-top:58.85pt;width:117.05pt;height:107.2pt;z-index:25175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" fillcolor="white [3201]" strokecolor="black [3200]" strokeweight="1pt">
                <v:stroke joinstyle="miter"/>
                <v:path arrowok="t"/>
                <v:textbox>
                  <w:txbxContent>
                    <w:p w14:paraId="3F91269D" w14:textId="77777777" w:rsidR="00EA670F" w:rsidRPr="00B51EA1" w:rsidRDefault="00EA670F" w:rsidP="00EA670F">
                      <w:pPr>
                        <w:spacing w:after="0" w:line="216" w:lineRule="auto"/>
                        <w:ind w:left="-170" w:right="-170"/>
                        <w:jc w:val="center"/>
                        <w:rPr>
                          <w:sz w:val="24"/>
                          <w:szCs w:val="24"/>
                        </w:rPr>
                      </w:pPr>
                      <w:r w:rsidRPr="00B51EA1">
                        <w:rPr>
                          <w:rFonts w:ascii="Times New Roman" w:eastAsia="Times New Roman" w:hAnsi="Times New Roman" w:cs="Times New Roman"/>
                          <w:sz w:val="24"/>
                          <w:szCs w:val="24"/>
                          <w:lang w:val="uk-UA" w:eastAsia="ru-RU"/>
                        </w:rPr>
                        <w:t>попередній, проводиться до</w:t>
                      </w:r>
                      <w:r>
                        <w:rPr>
                          <w:rFonts w:ascii="Times New Roman" w:eastAsia="Times New Roman" w:hAnsi="Times New Roman" w:cs="Times New Roman"/>
                          <w:sz w:val="24"/>
                          <w:szCs w:val="24"/>
                          <w:lang w:val="uk-UA" w:eastAsia="ru-RU"/>
                        </w:rPr>
                        <w:t xml:space="preserve"> фактичного здійснення певної діяльності, </w:t>
                      </w:r>
                      <w:r w:rsidRPr="00B51EA1">
                        <w:rPr>
                          <w:rFonts w:ascii="Times New Roman" w:eastAsia="Times New Roman" w:hAnsi="Times New Roman" w:cs="Times New Roman"/>
                          <w:sz w:val="24"/>
                          <w:szCs w:val="24"/>
                          <w:lang w:val="uk-UA" w:eastAsia="ru-RU"/>
                        </w:rPr>
                        <w:t>розробки та запровадження нових продуктів</w:t>
                      </w:r>
                    </w:p>
                  </w:txbxContent>
                </v:textbox>
              </v:roundrect>
            </w:pict>
          </mc:Fallback>
        </mc:AlternateContent>
      </w:r>
      <w:r w:rsidRPr="00F00EB0">
        <w:rPr>
          <w:rFonts w:ascii="Times New Roman" w:hAnsi="Times New Roman" w:cs="Times New Roman"/>
          <w:noProof/>
          <w:color w:val="000000" w:themeColor="text1"/>
          <w:lang w:eastAsia="ru-RU"/>
        </w:rPr>
        <mc:AlternateContent>
          <mc:Choice Requires="wpg">
            <w:drawing>
              <wp:inline distT="0" distB="0" distL="0" distR="0" wp14:anchorId="25222EAD" wp14:editId="1C85ACEF">
                <wp:extent cx="6282055" cy="5970905"/>
                <wp:effectExtent l="15240" t="11430" r="17780" b="8890"/>
                <wp:docPr id="1124849860" name="Группа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82055" cy="5970905"/>
                          <a:chOff x="-236" y="22813"/>
                          <a:chExt cx="59432" cy="40013"/>
                        </a:xfrm>
                      </wpg:grpSpPr>
                      <wps:wsp>
                        <wps:cNvPr id="549640492" name="Прямая соединительная линия 94"/>
                        <wps:cNvCnPr>
                          <a:cxnSpLocks noChangeShapeType="1"/>
                        </wps:cNvCnPr>
                        <wps:spPr bwMode="auto">
                          <a:xfrm>
                            <a:off x="1965" y="25393"/>
                            <a:ext cx="0" cy="2252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15281860" name="Прямая соединительная линия 95"/>
                        <wps:cNvCnPr>
                          <a:cxnSpLocks noChangeShapeType="1"/>
                        </wps:cNvCnPr>
                        <wps:spPr bwMode="auto">
                          <a:xfrm>
                            <a:off x="18014" y="27135"/>
                            <a:ext cx="0" cy="24999"/>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92442410" name="Поле 97"/>
                        <wps:cNvSpPr txBox="1">
                          <a:spLocks noChangeArrowheads="1"/>
                        </wps:cNvSpPr>
                        <wps:spPr bwMode="auto">
                          <a:xfrm>
                            <a:off x="-153" y="25393"/>
                            <a:ext cx="10040" cy="1742"/>
                          </a:xfrm>
                          <a:prstGeom prst="rect">
                            <a:avLst/>
                          </a:prstGeom>
                          <a:solidFill>
                            <a:srgbClr val="FFFFFF"/>
                          </a:solidFill>
                          <a:ln w="6350">
                            <a:solidFill>
                              <a:srgbClr val="000000"/>
                            </a:solidFill>
                            <a:miter lim="800000"/>
                            <a:headEnd/>
                            <a:tailEnd/>
                          </a:ln>
                        </wps:spPr>
                        <wps:txbx>
                          <w:txbxContent>
                            <w:p w14:paraId="3E833804" w14:textId="77777777" w:rsidR="00EA670F" w:rsidRPr="0049064C" w:rsidRDefault="00EA670F" w:rsidP="00EA670F">
                              <w:pPr>
                                <w:spacing w:after="0" w:line="240" w:lineRule="auto"/>
                                <w:contextualSpacing/>
                                <w:jc w:val="center"/>
                                <w:rPr>
                                  <w:rFonts w:ascii="Times New Roman" w:hAnsi="Times New Roman" w:cs="Times New Roman"/>
                                  <w:b/>
                                  <w:i/>
                                  <w:color w:val="000000" w:themeColor="text1"/>
                                  <w:sz w:val="24"/>
                                  <w:szCs w:val="24"/>
                                </w:rPr>
                              </w:pPr>
                              <w:r w:rsidRPr="0049064C">
                                <w:rPr>
                                  <w:rFonts w:ascii="Times New Roman" w:hAnsi="Times New Roman" w:cs="Times New Roman"/>
                                  <w:b/>
                                  <w:color w:val="000000" w:themeColor="text1"/>
                                  <w:sz w:val="24"/>
                                  <w:szCs w:val="24"/>
                                  <w:shd w:val="clear" w:color="auto" w:fill="FFFFFF"/>
                                  <w:lang w:val="uk-UA"/>
                                </w:rPr>
                                <w:t>Напрям</w:t>
                              </w:r>
                              <w:r w:rsidRPr="0049064C">
                                <w:rPr>
                                  <w:rFonts w:ascii="Times New Roman" w:hAnsi="Times New Roman" w:cs="Times New Roman"/>
                                  <w:b/>
                                  <w:color w:val="000000" w:themeColor="text1"/>
                                  <w:sz w:val="24"/>
                                  <w:szCs w:val="24"/>
                                  <w:shd w:val="clear" w:color="auto" w:fill="FFFFFF"/>
                                </w:rPr>
                                <w:t xml:space="preserve">  </w:t>
                              </w:r>
                            </w:p>
                          </w:txbxContent>
                        </wps:txbx>
                        <wps:bodyPr rot="0" vert="horz" wrap="square" lIns="91440" tIns="45720" rIns="91440" bIns="45720" anchor="t" anchorCtr="0" upright="1">
                          <a:noAutofit/>
                        </wps:bodyPr>
                      </wps:wsp>
                      <wps:wsp>
                        <wps:cNvPr id="751703181" name="Поле 98"/>
                        <wps:cNvSpPr txBox="1">
                          <a:spLocks noChangeArrowheads="1"/>
                        </wps:cNvSpPr>
                        <wps:spPr bwMode="auto">
                          <a:xfrm>
                            <a:off x="10616" y="25170"/>
                            <a:ext cx="46674" cy="1964"/>
                          </a:xfrm>
                          <a:prstGeom prst="rect">
                            <a:avLst/>
                          </a:prstGeom>
                          <a:solidFill>
                            <a:srgbClr val="FFFFFF"/>
                          </a:solidFill>
                          <a:ln w="6350">
                            <a:solidFill>
                              <a:srgbClr val="000000"/>
                            </a:solidFill>
                            <a:miter lim="800000"/>
                            <a:headEnd/>
                            <a:tailEnd/>
                          </a:ln>
                        </wps:spPr>
                        <wps:txbx>
                          <w:txbxContent>
                            <w:p w14:paraId="4B08C945" w14:textId="77777777" w:rsidR="00EA670F" w:rsidRPr="0049064C" w:rsidRDefault="00EA670F" w:rsidP="00EA670F">
                              <w:pPr>
                                <w:spacing w:after="0" w:line="240" w:lineRule="auto"/>
                                <w:jc w:val="center"/>
                                <w:rPr>
                                  <w:rFonts w:ascii="Times New Roman" w:hAnsi="Times New Roman" w:cs="Times New Roman"/>
                                  <w:b/>
                                  <w:i/>
                                  <w:color w:val="000000" w:themeColor="text1"/>
                                  <w:sz w:val="24"/>
                                  <w:szCs w:val="24"/>
                                  <w:shd w:val="clear" w:color="auto" w:fill="FFFFFF"/>
                                </w:rPr>
                              </w:pPr>
                              <w:r w:rsidRPr="0049064C">
                                <w:rPr>
                                  <w:rFonts w:ascii="Times New Roman" w:hAnsi="Times New Roman" w:cs="Times New Roman"/>
                                  <w:b/>
                                  <w:i/>
                                  <w:color w:val="000000" w:themeColor="text1"/>
                                  <w:sz w:val="24"/>
                                  <w:szCs w:val="24"/>
                                  <w:shd w:val="clear" w:color="auto" w:fill="FFFFFF"/>
                                </w:rPr>
                                <w:t xml:space="preserve">Характеристики  </w:t>
                              </w:r>
                            </w:p>
                          </w:txbxContent>
                        </wps:txbx>
                        <wps:bodyPr rot="0" vert="horz" wrap="square" lIns="91440" tIns="45720" rIns="91440" bIns="45720" anchor="t" anchorCtr="0" upright="1">
                          <a:noAutofit/>
                        </wps:bodyPr>
                      </wps:wsp>
                      <wps:wsp>
                        <wps:cNvPr id="786801129" name="Поле 99"/>
                        <wps:cNvSpPr txBox="1">
                          <a:spLocks noChangeArrowheads="1"/>
                        </wps:cNvSpPr>
                        <wps:spPr bwMode="auto">
                          <a:xfrm>
                            <a:off x="1467" y="22813"/>
                            <a:ext cx="55372" cy="2286"/>
                          </a:xfrm>
                          <a:prstGeom prst="rect">
                            <a:avLst/>
                          </a:prstGeom>
                          <a:solidFill>
                            <a:srgbClr val="FFFFFF"/>
                          </a:solidFill>
                          <a:ln w="6350">
                            <a:solidFill>
                              <a:srgbClr val="000000"/>
                            </a:solidFill>
                            <a:miter lim="800000"/>
                            <a:headEnd/>
                            <a:tailEnd/>
                          </a:ln>
                        </wps:spPr>
                        <wps:txbx>
                          <w:txbxContent>
                            <w:p w14:paraId="2B1E3169" w14:textId="77777777" w:rsidR="00EA670F" w:rsidRPr="0049064C" w:rsidRDefault="00EA670F" w:rsidP="00EA670F">
                              <w:pPr>
                                <w:spacing w:after="0" w:line="240" w:lineRule="auto"/>
                                <w:jc w:val="center"/>
                                <w:rPr>
                                  <w:rFonts w:ascii="Times New Roman" w:hAnsi="Times New Roman" w:cs="Times New Roman"/>
                                  <w:b/>
                                  <w:color w:val="000000" w:themeColor="text1"/>
                                  <w:sz w:val="24"/>
                                  <w:szCs w:val="24"/>
                                  <w:shd w:val="clear" w:color="auto" w:fill="FFFFFF"/>
                                </w:rPr>
                              </w:pPr>
                              <w:r w:rsidRPr="0049064C">
                                <w:rPr>
                                  <w:rFonts w:ascii="Times New Roman" w:eastAsia="Times New Roman" w:hAnsi="Times New Roman" w:cs="Times New Roman"/>
                                  <w:sz w:val="24"/>
                                  <w:szCs w:val="24"/>
                                  <w:lang w:eastAsia="uk-UA"/>
                                </w:rPr>
                                <w:t xml:space="preserve">Основні напрями </w:t>
                              </w:r>
                              <w:r w:rsidRPr="0049064C">
                                <w:rPr>
                                  <w:rFonts w:ascii="Times New Roman" w:eastAsia="Times New Roman" w:hAnsi="Times New Roman" w:cs="Times New Roman"/>
                                  <w:sz w:val="24"/>
                                  <w:szCs w:val="24"/>
                                  <w:lang w:val="uk-UA" w:eastAsia="uk-UA"/>
                                </w:rPr>
                                <w:t xml:space="preserve">контролю </w:t>
                              </w:r>
                              <w:r w:rsidRPr="0049064C">
                                <w:rPr>
                                  <w:rFonts w:ascii="Times New Roman" w:eastAsia="Times New Roman" w:hAnsi="Times New Roman" w:cs="Times New Roman"/>
                                  <w:sz w:val="24"/>
                                  <w:szCs w:val="24"/>
                                  <w:lang w:val="uk-UA" w:eastAsia="ru-RU"/>
                                </w:rPr>
                                <w:t>АТ КБ «ПриватБанк»</w:t>
                              </w:r>
                            </w:p>
                          </w:txbxContent>
                        </wps:txbx>
                        <wps:bodyPr rot="0" vert="horz" wrap="square" lIns="91440" tIns="45720" rIns="91440" bIns="45720" anchor="t" anchorCtr="0" upright="1">
                          <a:noAutofit/>
                        </wps:bodyPr>
                      </wps:wsp>
                      <wps:wsp>
                        <wps:cNvPr id="103611055" name="Выгнутая влево стрелка 100"/>
                        <wps:cNvSpPr>
                          <a:spLocks noChangeArrowheads="1"/>
                        </wps:cNvSpPr>
                        <wps:spPr bwMode="auto">
                          <a:xfrm>
                            <a:off x="-236" y="22877"/>
                            <a:ext cx="2654" cy="3340"/>
                          </a:xfrm>
                          <a:prstGeom prst="curvedRightArrow">
                            <a:avLst>
                              <a:gd name="adj1" fmla="val 25001"/>
                              <a:gd name="adj2" fmla="val 50007"/>
                              <a:gd name="adj3" fmla="val 25000"/>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wps:wsp>
                        <wps:cNvPr id="552661849" name="Выгнутая влево стрелка 101"/>
                        <wps:cNvSpPr>
                          <a:spLocks noChangeArrowheads="1"/>
                        </wps:cNvSpPr>
                        <wps:spPr bwMode="auto">
                          <a:xfrm flipH="1">
                            <a:off x="57292" y="23672"/>
                            <a:ext cx="1899" cy="3334"/>
                          </a:xfrm>
                          <a:prstGeom prst="curvedRightArrow">
                            <a:avLst>
                              <a:gd name="adj1" fmla="val 25002"/>
                              <a:gd name="adj2" fmla="val 50020"/>
                              <a:gd name="adj3" fmla="val 25000"/>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wps:wsp>
                        <wps:cNvPr id="1239778447" name="Поле 102"/>
                        <wps:cNvSpPr txBox="1">
                          <a:spLocks noChangeArrowheads="1"/>
                        </wps:cNvSpPr>
                        <wps:spPr bwMode="auto">
                          <a:xfrm>
                            <a:off x="3" y="27635"/>
                            <a:ext cx="9884" cy="2218"/>
                          </a:xfrm>
                          <a:prstGeom prst="rect">
                            <a:avLst/>
                          </a:prstGeom>
                          <a:solidFill>
                            <a:srgbClr val="FFFFFF"/>
                          </a:solidFill>
                          <a:ln w="6350">
                            <a:solidFill>
                              <a:srgbClr val="000000"/>
                            </a:solidFill>
                            <a:miter lim="800000"/>
                            <a:headEnd/>
                            <a:tailEnd/>
                          </a:ln>
                        </wps:spPr>
                        <wps:txbx>
                          <w:txbxContent>
                            <w:p w14:paraId="405A5EB7" w14:textId="77777777" w:rsidR="00EA670F" w:rsidRPr="0049064C" w:rsidRDefault="00EA670F" w:rsidP="00EA670F">
                              <w:pPr>
                                <w:pStyle w:val="af1"/>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 xml:space="preserve">Планування </w:t>
                              </w:r>
                            </w:p>
                          </w:txbxContent>
                        </wps:txbx>
                        <wps:bodyPr rot="0" vert="horz" wrap="square" lIns="91440" tIns="45720" rIns="91440" bIns="45720" anchor="t" anchorCtr="0" upright="1">
                          <a:noAutofit/>
                        </wps:bodyPr>
                      </wps:wsp>
                      <wps:wsp>
                        <wps:cNvPr id="2080776584" name="Поле 448"/>
                        <wps:cNvSpPr txBox="1">
                          <a:spLocks noChangeArrowheads="1"/>
                        </wps:cNvSpPr>
                        <wps:spPr bwMode="auto">
                          <a:xfrm>
                            <a:off x="10513" y="27845"/>
                            <a:ext cx="33545" cy="2219"/>
                          </a:xfrm>
                          <a:prstGeom prst="rect">
                            <a:avLst/>
                          </a:prstGeom>
                          <a:solidFill>
                            <a:srgbClr val="FFFFFF"/>
                          </a:solidFill>
                          <a:ln w="6350">
                            <a:solidFill>
                              <a:srgbClr val="000000"/>
                            </a:solidFill>
                            <a:prstDash val="dash"/>
                            <a:miter lim="800000"/>
                            <a:headEnd/>
                            <a:tailEnd/>
                          </a:ln>
                        </wps:spPr>
                        <wps:txbx>
                          <w:txbxContent>
                            <w:p w14:paraId="65F05697" w14:textId="77777777" w:rsidR="00EA670F" w:rsidRPr="0049064C" w:rsidRDefault="00EA670F" w:rsidP="00EA670F">
                              <w:pPr>
                                <w:pStyle w:val="afd"/>
                                <w:spacing w:before="0" w:beforeAutospacing="0" w:after="0" w:afterAutospacing="0"/>
                                <w:contextualSpacing/>
                                <w:jc w:val="both"/>
                                <w:textAlignment w:val="baseline"/>
                                <w:rPr>
                                  <w:rFonts w:eastAsiaTheme="minorHAnsi"/>
                                  <w:lang w:eastAsia="en-US"/>
                                </w:rPr>
                              </w:pPr>
                              <w:r w:rsidRPr="0049064C">
                                <w:rPr>
                                  <w:lang w:eastAsia="ru-RU"/>
                                </w:rPr>
                                <w:t>контроль за досягненням цілей діяльності</w:t>
                              </w:r>
                            </w:p>
                          </w:txbxContent>
                        </wps:txbx>
                        <wps:bodyPr rot="0" vert="horz" wrap="square" lIns="91440" tIns="45720" rIns="91440" bIns="45720" anchor="t" anchorCtr="0" upright="1">
                          <a:noAutofit/>
                        </wps:bodyPr>
                      </wps:wsp>
                      <wps:wsp>
                        <wps:cNvPr id="1140258772" name="Прямая со стрелкой 449"/>
                        <wps:cNvCnPr>
                          <a:cxnSpLocks noChangeShapeType="1"/>
                        </wps:cNvCnPr>
                        <wps:spPr bwMode="auto">
                          <a:xfrm>
                            <a:off x="9110" y="29213"/>
                            <a:ext cx="1403" cy="0"/>
                          </a:xfrm>
                          <a:prstGeom prst="straightConnector1">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1078863971" name="Поле 450"/>
                        <wps:cNvSpPr txBox="1">
                          <a:spLocks noChangeArrowheads="1"/>
                        </wps:cNvSpPr>
                        <wps:spPr bwMode="auto">
                          <a:xfrm>
                            <a:off x="106" y="31821"/>
                            <a:ext cx="9781" cy="3327"/>
                          </a:xfrm>
                          <a:prstGeom prst="rect">
                            <a:avLst/>
                          </a:prstGeom>
                          <a:solidFill>
                            <a:srgbClr val="FFFFFF"/>
                          </a:solidFill>
                          <a:ln w="6350">
                            <a:solidFill>
                              <a:srgbClr val="000000"/>
                            </a:solidFill>
                            <a:miter lim="800000"/>
                            <a:headEnd/>
                            <a:tailEnd/>
                          </a:ln>
                        </wps:spPr>
                        <wps:txbx>
                          <w:txbxContent>
                            <w:p w14:paraId="5036BCF7" w14:textId="77777777" w:rsidR="00EA670F" w:rsidRPr="0049064C" w:rsidRDefault="00EA670F" w:rsidP="00EA670F">
                              <w:pPr>
                                <w:pStyle w:val="af1"/>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 xml:space="preserve">Банківська діяльність </w:t>
                              </w:r>
                            </w:p>
                          </w:txbxContent>
                        </wps:txbx>
                        <wps:bodyPr rot="0" vert="horz" wrap="square" lIns="91440" tIns="45720" rIns="91440" bIns="45720" anchor="t" anchorCtr="0" upright="1">
                          <a:noAutofit/>
                        </wps:bodyPr>
                      </wps:wsp>
                      <wps:wsp>
                        <wps:cNvPr id="854614874" name="Поле 451"/>
                        <wps:cNvSpPr txBox="1">
                          <a:spLocks noChangeArrowheads="1"/>
                        </wps:cNvSpPr>
                        <wps:spPr bwMode="auto">
                          <a:xfrm>
                            <a:off x="10616" y="30631"/>
                            <a:ext cx="33442" cy="5481"/>
                          </a:xfrm>
                          <a:prstGeom prst="rect">
                            <a:avLst/>
                          </a:prstGeom>
                          <a:solidFill>
                            <a:srgbClr val="FFFFFF"/>
                          </a:solidFill>
                          <a:ln w="6350">
                            <a:solidFill>
                              <a:srgbClr val="000000"/>
                            </a:solidFill>
                            <a:prstDash val="dash"/>
                            <a:miter lim="800000"/>
                            <a:headEnd/>
                            <a:tailEnd/>
                          </a:ln>
                        </wps:spPr>
                        <wps:txbx>
                          <w:txbxContent>
                            <w:p w14:paraId="5EFC2EF6" w14:textId="77777777" w:rsidR="00EA670F" w:rsidRPr="0049064C" w:rsidRDefault="00EA670F" w:rsidP="00EA670F">
                              <w:pPr>
                                <w:pStyle w:val="afd"/>
                                <w:spacing w:before="0" w:beforeAutospacing="0" w:after="0" w:afterAutospacing="0"/>
                                <w:contextualSpacing/>
                                <w:jc w:val="both"/>
                                <w:textAlignment w:val="baseline"/>
                                <w:rPr>
                                  <w:lang w:eastAsia="ru-RU"/>
                                </w:rPr>
                              </w:pPr>
                              <w:r w:rsidRPr="0049064C">
                                <w:rPr>
                                  <w:lang w:eastAsia="ru-RU"/>
                                </w:rPr>
                                <w:t xml:space="preserve">забезпечення ефективності фінансової та господарської діяльності при здійсненні банківських та інших операцій; </w:t>
                              </w:r>
                            </w:p>
                            <w:p w14:paraId="0BA28E67" w14:textId="77777777" w:rsidR="00EA670F" w:rsidRPr="0049064C" w:rsidRDefault="00EA670F" w:rsidP="00EA670F">
                              <w:pPr>
                                <w:widowControl w:val="0"/>
                                <w:shd w:val="clear" w:color="auto" w:fill="FFFFFF"/>
                                <w:tabs>
                                  <w:tab w:val="left" w:pos="993"/>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49064C">
                                <w:rPr>
                                  <w:rFonts w:ascii="Times New Roman" w:eastAsia="Times New Roman" w:hAnsi="Times New Roman" w:cs="Times New Roman"/>
                                  <w:sz w:val="24"/>
                                  <w:szCs w:val="24"/>
                                  <w:lang w:val="uk-UA" w:eastAsia="ru-RU"/>
                                </w:rPr>
                                <w:t>ефективність управління активами і пасивами</w:t>
                              </w:r>
                            </w:p>
                            <w:p w14:paraId="763DC2A2" w14:textId="77777777" w:rsidR="00EA670F" w:rsidRPr="0049064C" w:rsidRDefault="00EA670F" w:rsidP="00EA670F">
                              <w:pPr>
                                <w:widowControl w:val="0"/>
                                <w:shd w:val="clear" w:color="auto" w:fill="FFFFFF"/>
                                <w:tabs>
                                  <w:tab w:val="left" w:pos="993"/>
                                </w:tabs>
                                <w:autoSpaceDE w:val="0"/>
                                <w:autoSpaceDN w:val="0"/>
                                <w:adjustRightInd w:val="0"/>
                                <w:spacing w:after="0" w:line="240" w:lineRule="auto"/>
                                <w:jc w:val="both"/>
                                <w:rPr>
                                  <w:rFonts w:ascii="Times New Roman" w:hAnsi="Times New Roman" w:cs="Times New Roman"/>
                                  <w:sz w:val="24"/>
                                  <w:szCs w:val="24"/>
                                </w:rPr>
                              </w:pPr>
                              <w:r w:rsidRPr="0049064C">
                                <w:rPr>
                                  <w:rFonts w:ascii="Times New Roman" w:eastAsia="Times New Roman" w:hAnsi="Times New Roman" w:cs="Times New Roman"/>
                                  <w:sz w:val="24"/>
                                  <w:szCs w:val="24"/>
                                  <w:lang w:val="uk-UA" w:eastAsia="ru-RU"/>
                                </w:rPr>
                                <w:t xml:space="preserve">збереження активів  </w:t>
                              </w:r>
                            </w:p>
                          </w:txbxContent>
                        </wps:txbx>
                        <wps:bodyPr rot="0" vert="horz" wrap="square" lIns="91440" tIns="45720" rIns="91440" bIns="45720" anchor="t" anchorCtr="0" upright="1">
                          <a:noAutofit/>
                        </wps:bodyPr>
                      </wps:wsp>
                      <wps:wsp>
                        <wps:cNvPr id="2046791899" name="Прямая со стрелкой 452"/>
                        <wps:cNvCnPr>
                          <a:cxnSpLocks noChangeShapeType="1"/>
                        </wps:cNvCnPr>
                        <wps:spPr bwMode="auto">
                          <a:xfrm>
                            <a:off x="9235" y="33400"/>
                            <a:ext cx="1403" cy="0"/>
                          </a:xfrm>
                          <a:prstGeom prst="straightConnector1">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26841251" name="Поле 453"/>
                        <wps:cNvSpPr txBox="1">
                          <a:spLocks noChangeArrowheads="1"/>
                        </wps:cNvSpPr>
                        <wps:spPr bwMode="auto">
                          <a:xfrm>
                            <a:off x="128" y="37882"/>
                            <a:ext cx="9759" cy="2218"/>
                          </a:xfrm>
                          <a:prstGeom prst="rect">
                            <a:avLst/>
                          </a:prstGeom>
                          <a:solidFill>
                            <a:srgbClr val="FFFFFF"/>
                          </a:solidFill>
                          <a:ln w="6350">
                            <a:solidFill>
                              <a:srgbClr val="000000"/>
                            </a:solidFill>
                            <a:miter lim="800000"/>
                            <a:headEnd/>
                            <a:tailEnd/>
                          </a:ln>
                        </wps:spPr>
                        <wps:txbx>
                          <w:txbxContent>
                            <w:p w14:paraId="3A60AA0D" w14:textId="77777777" w:rsidR="00EA670F" w:rsidRPr="0049064C" w:rsidRDefault="00EA670F" w:rsidP="00EA670F">
                              <w:pPr>
                                <w:pStyle w:val="af1"/>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 xml:space="preserve">Ризики  </w:t>
                              </w:r>
                            </w:p>
                          </w:txbxContent>
                        </wps:txbx>
                        <wps:bodyPr rot="0" vert="horz" wrap="square" lIns="91440" tIns="45720" rIns="91440" bIns="45720" anchor="t" anchorCtr="0" upright="1">
                          <a:noAutofit/>
                        </wps:bodyPr>
                      </wps:wsp>
                      <wps:wsp>
                        <wps:cNvPr id="642515502" name="Поле 454"/>
                        <wps:cNvSpPr txBox="1">
                          <a:spLocks noChangeArrowheads="1"/>
                        </wps:cNvSpPr>
                        <wps:spPr bwMode="auto">
                          <a:xfrm>
                            <a:off x="10616" y="36956"/>
                            <a:ext cx="33442" cy="4306"/>
                          </a:xfrm>
                          <a:prstGeom prst="rect">
                            <a:avLst/>
                          </a:prstGeom>
                          <a:solidFill>
                            <a:srgbClr val="FFFFFF"/>
                          </a:solidFill>
                          <a:ln w="6350">
                            <a:solidFill>
                              <a:srgbClr val="000000"/>
                            </a:solidFill>
                            <a:prstDash val="dash"/>
                            <a:miter lim="800000"/>
                            <a:headEnd/>
                            <a:tailEnd/>
                          </a:ln>
                        </wps:spPr>
                        <wps:txbx>
                          <w:txbxContent>
                            <w:p w14:paraId="29688F76" w14:textId="77777777" w:rsidR="00EA670F" w:rsidRPr="0049064C" w:rsidRDefault="00EA670F" w:rsidP="00EA670F">
                              <w:pPr>
                                <w:pStyle w:val="afd"/>
                                <w:spacing w:after="0"/>
                                <w:contextualSpacing/>
                                <w:jc w:val="both"/>
                                <w:textAlignment w:val="baseline"/>
                                <w:rPr>
                                  <w:lang w:eastAsia="ru-RU"/>
                                </w:rPr>
                              </w:pPr>
                              <w:r w:rsidRPr="0049064C">
                                <w:rPr>
                                  <w:lang w:eastAsia="ru-RU"/>
                                </w:rPr>
                                <w:t xml:space="preserve">ефективність системи управління ризиками; </w:t>
                              </w:r>
                            </w:p>
                            <w:p w14:paraId="2B547A6F" w14:textId="77777777" w:rsidR="00EA670F" w:rsidRPr="0049064C" w:rsidRDefault="00EA670F" w:rsidP="00EA670F">
                              <w:pPr>
                                <w:pStyle w:val="afd"/>
                                <w:spacing w:before="0" w:beforeAutospacing="0" w:after="0" w:afterAutospacing="0"/>
                                <w:contextualSpacing/>
                                <w:jc w:val="both"/>
                                <w:textAlignment w:val="baseline"/>
                                <w:rPr>
                                  <w:rFonts w:eastAsiaTheme="minorHAnsi"/>
                                  <w:lang w:eastAsia="en-US"/>
                                </w:rPr>
                              </w:pPr>
                              <w:r w:rsidRPr="0049064C">
                                <w:rPr>
                                  <w:lang w:eastAsia="ru-RU"/>
                                </w:rPr>
                                <w:t>дотримання вимог законодавства, нормативно-правових актів НБУ, внутрішніх документів</w:t>
                              </w:r>
                            </w:p>
                          </w:txbxContent>
                        </wps:txbx>
                        <wps:bodyPr rot="0" vert="horz" wrap="square" lIns="91440" tIns="45720" rIns="91440" bIns="45720" anchor="t" anchorCtr="0" upright="1">
                          <a:noAutofit/>
                        </wps:bodyPr>
                      </wps:wsp>
                      <wps:wsp>
                        <wps:cNvPr id="1325761968" name="Прямая со стрелкой 458"/>
                        <wps:cNvCnPr>
                          <a:cxnSpLocks noChangeShapeType="1"/>
                        </wps:cNvCnPr>
                        <wps:spPr bwMode="auto">
                          <a:xfrm>
                            <a:off x="9235" y="39069"/>
                            <a:ext cx="1403" cy="0"/>
                          </a:xfrm>
                          <a:prstGeom prst="straightConnector1">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009511796" name="Поле 459"/>
                        <wps:cNvSpPr txBox="1">
                          <a:spLocks noChangeArrowheads="1"/>
                        </wps:cNvSpPr>
                        <wps:spPr bwMode="auto">
                          <a:xfrm>
                            <a:off x="99" y="44733"/>
                            <a:ext cx="10414" cy="3184"/>
                          </a:xfrm>
                          <a:prstGeom prst="rect">
                            <a:avLst/>
                          </a:prstGeom>
                          <a:solidFill>
                            <a:srgbClr val="FFFFFF"/>
                          </a:solidFill>
                          <a:ln w="6350">
                            <a:solidFill>
                              <a:srgbClr val="000000"/>
                            </a:solidFill>
                            <a:miter lim="800000"/>
                            <a:headEnd/>
                            <a:tailEnd/>
                          </a:ln>
                        </wps:spPr>
                        <wps:txbx>
                          <w:txbxContent>
                            <w:p w14:paraId="62E9C29F" w14:textId="77777777" w:rsidR="00EA670F" w:rsidRPr="0049064C" w:rsidRDefault="00EA670F" w:rsidP="00EA670F">
                              <w:pPr>
                                <w:pStyle w:val="af1"/>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 xml:space="preserve">Операційна діяльність  </w:t>
                              </w:r>
                            </w:p>
                          </w:txbxContent>
                        </wps:txbx>
                        <wps:bodyPr rot="0" vert="horz" wrap="square" lIns="91440" tIns="45720" rIns="91440" bIns="45720" anchor="t" anchorCtr="0" upright="1">
                          <a:noAutofit/>
                        </wps:bodyPr>
                      </wps:wsp>
                      <wps:wsp>
                        <wps:cNvPr id="1222094434" name="Поле 460"/>
                        <wps:cNvSpPr txBox="1">
                          <a:spLocks noChangeArrowheads="1"/>
                        </wps:cNvSpPr>
                        <wps:spPr bwMode="auto">
                          <a:xfrm>
                            <a:off x="11057" y="42035"/>
                            <a:ext cx="33001" cy="10099"/>
                          </a:xfrm>
                          <a:prstGeom prst="rect">
                            <a:avLst/>
                          </a:prstGeom>
                          <a:solidFill>
                            <a:srgbClr val="FFFFFF"/>
                          </a:solidFill>
                          <a:ln w="6350">
                            <a:solidFill>
                              <a:srgbClr val="000000"/>
                            </a:solidFill>
                            <a:prstDash val="dash"/>
                            <a:miter lim="800000"/>
                            <a:headEnd/>
                            <a:tailEnd/>
                          </a:ln>
                        </wps:spPr>
                        <wps:txbx>
                          <w:txbxContent>
                            <w:p w14:paraId="3CDC46D9" w14:textId="77777777" w:rsidR="00EA670F" w:rsidRPr="0049064C" w:rsidRDefault="00EA670F" w:rsidP="00EA670F">
                              <w:pPr>
                                <w:pStyle w:val="afd"/>
                                <w:spacing w:before="0" w:beforeAutospacing="0" w:after="0" w:afterAutospacing="0"/>
                                <w:contextualSpacing/>
                                <w:jc w:val="both"/>
                                <w:textAlignment w:val="baseline"/>
                                <w:rPr>
                                  <w:rFonts w:eastAsiaTheme="minorHAnsi"/>
                                  <w:lang w:eastAsia="en-US"/>
                                </w:rPr>
                              </w:pPr>
                              <w:r w:rsidRPr="0049064C">
                                <w:rPr>
                                  <w:lang w:eastAsia="ru-RU"/>
                                </w:rPr>
                                <w:t>достовірність, повнота, об’єктивність і своєчасність ведення бухгалтерського обліку, складання та оприлюднення фінансової та іншої звітності для зовнішніх і внутрішніх користувачів; управління інформаційними потоками, включаючи отримання і надання інформації, забезпечення функціонування системи управління інформаційною безпекою</w:t>
                              </w:r>
                            </w:p>
                          </w:txbxContent>
                        </wps:txbx>
                        <wps:bodyPr rot="0" vert="horz" wrap="square" lIns="91440" tIns="45720" rIns="91440" bIns="45720" anchor="t" anchorCtr="0" upright="1">
                          <a:noAutofit/>
                        </wps:bodyPr>
                      </wps:wsp>
                      <wps:wsp>
                        <wps:cNvPr id="1736156216" name="Прямая со стрелкой 461"/>
                        <wps:cNvCnPr>
                          <a:cxnSpLocks noChangeShapeType="1"/>
                        </wps:cNvCnPr>
                        <wps:spPr bwMode="auto">
                          <a:xfrm>
                            <a:off x="9869" y="46006"/>
                            <a:ext cx="1403" cy="0"/>
                          </a:xfrm>
                          <a:prstGeom prst="straightConnector1">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1631173628" name="Поле 464"/>
                        <wps:cNvSpPr txBox="1">
                          <a:spLocks noChangeArrowheads="1"/>
                        </wps:cNvSpPr>
                        <wps:spPr bwMode="auto">
                          <a:xfrm>
                            <a:off x="709" y="58278"/>
                            <a:ext cx="58484" cy="2543"/>
                          </a:xfrm>
                          <a:prstGeom prst="rect">
                            <a:avLst/>
                          </a:prstGeom>
                          <a:solidFill>
                            <a:srgbClr val="FFFFFF"/>
                          </a:solidFill>
                          <a:ln w="6350">
                            <a:solidFill>
                              <a:srgbClr val="000000"/>
                            </a:solidFill>
                            <a:miter lim="800000"/>
                            <a:headEnd/>
                            <a:tailEnd/>
                          </a:ln>
                        </wps:spPr>
                        <wps:txbx>
                          <w:txbxContent>
                            <w:p w14:paraId="6996BAB0" w14:textId="77777777" w:rsidR="00EA670F" w:rsidRPr="0049064C" w:rsidRDefault="00EA670F" w:rsidP="00EA670F">
                              <w:pPr>
                                <w:pStyle w:val="af1"/>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Друга лінія: Блок підрозділів з питань управління ризиками та напрямок «Compliance»</w:t>
                              </w:r>
                            </w:p>
                          </w:txbxContent>
                        </wps:txbx>
                        <wps:bodyPr rot="0" vert="horz" wrap="square" lIns="91440" tIns="45720" rIns="91440" bIns="45720" anchor="t" anchorCtr="0" upright="1">
                          <a:noAutofit/>
                        </wps:bodyPr>
                      </wps:wsp>
                      <wps:wsp>
                        <wps:cNvPr id="1012466230" name="Поле 465"/>
                        <wps:cNvSpPr txBox="1">
                          <a:spLocks noChangeArrowheads="1"/>
                        </wps:cNvSpPr>
                        <wps:spPr bwMode="auto">
                          <a:xfrm>
                            <a:off x="677" y="53875"/>
                            <a:ext cx="58487" cy="4387"/>
                          </a:xfrm>
                          <a:prstGeom prst="rect">
                            <a:avLst/>
                          </a:prstGeom>
                          <a:solidFill>
                            <a:srgbClr val="FFFFFF"/>
                          </a:solidFill>
                          <a:ln w="6350">
                            <a:solidFill>
                              <a:srgbClr val="000000"/>
                            </a:solidFill>
                            <a:miter lim="800000"/>
                            <a:headEnd/>
                            <a:tailEnd/>
                          </a:ln>
                        </wps:spPr>
                        <wps:txbx>
                          <w:txbxContent>
                            <w:p w14:paraId="5684D332" w14:textId="77777777" w:rsidR="00EA670F" w:rsidRPr="0049064C" w:rsidRDefault="00EA670F" w:rsidP="00EA670F">
                              <w:pPr>
                                <w:pStyle w:val="af1"/>
                                <w:spacing w:line="216" w:lineRule="auto"/>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Перша лінія: бізнес-підрозділи та підрозділи підтримки, які ініціюють, здійснюють або відображають операції, приймають ризики в процесі своєї діяльності та несуть відповідальність за поточне управління цими ризиками, здійснюють контрольні процедури</w:t>
                              </w:r>
                            </w:p>
                          </w:txbxContent>
                        </wps:txbx>
                        <wps:bodyPr rot="0" vert="horz" wrap="square" lIns="91440" tIns="45720" rIns="91440" bIns="45720" anchor="t" anchorCtr="0" upright="1">
                          <a:noAutofit/>
                        </wps:bodyPr>
                      </wps:wsp>
                      <wps:wsp>
                        <wps:cNvPr id="1025577791" name="Поле 466"/>
                        <wps:cNvSpPr txBox="1">
                          <a:spLocks noChangeArrowheads="1"/>
                        </wps:cNvSpPr>
                        <wps:spPr bwMode="auto">
                          <a:xfrm>
                            <a:off x="713" y="60821"/>
                            <a:ext cx="58482" cy="2006"/>
                          </a:xfrm>
                          <a:prstGeom prst="rect">
                            <a:avLst/>
                          </a:prstGeom>
                          <a:solidFill>
                            <a:srgbClr val="FFFFFF"/>
                          </a:solidFill>
                          <a:ln w="6350">
                            <a:solidFill>
                              <a:srgbClr val="000000"/>
                            </a:solidFill>
                            <a:miter lim="800000"/>
                            <a:headEnd/>
                            <a:tailEnd/>
                          </a:ln>
                        </wps:spPr>
                        <wps:txbx>
                          <w:txbxContent>
                            <w:p w14:paraId="40A6F629" w14:textId="77777777" w:rsidR="00EA670F" w:rsidRPr="0049064C" w:rsidRDefault="00EA670F" w:rsidP="00EA670F">
                              <w:pPr>
                                <w:pStyle w:val="af1"/>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Третя лінія: напрямок «Внутрішній аудит»</w:t>
                              </w:r>
                            </w:p>
                          </w:txbxContent>
                        </wps:txbx>
                        <wps:bodyPr rot="0" vert="horz" wrap="square" lIns="91440" tIns="45720" rIns="91440" bIns="45720" anchor="t" anchorCtr="0" upright="1">
                          <a:noAutofit/>
                        </wps:bodyPr>
                      </wps:wsp>
                    </wpg:wg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25222EAD" id="Группа 93" o:spid="_x0000_s1333" style="width:494.65pt;height:470.15pt;mso-position-horizontal-relative:char;mso-position-vertical-relative:line" coordorigin="-236,22813" coordsize="59432,40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">
                <v:line id="Прямая соединительная линия 94" o:spid="_x0000_s1334" style="position:absolute;visibility:visible;mso-wrap-style:square" from="1965,25393" to="1965,479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" strokeweight="1.5pt"/>
                <v:line id="Прямая соединительная линия 95" o:spid="_x0000_s1335" style="position:absolute;visibility:visible;mso-wrap-style:square" from="18014,27135" to="18014,52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" strokeweight="1.5pt"/>
                <v:shape id="Поле 97" o:spid="_x0000_s1336" type="#_x0000_t202" style="position:absolute;left:-153;top:25393;width:10040;height:17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" strokeweight=".5pt">
                  <v:textbox>
                    <w:txbxContent>
                      <w:p w14:paraId="3E833804" w14:textId="77777777" w:rsidR="00EA670F" w:rsidRPr="0049064C" w:rsidRDefault="00EA670F" w:rsidP="00EA670F">
                        <w:pPr>
                          <w:spacing w:after="0" w:line="240" w:lineRule="auto"/>
                          <w:contextualSpacing/>
                          <w:jc w:val="center"/>
                          <w:rPr>
                            <w:rFonts w:ascii="Times New Roman" w:hAnsi="Times New Roman" w:cs="Times New Roman"/>
                            <w:b/>
                            <w:i/>
                            <w:color w:val="000000" w:themeColor="text1"/>
                            <w:sz w:val="24"/>
                            <w:szCs w:val="24"/>
                          </w:rPr>
                        </w:pPr>
                        <w:r w:rsidRPr="0049064C">
                          <w:rPr>
                            <w:rFonts w:ascii="Times New Roman" w:hAnsi="Times New Roman" w:cs="Times New Roman"/>
                            <w:b/>
                            <w:color w:val="000000" w:themeColor="text1"/>
                            <w:sz w:val="24"/>
                            <w:szCs w:val="24"/>
                            <w:shd w:val="clear" w:color="auto" w:fill="FFFFFF"/>
                            <w:lang w:val="uk-UA"/>
                          </w:rPr>
                          <w:t>Напрям</w:t>
                        </w:r>
                        <w:r w:rsidRPr="0049064C">
                          <w:rPr>
                            <w:rFonts w:ascii="Times New Roman" w:hAnsi="Times New Roman" w:cs="Times New Roman"/>
                            <w:b/>
                            <w:color w:val="000000" w:themeColor="text1"/>
                            <w:sz w:val="24"/>
                            <w:szCs w:val="24"/>
                            <w:shd w:val="clear" w:color="auto" w:fill="FFFFFF"/>
                          </w:rPr>
                          <w:t xml:space="preserve">  </w:t>
                        </w:r>
                      </w:p>
                    </w:txbxContent>
                  </v:textbox>
                </v:shape>
                <v:shape id="Поле 98" o:spid="_x0000_s1337" type="#_x0000_t202" style="position:absolute;left:10616;top:25170;width:4667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" strokeweight=".5pt">
                  <v:textbox>
                    <w:txbxContent>
                      <w:p w14:paraId="4B08C945" w14:textId="77777777" w:rsidR="00EA670F" w:rsidRPr="0049064C" w:rsidRDefault="00EA670F" w:rsidP="00EA670F">
                        <w:pPr>
                          <w:spacing w:after="0" w:line="240" w:lineRule="auto"/>
                          <w:jc w:val="center"/>
                          <w:rPr>
                            <w:rFonts w:ascii="Times New Roman" w:hAnsi="Times New Roman" w:cs="Times New Roman"/>
                            <w:b/>
                            <w:i/>
                            <w:color w:val="000000" w:themeColor="text1"/>
                            <w:sz w:val="24"/>
                            <w:szCs w:val="24"/>
                            <w:shd w:val="clear" w:color="auto" w:fill="FFFFFF"/>
                          </w:rPr>
                        </w:pPr>
                        <w:r w:rsidRPr="0049064C">
                          <w:rPr>
                            <w:rFonts w:ascii="Times New Roman" w:hAnsi="Times New Roman" w:cs="Times New Roman"/>
                            <w:b/>
                            <w:i/>
                            <w:color w:val="000000" w:themeColor="text1"/>
                            <w:sz w:val="24"/>
                            <w:szCs w:val="24"/>
                            <w:shd w:val="clear" w:color="auto" w:fill="FFFFFF"/>
                          </w:rPr>
                          <w:t xml:space="preserve">Характеристики  </w:t>
                        </w:r>
                      </w:p>
                    </w:txbxContent>
                  </v:textbox>
                </v:shape>
                <v:shape id="Поле 99" o:spid="_x0000_s1338" type="#_x0000_t202" style="position:absolute;left:1467;top:22813;width:553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" strokeweight=".5pt">
                  <v:textbox>
                    <w:txbxContent>
                      <w:p w14:paraId="2B1E3169" w14:textId="77777777" w:rsidR="00EA670F" w:rsidRPr="0049064C" w:rsidRDefault="00EA670F" w:rsidP="00EA670F">
                        <w:pPr>
                          <w:spacing w:after="0" w:line="240" w:lineRule="auto"/>
                          <w:jc w:val="center"/>
                          <w:rPr>
                            <w:rFonts w:ascii="Times New Roman" w:hAnsi="Times New Roman" w:cs="Times New Roman"/>
                            <w:b/>
                            <w:color w:val="000000" w:themeColor="text1"/>
                            <w:sz w:val="24"/>
                            <w:szCs w:val="24"/>
                            <w:shd w:val="clear" w:color="auto" w:fill="FFFFFF"/>
                          </w:rPr>
                        </w:pPr>
                        <w:r w:rsidRPr="0049064C">
                          <w:rPr>
                            <w:rFonts w:ascii="Times New Roman" w:eastAsia="Times New Roman" w:hAnsi="Times New Roman" w:cs="Times New Roman"/>
                            <w:sz w:val="24"/>
                            <w:szCs w:val="24"/>
                            <w:lang w:eastAsia="uk-UA"/>
                          </w:rPr>
                          <w:t xml:space="preserve">Основні напрями </w:t>
                        </w:r>
                        <w:r w:rsidRPr="0049064C">
                          <w:rPr>
                            <w:rFonts w:ascii="Times New Roman" w:eastAsia="Times New Roman" w:hAnsi="Times New Roman" w:cs="Times New Roman"/>
                            <w:sz w:val="24"/>
                            <w:szCs w:val="24"/>
                            <w:lang w:val="uk-UA" w:eastAsia="uk-UA"/>
                          </w:rPr>
                          <w:t xml:space="preserve">контролю </w:t>
                        </w:r>
                        <w:r w:rsidRPr="0049064C">
                          <w:rPr>
                            <w:rFonts w:ascii="Times New Roman" w:eastAsia="Times New Roman" w:hAnsi="Times New Roman" w:cs="Times New Roman"/>
                            <w:sz w:val="24"/>
                            <w:szCs w:val="24"/>
                            <w:lang w:val="uk-UA" w:eastAsia="ru-RU"/>
                          </w:rPr>
                          <w:t>АТ КБ «ПриватБанк»</w:t>
                        </w:r>
                      </w:p>
                    </w:txbxContent>
                  </v:textbox>
                </v:shape>
                <v:shape id="Выгнутая влево стрелка 100" o:spid="_x0000_s1339" type="#_x0000_t102" style="position:absolute;left:-236;top:22877;width:2654;height:3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" adj="13017,19454,16200" strokeweight="1pt"/>
                <v:shape id="Выгнутая влево стрелка 101" o:spid="_x0000_s1340" type="#_x0000_t102" style="position:absolute;left:57292;top:23672;width:1899;height:3334;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" adj="15446,20061,16200" strokeweight="1pt"/>
                <v:shape id="Поле 102" o:spid="_x0000_s1341" type="#_x0000_t202" style="position:absolute;left:3;top:27635;width:9884;height:2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" strokeweight=".5pt">
                  <v:textbox>
                    <w:txbxContent>
                      <w:p w14:paraId="405A5EB7" w14:textId="77777777" w:rsidR="00EA670F" w:rsidRPr="0049064C" w:rsidRDefault="00EA670F" w:rsidP="00EA670F">
                        <w:pPr>
                          <w:pStyle w:val="af1"/>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 xml:space="preserve">Планування </w:t>
                        </w:r>
                      </w:p>
                    </w:txbxContent>
                  </v:textbox>
                </v:shape>
                <v:shape id="Поле 448" o:spid="_x0000_s1342" type="#_x0000_t202" style="position:absolute;left:10513;top:27845;width:33545;height:2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" strokeweight=".5pt">
                  <v:stroke dashstyle="dash"/>
                  <v:textbox>
                    <w:txbxContent>
                      <w:p w14:paraId="65F05697" w14:textId="77777777" w:rsidR="00EA670F" w:rsidRPr="0049064C" w:rsidRDefault="00EA670F" w:rsidP="00EA670F">
                        <w:pPr>
                          <w:pStyle w:val="afd"/>
                          <w:spacing w:before="0" w:beforeAutospacing="0" w:after="0" w:afterAutospacing="0"/>
                          <w:contextualSpacing/>
                          <w:jc w:val="both"/>
                          <w:textAlignment w:val="baseline"/>
                          <w:rPr>
                            <w:rFonts w:eastAsiaTheme="minorHAnsi"/>
                            <w:lang w:eastAsia="en-US"/>
                          </w:rPr>
                        </w:pPr>
                        <w:r w:rsidRPr="0049064C">
                          <w:rPr>
                            <w:lang w:eastAsia="ru-RU"/>
                          </w:rPr>
                          <w:t>контроль за досягненням цілей діяльності</w:t>
                        </w:r>
                      </w:p>
                    </w:txbxContent>
                  </v:textbox>
                </v:shape>
                <v:shape id="Прямая со стрелкой 449" o:spid="_x0000_s1343" type="#_x0000_t32" style="position:absolute;left:9110;top:29213;width:140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">
                  <v:stroke startarrow="oval" endarrow="oval"/>
                </v:shape>
                <v:shape id="Поле 450" o:spid="_x0000_s1344" type="#_x0000_t202" style="position:absolute;left:106;top:31821;width:9781;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" strokeweight=".5pt">
                  <v:textbox>
                    <w:txbxContent>
                      <w:p w14:paraId="5036BCF7" w14:textId="77777777" w:rsidR="00EA670F" w:rsidRPr="0049064C" w:rsidRDefault="00EA670F" w:rsidP="00EA670F">
                        <w:pPr>
                          <w:pStyle w:val="af1"/>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 xml:space="preserve">Банківська діяльність </w:t>
                        </w:r>
                      </w:p>
                    </w:txbxContent>
                  </v:textbox>
                </v:shape>
                <v:shape id="Поле 451" o:spid="_x0000_s1345" type="#_x0000_t202" style="position:absolute;left:10616;top:30631;width:33442;height:54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" strokeweight=".5pt">
                  <v:stroke dashstyle="dash"/>
                  <v:textbox>
                    <w:txbxContent>
                      <w:p w14:paraId="5EFC2EF6" w14:textId="77777777" w:rsidR="00EA670F" w:rsidRPr="0049064C" w:rsidRDefault="00EA670F" w:rsidP="00EA670F">
                        <w:pPr>
                          <w:pStyle w:val="afd"/>
                          <w:spacing w:before="0" w:beforeAutospacing="0" w:after="0" w:afterAutospacing="0"/>
                          <w:contextualSpacing/>
                          <w:jc w:val="both"/>
                          <w:textAlignment w:val="baseline"/>
                          <w:rPr>
                            <w:lang w:eastAsia="ru-RU"/>
                          </w:rPr>
                        </w:pPr>
                        <w:r w:rsidRPr="0049064C">
                          <w:rPr>
                            <w:lang w:eastAsia="ru-RU"/>
                          </w:rPr>
                          <w:t xml:space="preserve">забезпечення ефективності фінансової та господарської діяльності при здійсненні банківських та інших операцій; </w:t>
                        </w:r>
                      </w:p>
                      <w:p w14:paraId="0BA28E67" w14:textId="77777777" w:rsidR="00EA670F" w:rsidRPr="0049064C" w:rsidRDefault="00EA670F" w:rsidP="00EA670F">
                        <w:pPr>
                          <w:widowControl w:val="0"/>
                          <w:shd w:val="clear" w:color="auto" w:fill="FFFFFF"/>
                          <w:tabs>
                            <w:tab w:val="left" w:pos="993"/>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49064C">
                          <w:rPr>
                            <w:rFonts w:ascii="Times New Roman" w:eastAsia="Times New Roman" w:hAnsi="Times New Roman" w:cs="Times New Roman"/>
                            <w:sz w:val="24"/>
                            <w:szCs w:val="24"/>
                            <w:lang w:val="uk-UA" w:eastAsia="ru-RU"/>
                          </w:rPr>
                          <w:t>ефективність управління активами і пасивами</w:t>
                        </w:r>
                      </w:p>
                      <w:p w14:paraId="763DC2A2" w14:textId="77777777" w:rsidR="00EA670F" w:rsidRPr="0049064C" w:rsidRDefault="00EA670F" w:rsidP="00EA670F">
                        <w:pPr>
                          <w:widowControl w:val="0"/>
                          <w:shd w:val="clear" w:color="auto" w:fill="FFFFFF"/>
                          <w:tabs>
                            <w:tab w:val="left" w:pos="993"/>
                          </w:tabs>
                          <w:autoSpaceDE w:val="0"/>
                          <w:autoSpaceDN w:val="0"/>
                          <w:adjustRightInd w:val="0"/>
                          <w:spacing w:after="0" w:line="240" w:lineRule="auto"/>
                          <w:jc w:val="both"/>
                          <w:rPr>
                            <w:rFonts w:ascii="Times New Roman" w:hAnsi="Times New Roman" w:cs="Times New Roman"/>
                            <w:sz w:val="24"/>
                            <w:szCs w:val="24"/>
                          </w:rPr>
                        </w:pPr>
                        <w:r w:rsidRPr="0049064C">
                          <w:rPr>
                            <w:rFonts w:ascii="Times New Roman" w:eastAsia="Times New Roman" w:hAnsi="Times New Roman" w:cs="Times New Roman"/>
                            <w:sz w:val="24"/>
                            <w:szCs w:val="24"/>
                            <w:lang w:val="uk-UA" w:eastAsia="ru-RU"/>
                          </w:rPr>
                          <w:t xml:space="preserve">збереження активів  </w:t>
                        </w:r>
                      </w:p>
                    </w:txbxContent>
                  </v:textbox>
                </v:shape>
                <v:shape id="Прямая со стрелкой 452" o:spid="_x0000_s1346" type="#_x0000_t32" style="position:absolute;left:9235;top:33400;width:140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">
                  <v:stroke startarrow="oval" endarrow="oval"/>
                </v:shape>
                <v:shape id="Поле 453" o:spid="_x0000_s1347" type="#_x0000_t202" style="position:absolute;left:128;top:37882;width:9759;height:2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" strokeweight=".5pt">
                  <v:textbox>
                    <w:txbxContent>
                      <w:p w14:paraId="3A60AA0D" w14:textId="77777777" w:rsidR="00EA670F" w:rsidRPr="0049064C" w:rsidRDefault="00EA670F" w:rsidP="00EA670F">
                        <w:pPr>
                          <w:pStyle w:val="af1"/>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 xml:space="preserve">Ризики  </w:t>
                        </w:r>
                      </w:p>
                    </w:txbxContent>
                  </v:textbox>
                </v:shape>
                <v:shape id="Поле 454" o:spid="_x0000_s1348" type="#_x0000_t202" style="position:absolute;left:10616;top:36956;width:33442;height:4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" strokeweight=".5pt">
                  <v:stroke dashstyle="dash"/>
                  <v:textbox>
                    <w:txbxContent>
                      <w:p w14:paraId="29688F76" w14:textId="77777777" w:rsidR="00EA670F" w:rsidRPr="0049064C" w:rsidRDefault="00EA670F" w:rsidP="00EA670F">
                        <w:pPr>
                          <w:pStyle w:val="afd"/>
                          <w:spacing w:after="0"/>
                          <w:contextualSpacing/>
                          <w:jc w:val="both"/>
                          <w:textAlignment w:val="baseline"/>
                          <w:rPr>
                            <w:lang w:eastAsia="ru-RU"/>
                          </w:rPr>
                        </w:pPr>
                        <w:r w:rsidRPr="0049064C">
                          <w:rPr>
                            <w:lang w:eastAsia="ru-RU"/>
                          </w:rPr>
                          <w:t xml:space="preserve">ефективність системи управління ризиками; </w:t>
                        </w:r>
                      </w:p>
                      <w:p w14:paraId="2B547A6F" w14:textId="77777777" w:rsidR="00EA670F" w:rsidRPr="0049064C" w:rsidRDefault="00EA670F" w:rsidP="00EA670F">
                        <w:pPr>
                          <w:pStyle w:val="afd"/>
                          <w:spacing w:before="0" w:beforeAutospacing="0" w:after="0" w:afterAutospacing="0"/>
                          <w:contextualSpacing/>
                          <w:jc w:val="both"/>
                          <w:textAlignment w:val="baseline"/>
                          <w:rPr>
                            <w:rFonts w:eastAsiaTheme="minorHAnsi"/>
                            <w:lang w:eastAsia="en-US"/>
                          </w:rPr>
                        </w:pPr>
                        <w:r w:rsidRPr="0049064C">
                          <w:rPr>
                            <w:lang w:eastAsia="ru-RU"/>
                          </w:rPr>
                          <w:t>дотримання вимог законодавства, нормативно-правових актів НБУ, внутрішніх документів</w:t>
                        </w:r>
                      </w:p>
                    </w:txbxContent>
                  </v:textbox>
                </v:shape>
                <v:shape id="Прямая со стрелкой 458" o:spid="_x0000_s1349" type="#_x0000_t32" style="position:absolute;left:9235;top:39069;width:140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">
                  <v:stroke startarrow="oval" endarrow="oval"/>
                </v:shape>
                <v:shape id="Поле 459" o:spid="_x0000_s1350" type="#_x0000_t202" style="position:absolute;left:99;top:44733;width:10414;height:3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" strokeweight=".5pt">
                  <v:textbox>
                    <w:txbxContent>
                      <w:p w14:paraId="62E9C29F" w14:textId="77777777" w:rsidR="00EA670F" w:rsidRPr="0049064C" w:rsidRDefault="00EA670F" w:rsidP="00EA670F">
                        <w:pPr>
                          <w:pStyle w:val="af1"/>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 xml:space="preserve">Операційна діяльність  </w:t>
                        </w:r>
                      </w:p>
                    </w:txbxContent>
                  </v:textbox>
                </v:shape>
                <v:shape id="Поле 460" o:spid="_x0000_s1351" type="#_x0000_t202" style="position:absolute;left:11057;top:42035;width:33001;height:10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" strokeweight=".5pt">
                  <v:stroke dashstyle="dash"/>
                  <v:textbox>
                    <w:txbxContent>
                      <w:p w14:paraId="3CDC46D9" w14:textId="77777777" w:rsidR="00EA670F" w:rsidRPr="0049064C" w:rsidRDefault="00EA670F" w:rsidP="00EA670F">
                        <w:pPr>
                          <w:pStyle w:val="afd"/>
                          <w:spacing w:before="0" w:beforeAutospacing="0" w:after="0" w:afterAutospacing="0"/>
                          <w:contextualSpacing/>
                          <w:jc w:val="both"/>
                          <w:textAlignment w:val="baseline"/>
                          <w:rPr>
                            <w:rFonts w:eastAsiaTheme="minorHAnsi"/>
                            <w:lang w:eastAsia="en-US"/>
                          </w:rPr>
                        </w:pPr>
                        <w:r w:rsidRPr="0049064C">
                          <w:rPr>
                            <w:lang w:eastAsia="ru-RU"/>
                          </w:rPr>
                          <w:t>достовірність, повнота, об’єктивність і своєчасність ведення бухгалтерського обліку, складання та оприлюднення фінансової та іншої звітності для зовнішніх і внутрішніх користувачів; управління інформаційними потоками, включаючи отримання і надання інформації, забезпечення функціонування системи управління інформаційною безпекою</w:t>
                        </w:r>
                      </w:p>
                    </w:txbxContent>
                  </v:textbox>
                </v:shape>
                <v:shape id="Прямая со стрелкой 461" o:spid="_x0000_s1352" type="#_x0000_t32" style="position:absolute;left:9869;top:46006;width:140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">
                  <v:stroke startarrow="oval" endarrow="oval"/>
                </v:shape>
                <v:shape id="Поле 464" o:spid="_x0000_s1353" type="#_x0000_t202" style="position:absolute;left:709;top:58278;width:58484;height:2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" strokeweight=".5pt">
                  <v:textbox>
                    <w:txbxContent>
                      <w:p w14:paraId="6996BAB0" w14:textId="77777777" w:rsidR="00EA670F" w:rsidRPr="0049064C" w:rsidRDefault="00EA670F" w:rsidP="00EA670F">
                        <w:pPr>
                          <w:pStyle w:val="af1"/>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Друга лінія: Блок підрозділів з питань управління ризиками та напрямок «Compliance»</w:t>
                        </w:r>
                      </w:p>
                    </w:txbxContent>
                  </v:textbox>
                </v:shape>
                <v:shape id="Поле 465" o:spid="_x0000_s1354" type="#_x0000_t202" style="position:absolute;left:677;top:53875;width:58487;height:4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" strokeweight=".5pt">
                  <v:textbox>
                    <w:txbxContent>
                      <w:p w14:paraId="5684D332" w14:textId="77777777" w:rsidR="00EA670F" w:rsidRPr="0049064C" w:rsidRDefault="00EA670F" w:rsidP="00EA670F">
                        <w:pPr>
                          <w:pStyle w:val="af1"/>
                          <w:spacing w:line="216" w:lineRule="auto"/>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Перша лінія: бізнес-підрозділи та підрозділи підтримки, які ініціюють, здійснюють або відображають операції, приймають ризики в процесі своєї діяльності та несуть відповідальність за поточне управління цими ризиками, здійснюють контрольні процедури</w:t>
                        </w:r>
                      </w:p>
                    </w:txbxContent>
                  </v:textbox>
                </v:shape>
                <v:shape id="Поле 466" o:spid="_x0000_s1355" type="#_x0000_t202" style="position:absolute;left:713;top:60821;width:58482;height:20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" strokeweight=".5pt">
                  <v:textbox>
                    <w:txbxContent>
                      <w:p w14:paraId="40A6F629" w14:textId="77777777" w:rsidR="00EA670F" w:rsidRPr="0049064C" w:rsidRDefault="00EA670F" w:rsidP="00EA670F">
                        <w:pPr>
                          <w:pStyle w:val="af1"/>
                          <w:contextualSpacing/>
                          <w:jc w:val="center"/>
                          <w:textAlignment w:val="baseline"/>
                          <w:rPr>
                            <w:rFonts w:ascii="Times New Roman" w:hAnsi="Times New Roman" w:cs="Times New Roman"/>
                            <w:color w:val="000000" w:themeColor="text1"/>
                            <w:sz w:val="24"/>
                            <w:szCs w:val="24"/>
                            <w:lang w:val="uk-UA"/>
                          </w:rPr>
                        </w:pPr>
                        <w:r w:rsidRPr="0049064C">
                          <w:rPr>
                            <w:rFonts w:ascii="Times New Roman" w:hAnsi="Times New Roman" w:cs="Times New Roman"/>
                            <w:sz w:val="24"/>
                            <w:szCs w:val="24"/>
                            <w:lang w:val="uk-UA"/>
                          </w:rPr>
                          <w:t>Третя лінія: напрямок «Внутрішній аудит»</w:t>
                        </w:r>
                      </w:p>
                    </w:txbxContent>
                  </v:textbox>
                </v:shape>
                <w10:anchorlock/>
              </v:group>
            </w:pict>
          </mc:Fallback>
        </mc:AlternateContent>
      </w:r>
    </w:p>
    <w:p w14:paraId="454F06B1" w14:textId="7298DF85" w:rsidR="00840F43" w:rsidRPr="00F00EB0" w:rsidRDefault="00EA670F" w:rsidP="00EA670F">
      <w:pPr>
        <w:spacing w:after="0" w:line="360" w:lineRule="auto"/>
        <w:jc w:val="center"/>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t xml:space="preserve">Рисунок Ж.1 – Напрями контролю </w:t>
      </w:r>
      <w:r w:rsidRPr="00F00EB0">
        <w:rPr>
          <w:rFonts w:ascii="Times New Roman" w:hAnsi="Times New Roman" w:cs="Times New Roman"/>
          <w:color w:val="000000" w:themeColor="text1"/>
          <w:sz w:val="28"/>
          <w:szCs w:val="28"/>
          <w:lang w:val="uk-UA"/>
        </w:rPr>
        <w:t xml:space="preserve">в забезпеченні фінансової стійкості </w:t>
      </w:r>
      <w:r w:rsidRPr="00F00EB0">
        <w:rPr>
          <w:rFonts w:ascii="Times New Roman" w:eastAsia="WenQuanYi Micro Hei" w:hAnsi="Times New Roman" w:cs="Times New Roman"/>
          <w:bCs/>
          <w:color w:val="000000" w:themeColor="text1"/>
          <w:kern w:val="3"/>
          <w:sz w:val="28"/>
          <w:szCs w:val="28"/>
          <w:lang w:val="uk-UA" w:eastAsia="zh-CN" w:bidi="hi-IN"/>
        </w:rPr>
        <w:t>АТ КБ «ПриватБанк»</w:t>
      </w:r>
      <w:r w:rsidRPr="00F00EB0">
        <w:rPr>
          <w:rFonts w:ascii="Times New Roman" w:eastAsia="Times New Roman" w:hAnsi="Times New Roman" w:cs="Times New Roman"/>
          <w:color w:val="000000" w:themeColor="text1"/>
          <w:sz w:val="28"/>
          <w:szCs w:val="28"/>
          <w:lang w:val="uk-UA"/>
        </w:rPr>
        <w:t xml:space="preserve"> [складено автором на основі 32]</w:t>
      </w:r>
    </w:p>
    <w:p w14:paraId="6DC3E36E" w14:textId="77777777" w:rsidR="00840F43" w:rsidRPr="00F00EB0" w:rsidRDefault="00840F43">
      <w:pPr>
        <w:rPr>
          <w:rFonts w:ascii="Times New Roman" w:eastAsia="Times New Roman" w:hAnsi="Times New Roman" w:cs="Times New Roman"/>
          <w:color w:val="000000" w:themeColor="text1"/>
          <w:sz w:val="28"/>
          <w:szCs w:val="28"/>
          <w:lang w:val="uk-UA"/>
        </w:rPr>
      </w:pPr>
      <w:r w:rsidRPr="00F00EB0">
        <w:rPr>
          <w:rFonts w:ascii="Times New Roman" w:eastAsia="Times New Roman" w:hAnsi="Times New Roman" w:cs="Times New Roman"/>
          <w:color w:val="000000" w:themeColor="text1"/>
          <w:sz w:val="28"/>
          <w:szCs w:val="28"/>
          <w:lang w:val="uk-UA"/>
        </w:rPr>
        <w:br w:type="page"/>
      </w:r>
    </w:p>
    <w:p w14:paraId="1AE721CD" w14:textId="75A2D075" w:rsidR="00840F43" w:rsidRPr="00F00EB0" w:rsidRDefault="00D90F03" w:rsidP="00840F43">
      <w:pPr>
        <w:spacing w:after="0" w:line="360" w:lineRule="auto"/>
        <w:jc w:val="both"/>
        <w:rPr>
          <w:rFonts w:ascii="Times New Roman" w:hAnsi="Times New Roman" w:cs="Times New Roman"/>
          <w:color w:val="000000" w:themeColor="text1"/>
          <w:sz w:val="28"/>
          <w:szCs w:val="28"/>
          <w:lang w:val="uk-UA"/>
        </w:rPr>
      </w:pPr>
      <w:r w:rsidRPr="00F00EB0">
        <w:rPr>
          <w:rFonts w:ascii="Times New Roman" w:hAnsi="Times New Roman" w:cs="Times New Roman"/>
          <w:noProof/>
          <w:color w:val="000000" w:themeColor="text1"/>
          <w:lang w:eastAsia="ru-RU"/>
        </w:rPr>
        <w:lastRenderedPageBreak/>
        <mc:AlternateContent>
          <mc:Choice Requires="wpc">
            <w:drawing>
              <wp:inline distT="0" distB="0" distL="0" distR="0" wp14:anchorId="7D847BCC" wp14:editId="51BDB3AD">
                <wp:extent cx="6118860" cy="6121400"/>
                <wp:effectExtent l="0" t="0" r="0" b="0"/>
                <wp:docPr id="1661" name="Полотно 9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11539497" name="Rectangle 97"/>
                        <wps:cNvSpPr>
                          <a:spLocks noChangeArrowheads="1"/>
                        </wps:cNvSpPr>
                        <wps:spPr bwMode="auto">
                          <a:xfrm>
                            <a:off x="225824" y="28203"/>
                            <a:ext cx="1357246" cy="370342"/>
                          </a:xfrm>
                          <a:prstGeom prst="rect">
                            <a:avLst/>
                          </a:prstGeom>
                          <a:solidFill>
                            <a:srgbClr val="FFFFFF"/>
                          </a:solidFill>
                          <a:ln w="9525">
                            <a:solidFill>
                              <a:srgbClr val="000000"/>
                            </a:solidFill>
                            <a:miter lim="800000"/>
                            <a:headEnd/>
                            <a:tailEnd/>
                          </a:ln>
                        </wps:spPr>
                        <wps:txbx>
                          <w:txbxContent>
                            <w:p w14:paraId="5E8E3ED6"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Метод аналізу</w:t>
                              </w:r>
                            </w:p>
                          </w:txbxContent>
                        </wps:txbx>
                        <wps:bodyPr rot="0" vert="horz" wrap="square" lIns="91440" tIns="45720" rIns="91440" bIns="45720" anchor="t" anchorCtr="0" upright="1">
                          <a:noAutofit/>
                        </wps:bodyPr>
                      </wps:wsp>
                      <wps:wsp>
                        <wps:cNvPr id="839682234" name="Rectangle 98"/>
                        <wps:cNvSpPr>
                          <a:spLocks noChangeArrowheads="1"/>
                        </wps:cNvSpPr>
                        <wps:spPr bwMode="auto">
                          <a:xfrm>
                            <a:off x="1652278" y="28203"/>
                            <a:ext cx="4403475" cy="368342"/>
                          </a:xfrm>
                          <a:prstGeom prst="rect">
                            <a:avLst/>
                          </a:prstGeom>
                          <a:solidFill>
                            <a:srgbClr val="FFFFFF"/>
                          </a:solidFill>
                          <a:ln w="9525">
                            <a:solidFill>
                              <a:srgbClr val="000000"/>
                            </a:solidFill>
                            <a:miter lim="800000"/>
                            <a:headEnd/>
                            <a:tailEnd/>
                          </a:ln>
                        </wps:spPr>
                        <wps:txbx>
                          <w:txbxContent>
                            <w:p w14:paraId="120D9028"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Характеристика</w:t>
                              </w:r>
                            </w:p>
                          </w:txbxContent>
                        </wps:txbx>
                        <wps:bodyPr rot="0" vert="horz" wrap="square" lIns="91440" tIns="45720" rIns="91440" bIns="45720" anchor="t" anchorCtr="0" upright="1">
                          <a:noAutofit/>
                        </wps:bodyPr>
                      </wps:wsp>
                      <wps:wsp>
                        <wps:cNvPr id="1420411904" name="Rectangle 99"/>
                        <wps:cNvSpPr>
                          <a:spLocks noChangeArrowheads="1"/>
                        </wps:cNvSpPr>
                        <wps:spPr bwMode="auto">
                          <a:xfrm>
                            <a:off x="225824" y="662676"/>
                            <a:ext cx="1266437" cy="429549"/>
                          </a:xfrm>
                          <a:prstGeom prst="rect">
                            <a:avLst/>
                          </a:prstGeom>
                          <a:solidFill>
                            <a:srgbClr val="FFFFFF"/>
                          </a:solidFill>
                          <a:ln w="9525">
                            <a:solidFill>
                              <a:srgbClr val="000000"/>
                            </a:solidFill>
                            <a:miter lim="800000"/>
                            <a:headEnd/>
                            <a:tailEnd/>
                          </a:ln>
                        </wps:spPr>
                        <wps:txbx>
                          <w:txbxContent>
                            <w:p w14:paraId="2D5FFE0A"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 xml:space="preserve">Горизонтальний </w:t>
                              </w:r>
                            </w:p>
                          </w:txbxContent>
                        </wps:txbx>
                        <wps:bodyPr rot="0" vert="horz" wrap="square" lIns="91440" tIns="45720" rIns="91440" bIns="45720" anchor="t" anchorCtr="0" upright="1">
                          <a:noAutofit/>
                        </wps:bodyPr>
                      </wps:wsp>
                      <wps:wsp>
                        <wps:cNvPr id="696122505" name="Rectangle 100"/>
                        <wps:cNvSpPr>
                          <a:spLocks noChangeArrowheads="1"/>
                        </wps:cNvSpPr>
                        <wps:spPr bwMode="auto">
                          <a:xfrm>
                            <a:off x="1586871" y="470154"/>
                            <a:ext cx="4467782" cy="636773"/>
                          </a:xfrm>
                          <a:prstGeom prst="rect">
                            <a:avLst/>
                          </a:prstGeom>
                          <a:solidFill>
                            <a:srgbClr val="FFFFFF"/>
                          </a:solidFill>
                          <a:ln w="9525">
                            <a:solidFill>
                              <a:srgbClr val="000000"/>
                            </a:solidFill>
                            <a:miter lim="800000"/>
                            <a:headEnd/>
                            <a:tailEnd/>
                          </a:ln>
                        </wps:spPr>
                        <wps:txbx>
                          <w:txbxContent>
                            <w:p w14:paraId="56A17F40" w14:textId="77777777" w:rsidR="00840F43" w:rsidRPr="00E8008F" w:rsidRDefault="00840F43" w:rsidP="00840F43">
                              <w:pPr>
                                <w:spacing w:after="0" w:line="240" w:lineRule="auto"/>
                                <w:ind w:left="-113" w:right="-113"/>
                                <w:jc w:val="both"/>
                                <w:rPr>
                                  <w:rFonts w:ascii="Times New Roman" w:hAnsi="Times New Roman" w:cs="Times New Roman"/>
                                  <w:sz w:val="24"/>
                                  <w:szCs w:val="24"/>
                                  <w:lang w:val="uk-UA"/>
                                </w:rPr>
                              </w:pPr>
                              <w:r w:rsidRPr="005874C6">
                                <w:rPr>
                                  <w:rFonts w:ascii="Times New Roman" w:hAnsi="Times New Roman" w:cs="Times New Roman"/>
                                  <w:sz w:val="24"/>
                                  <w:szCs w:val="24"/>
                                  <w:lang w:val="uk-UA"/>
                                </w:rPr>
                                <w:t>вивчення динаміки стану об’єктів ФС</w:t>
                              </w:r>
                              <w:r>
                                <w:rPr>
                                  <w:rFonts w:ascii="Times New Roman" w:hAnsi="Times New Roman" w:cs="Times New Roman"/>
                                  <w:sz w:val="24"/>
                                  <w:szCs w:val="24"/>
                                  <w:lang w:val="uk-UA"/>
                                </w:rPr>
                                <w:t>Б</w:t>
                              </w:r>
                              <w:r w:rsidRPr="005874C6">
                                <w:rPr>
                                  <w:rFonts w:ascii="Times New Roman" w:hAnsi="Times New Roman" w:cs="Times New Roman"/>
                                  <w:sz w:val="24"/>
                                  <w:szCs w:val="24"/>
                                  <w:lang w:val="uk-UA"/>
                                </w:rPr>
                                <w:t xml:space="preserve"> та рівня ФС</w:t>
                              </w:r>
                              <w:r>
                                <w:rPr>
                                  <w:rFonts w:ascii="Times New Roman" w:hAnsi="Times New Roman" w:cs="Times New Roman"/>
                                  <w:sz w:val="24"/>
                                  <w:szCs w:val="24"/>
                                  <w:lang w:val="uk-UA"/>
                                </w:rPr>
                                <w:t>Б</w:t>
                              </w:r>
                              <w:r w:rsidRPr="005874C6">
                                <w:rPr>
                                  <w:rFonts w:ascii="Times New Roman" w:hAnsi="Times New Roman" w:cs="Times New Roman"/>
                                  <w:sz w:val="24"/>
                                  <w:szCs w:val="24"/>
                                  <w:lang w:val="uk-UA"/>
                                </w:rPr>
                                <w:t xml:space="preserve"> в цілому в часі шляхом вивчення темпів їх росту (приросту) за ряд періодів для визначення тренду їх зміни з точки зору впливу на ФС</w:t>
                              </w:r>
                              <w:r>
                                <w:rPr>
                                  <w:rFonts w:ascii="Times New Roman" w:hAnsi="Times New Roman" w:cs="Times New Roman"/>
                                  <w:sz w:val="24"/>
                                  <w:szCs w:val="24"/>
                                  <w:lang w:val="uk-UA"/>
                                </w:rPr>
                                <w:t>Б</w:t>
                              </w:r>
                            </w:p>
                          </w:txbxContent>
                        </wps:txbx>
                        <wps:bodyPr rot="0" vert="horz" wrap="square" lIns="91440" tIns="45720" rIns="91440" bIns="45720" anchor="t" anchorCtr="0" upright="1">
                          <a:noAutofit/>
                        </wps:bodyPr>
                      </wps:wsp>
                      <wps:wsp>
                        <wps:cNvPr id="2083371622" name="Rectangle 101"/>
                        <wps:cNvSpPr>
                          <a:spLocks noChangeArrowheads="1"/>
                        </wps:cNvSpPr>
                        <wps:spPr bwMode="auto">
                          <a:xfrm>
                            <a:off x="233025" y="1303849"/>
                            <a:ext cx="1258536" cy="328638"/>
                          </a:xfrm>
                          <a:prstGeom prst="rect">
                            <a:avLst/>
                          </a:prstGeom>
                          <a:solidFill>
                            <a:srgbClr val="FFFFFF"/>
                          </a:solidFill>
                          <a:ln w="9525">
                            <a:solidFill>
                              <a:srgbClr val="000000"/>
                            </a:solidFill>
                            <a:miter lim="800000"/>
                            <a:headEnd/>
                            <a:tailEnd/>
                          </a:ln>
                        </wps:spPr>
                        <wps:txbx>
                          <w:txbxContent>
                            <w:p w14:paraId="0C9BAE3E"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 xml:space="preserve">Вертикальний  </w:t>
                              </w:r>
                            </w:p>
                          </w:txbxContent>
                        </wps:txbx>
                        <wps:bodyPr rot="0" vert="horz" wrap="square" lIns="91440" tIns="45720" rIns="91440" bIns="45720" anchor="t" anchorCtr="0" upright="1">
                          <a:noAutofit/>
                        </wps:bodyPr>
                      </wps:wsp>
                      <wps:wsp>
                        <wps:cNvPr id="718947838" name="Rectangle 102"/>
                        <wps:cNvSpPr>
                          <a:spLocks noChangeArrowheads="1"/>
                        </wps:cNvSpPr>
                        <wps:spPr bwMode="auto">
                          <a:xfrm>
                            <a:off x="1586871" y="1179935"/>
                            <a:ext cx="4467782" cy="640873"/>
                          </a:xfrm>
                          <a:prstGeom prst="rect">
                            <a:avLst/>
                          </a:prstGeom>
                          <a:solidFill>
                            <a:srgbClr val="FFFFFF"/>
                          </a:solidFill>
                          <a:ln w="9525">
                            <a:solidFill>
                              <a:srgbClr val="000000"/>
                            </a:solidFill>
                            <a:miter lim="800000"/>
                            <a:headEnd/>
                            <a:tailEnd/>
                          </a:ln>
                        </wps:spPr>
                        <wps:txbx>
                          <w:txbxContent>
                            <w:p w14:paraId="4B783AE4" w14:textId="77777777" w:rsidR="00840F43" w:rsidRPr="005874C6" w:rsidRDefault="00840F43" w:rsidP="00840F43">
                              <w:pPr>
                                <w:spacing w:after="0" w:line="240" w:lineRule="auto"/>
                                <w:ind w:left="-113" w:right="-113"/>
                                <w:jc w:val="both"/>
                                <w:rPr>
                                  <w:rFonts w:ascii="Times New Roman" w:hAnsi="Times New Roman" w:cs="Times New Roman"/>
                                  <w:sz w:val="24"/>
                                  <w:szCs w:val="24"/>
                                  <w:lang w:val="uk-UA"/>
                                </w:rPr>
                              </w:pPr>
                              <w:r w:rsidRPr="005874C6">
                                <w:rPr>
                                  <w:rFonts w:ascii="Times New Roman" w:eastAsia="Times New Roman" w:hAnsi="Times New Roman" w:cs="Times New Roman"/>
                                  <w:sz w:val="24"/>
                                  <w:szCs w:val="24"/>
                                  <w:lang w:val="uk-UA" w:eastAsia="ru-RU"/>
                                </w:rPr>
                                <w:t xml:space="preserve">визначення структури об’єктів </w:t>
                              </w:r>
                              <w:r w:rsidRPr="005874C6">
                                <w:rPr>
                                  <w:rFonts w:ascii="Times New Roman" w:hAnsi="Times New Roman" w:cs="Times New Roman"/>
                                  <w:sz w:val="24"/>
                                  <w:szCs w:val="24"/>
                                  <w:lang w:val="uk-UA"/>
                                </w:rPr>
                                <w:t>ФС</w:t>
                              </w:r>
                              <w:r>
                                <w:rPr>
                                  <w:rFonts w:ascii="Times New Roman" w:hAnsi="Times New Roman" w:cs="Times New Roman"/>
                                  <w:sz w:val="24"/>
                                  <w:szCs w:val="24"/>
                                  <w:lang w:val="uk-UA"/>
                                </w:rPr>
                                <w:t>Б</w:t>
                              </w:r>
                              <w:r w:rsidRPr="005874C6">
                                <w:rPr>
                                  <w:rFonts w:ascii="Times New Roman" w:hAnsi="Times New Roman" w:cs="Times New Roman"/>
                                  <w:sz w:val="24"/>
                                  <w:szCs w:val="24"/>
                                  <w:lang w:val="uk-UA"/>
                                </w:rPr>
                                <w:t xml:space="preserve"> </w:t>
                              </w:r>
                              <w:r w:rsidRPr="005874C6">
                                <w:rPr>
                                  <w:rFonts w:ascii="Times New Roman" w:eastAsia="Times New Roman" w:hAnsi="Times New Roman" w:cs="Times New Roman"/>
                                  <w:sz w:val="24"/>
                                  <w:szCs w:val="24"/>
                                  <w:lang w:val="uk-UA" w:eastAsia="ru-RU"/>
                                </w:rPr>
                                <w:t>в контексті її впливу на рівень ФС</w:t>
                              </w:r>
                              <w:r>
                                <w:rPr>
                                  <w:rFonts w:ascii="Times New Roman" w:eastAsia="Times New Roman" w:hAnsi="Times New Roman" w:cs="Times New Roman"/>
                                  <w:sz w:val="24"/>
                                  <w:szCs w:val="24"/>
                                  <w:lang w:val="uk-UA" w:eastAsia="ru-RU"/>
                                </w:rPr>
                                <w:t>Б</w:t>
                              </w:r>
                              <w:r w:rsidRPr="005874C6">
                                <w:rPr>
                                  <w:rFonts w:ascii="Times New Roman" w:eastAsia="Times New Roman" w:hAnsi="Times New Roman" w:cs="Times New Roman"/>
                                  <w:sz w:val="24"/>
                                  <w:szCs w:val="24"/>
                                  <w:lang w:val="uk-UA" w:eastAsia="ru-RU"/>
                                </w:rPr>
                                <w:t xml:space="preserve"> через рівні концентрації та диверсифікованості шляхом розрахунку частки окремих структурних складових</w:t>
                              </w:r>
                            </w:p>
                          </w:txbxContent>
                        </wps:txbx>
                        <wps:bodyPr rot="0" vert="horz" wrap="square" lIns="91440" tIns="45720" rIns="91440" bIns="45720" anchor="t" anchorCtr="0" upright="1">
                          <a:noAutofit/>
                        </wps:bodyPr>
                      </wps:wsp>
                      <wps:wsp>
                        <wps:cNvPr id="100519101" name="Rectangle 103"/>
                        <wps:cNvSpPr>
                          <a:spLocks noChangeArrowheads="1"/>
                        </wps:cNvSpPr>
                        <wps:spPr bwMode="auto">
                          <a:xfrm>
                            <a:off x="223324" y="1971525"/>
                            <a:ext cx="1288339" cy="325937"/>
                          </a:xfrm>
                          <a:prstGeom prst="rect">
                            <a:avLst/>
                          </a:prstGeom>
                          <a:solidFill>
                            <a:srgbClr val="FFFFFF"/>
                          </a:solidFill>
                          <a:ln w="9525">
                            <a:solidFill>
                              <a:srgbClr val="000000"/>
                            </a:solidFill>
                            <a:miter lim="800000"/>
                            <a:headEnd/>
                            <a:tailEnd/>
                          </a:ln>
                        </wps:spPr>
                        <wps:txbx>
                          <w:txbxContent>
                            <w:p w14:paraId="5E7829C6"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Коефіцієнтний</w:t>
                              </w:r>
                            </w:p>
                          </w:txbxContent>
                        </wps:txbx>
                        <wps:bodyPr rot="0" vert="horz" wrap="square" lIns="91440" tIns="45720" rIns="91440" bIns="45720" anchor="t" anchorCtr="0" upright="1">
                          <a:noAutofit/>
                        </wps:bodyPr>
                      </wps:wsp>
                      <wps:wsp>
                        <wps:cNvPr id="421893573" name="Rectangle 104"/>
                        <wps:cNvSpPr>
                          <a:spLocks noChangeArrowheads="1"/>
                        </wps:cNvSpPr>
                        <wps:spPr bwMode="auto">
                          <a:xfrm>
                            <a:off x="1586671" y="1863113"/>
                            <a:ext cx="4474483" cy="500957"/>
                          </a:xfrm>
                          <a:prstGeom prst="rect">
                            <a:avLst/>
                          </a:prstGeom>
                          <a:solidFill>
                            <a:srgbClr val="FFFFFF"/>
                          </a:solidFill>
                          <a:ln w="9525">
                            <a:solidFill>
                              <a:srgbClr val="000000"/>
                            </a:solidFill>
                            <a:miter lim="800000"/>
                            <a:headEnd/>
                            <a:tailEnd/>
                          </a:ln>
                        </wps:spPr>
                        <wps:txbx>
                          <w:txbxContent>
                            <w:p w14:paraId="42E76ED1" w14:textId="77777777" w:rsidR="00840F43" w:rsidRPr="00C0448D" w:rsidRDefault="00840F43" w:rsidP="00840F43">
                              <w:pPr>
                                <w:spacing w:after="0" w:line="240" w:lineRule="auto"/>
                                <w:ind w:left="-113" w:right="-113"/>
                                <w:jc w:val="both"/>
                                <w:rPr>
                                  <w:rFonts w:ascii="Times New Roman" w:eastAsia="Times New Roman" w:hAnsi="Times New Roman" w:cs="Times New Roman"/>
                                  <w:sz w:val="24"/>
                                  <w:szCs w:val="24"/>
                                  <w:lang w:val="uk-UA" w:eastAsia="ru-RU"/>
                                </w:rPr>
                              </w:pPr>
                              <w:r w:rsidRPr="00C0448D">
                                <w:rPr>
                                  <w:rFonts w:ascii="Times New Roman" w:eastAsia="Times New Roman" w:hAnsi="Times New Roman" w:cs="Times New Roman"/>
                                  <w:sz w:val="24"/>
                                  <w:szCs w:val="24"/>
                                  <w:lang w:val="uk-UA" w:eastAsia="ru-RU"/>
                                </w:rPr>
                                <w:t>розрахунок економічних нормативів відповідно до вимог НБУ;</w:t>
                              </w:r>
                            </w:p>
                            <w:p w14:paraId="43931241" w14:textId="77777777" w:rsidR="00840F43" w:rsidRPr="00E8008F" w:rsidRDefault="00840F43" w:rsidP="00840F43">
                              <w:pPr>
                                <w:spacing w:after="0" w:line="240" w:lineRule="auto"/>
                                <w:ind w:left="-113" w:right="-113"/>
                                <w:jc w:val="both"/>
                                <w:rPr>
                                  <w:rFonts w:ascii="Times New Roman" w:hAnsi="Times New Roman" w:cs="Times New Roman"/>
                                  <w:sz w:val="24"/>
                                  <w:szCs w:val="24"/>
                                  <w:lang w:val="uk-UA"/>
                                </w:rPr>
                              </w:pPr>
                              <w:r>
                                <w:rPr>
                                  <w:rFonts w:ascii="Times New Roman" w:hAnsi="Times New Roman" w:cs="Times New Roman"/>
                                  <w:sz w:val="24"/>
                                  <w:szCs w:val="24"/>
                                  <w:lang w:val="uk-UA"/>
                                </w:rPr>
                                <w:t>розрахунок лімітів ризиків</w:t>
                              </w:r>
                            </w:p>
                          </w:txbxContent>
                        </wps:txbx>
                        <wps:bodyPr rot="0" vert="horz" wrap="square" lIns="91440" tIns="45720" rIns="91440" bIns="45720" anchor="t" anchorCtr="0" upright="1">
                          <a:noAutofit/>
                        </wps:bodyPr>
                      </wps:wsp>
                      <wps:wsp>
                        <wps:cNvPr id="1543113086" name="Rectangle 105"/>
                        <wps:cNvSpPr>
                          <a:spLocks noChangeArrowheads="1"/>
                        </wps:cNvSpPr>
                        <wps:spPr bwMode="auto">
                          <a:xfrm>
                            <a:off x="233025" y="2561093"/>
                            <a:ext cx="1267837" cy="343039"/>
                          </a:xfrm>
                          <a:prstGeom prst="rect">
                            <a:avLst/>
                          </a:prstGeom>
                          <a:solidFill>
                            <a:srgbClr val="FFFFFF"/>
                          </a:solidFill>
                          <a:ln w="9525">
                            <a:solidFill>
                              <a:srgbClr val="000000"/>
                            </a:solidFill>
                            <a:miter lim="800000"/>
                            <a:headEnd/>
                            <a:tailEnd/>
                          </a:ln>
                        </wps:spPr>
                        <wps:txbx>
                          <w:txbxContent>
                            <w:p w14:paraId="7C3028A4"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Порівняльний</w:t>
                              </w:r>
                            </w:p>
                          </w:txbxContent>
                        </wps:txbx>
                        <wps:bodyPr rot="0" vert="horz" wrap="square" lIns="91440" tIns="45720" rIns="91440" bIns="45720" anchor="t" anchorCtr="0" upright="1">
                          <a:noAutofit/>
                        </wps:bodyPr>
                      </wps:wsp>
                      <wps:wsp>
                        <wps:cNvPr id="728945806" name="Rectangle 106"/>
                        <wps:cNvSpPr>
                          <a:spLocks noChangeArrowheads="1"/>
                        </wps:cNvSpPr>
                        <wps:spPr bwMode="auto">
                          <a:xfrm>
                            <a:off x="1577170" y="2433578"/>
                            <a:ext cx="4472382" cy="800091"/>
                          </a:xfrm>
                          <a:prstGeom prst="rect">
                            <a:avLst/>
                          </a:prstGeom>
                          <a:solidFill>
                            <a:srgbClr val="FFFFFF"/>
                          </a:solidFill>
                          <a:ln w="9525">
                            <a:solidFill>
                              <a:srgbClr val="000000"/>
                            </a:solidFill>
                            <a:miter lim="800000"/>
                            <a:headEnd/>
                            <a:tailEnd/>
                          </a:ln>
                        </wps:spPr>
                        <wps:txbx>
                          <w:txbxContent>
                            <w:p w14:paraId="5E942465" w14:textId="77777777" w:rsidR="00840F43" w:rsidRPr="00E8008F" w:rsidRDefault="00840F43" w:rsidP="00840F43">
                              <w:pPr>
                                <w:spacing w:after="0" w:line="240" w:lineRule="auto"/>
                                <w:ind w:left="-113" w:right="-113"/>
                                <w:jc w:val="both"/>
                                <w:rPr>
                                  <w:rFonts w:ascii="Times New Roman" w:hAnsi="Times New Roman" w:cs="Times New Roman"/>
                                  <w:sz w:val="24"/>
                                  <w:szCs w:val="24"/>
                                  <w:lang w:val="uk-UA"/>
                                </w:rPr>
                              </w:pPr>
                              <w:r w:rsidRPr="005874C6">
                                <w:rPr>
                                  <w:rFonts w:ascii="Times New Roman" w:hAnsi="Times New Roman" w:cs="Times New Roman"/>
                                  <w:sz w:val="24"/>
                                  <w:szCs w:val="24"/>
                                  <w:lang w:val="uk-UA"/>
                                </w:rPr>
                                <w:t>зіставлення значень окремих груп показників, що характеризують об’єкт</w:t>
                              </w:r>
                              <w:r>
                                <w:rPr>
                                  <w:rFonts w:ascii="Times New Roman" w:hAnsi="Times New Roman" w:cs="Times New Roman"/>
                                  <w:sz w:val="24"/>
                                  <w:szCs w:val="24"/>
                                  <w:lang w:val="uk-UA"/>
                                </w:rPr>
                                <w:t>и</w:t>
                              </w:r>
                              <w:r w:rsidRPr="005874C6">
                                <w:rPr>
                                  <w:rFonts w:ascii="Times New Roman" w:hAnsi="Times New Roman" w:cs="Times New Roman"/>
                                  <w:sz w:val="24"/>
                                  <w:szCs w:val="24"/>
                                  <w:lang w:val="uk-UA"/>
                                </w:rPr>
                                <w:t xml:space="preserve"> ФС</w:t>
                              </w:r>
                              <w:r>
                                <w:rPr>
                                  <w:rFonts w:ascii="Times New Roman" w:hAnsi="Times New Roman" w:cs="Times New Roman"/>
                                  <w:sz w:val="24"/>
                                  <w:szCs w:val="24"/>
                                  <w:lang w:val="uk-UA"/>
                                </w:rPr>
                                <w:t>Б</w:t>
                              </w:r>
                              <w:r w:rsidRPr="005874C6">
                                <w:rPr>
                                  <w:rFonts w:ascii="Times New Roman" w:hAnsi="Times New Roman" w:cs="Times New Roman"/>
                                  <w:sz w:val="24"/>
                                  <w:szCs w:val="24"/>
                                  <w:lang w:val="uk-UA"/>
                                </w:rPr>
                                <w:t xml:space="preserve"> та рівня ФС</w:t>
                              </w:r>
                              <w:r>
                                <w:rPr>
                                  <w:rFonts w:ascii="Times New Roman" w:hAnsi="Times New Roman" w:cs="Times New Roman"/>
                                  <w:sz w:val="24"/>
                                  <w:szCs w:val="24"/>
                                  <w:lang w:val="uk-UA"/>
                                </w:rPr>
                                <w:t xml:space="preserve">Б </w:t>
                              </w:r>
                              <w:r w:rsidRPr="005874C6">
                                <w:rPr>
                                  <w:rFonts w:ascii="Times New Roman" w:hAnsi="Times New Roman" w:cs="Times New Roman"/>
                                  <w:sz w:val="24"/>
                                  <w:szCs w:val="24"/>
                                  <w:lang w:val="uk-UA"/>
                                </w:rPr>
                                <w:t>в цілому, між собою, розрахунку їх абсолютних та відносних</w:t>
                              </w:r>
                              <w:r>
                                <w:rPr>
                                  <w:rFonts w:ascii="Times New Roman" w:hAnsi="Times New Roman" w:cs="Times New Roman"/>
                                  <w:sz w:val="24"/>
                                  <w:szCs w:val="24"/>
                                  <w:lang w:val="uk-UA"/>
                                </w:rPr>
                                <w:t xml:space="preserve">: </w:t>
                              </w:r>
                              <w:r w:rsidRPr="00C0448D">
                                <w:rPr>
                                  <w:rFonts w:ascii="Times New Roman" w:hAnsi="Times New Roman" w:cs="Times New Roman"/>
                                  <w:sz w:val="24"/>
                                  <w:szCs w:val="24"/>
                                  <w:lang w:val="uk-UA"/>
                                </w:rPr>
                                <w:t>GAP-аналіз процентного ризику та ризику ліквідності</w:t>
                              </w:r>
                              <w:r>
                                <w:rPr>
                                  <w:rFonts w:ascii="Times New Roman" w:hAnsi="Times New Roman" w:cs="Times New Roman"/>
                                  <w:sz w:val="24"/>
                                  <w:szCs w:val="24"/>
                                  <w:lang w:val="uk-UA"/>
                                </w:rPr>
                                <w:t xml:space="preserve">; аналіз валютної позиції </w:t>
                              </w:r>
                            </w:p>
                          </w:txbxContent>
                        </wps:txbx>
                        <wps:bodyPr rot="0" vert="horz" wrap="square" lIns="91440" tIns="45720" rIns="91440" bIns="45720" anchor="t" anchorCtr="0" upright="1">
                          <a:noAutofit/>
                        </wps:bodyPr>
                      </wps:wsp>
                      <wps:wsp>
                        <wps:cNvPr id="1151253667" name="Rectangle 109"/>
                        <wps:cNvSpPr>
                          <a:spLocks noChangeArrowheads="1"/>
                        </wps:cNvSpPr>
                        <wps:spPr bwMode="auto">
                          <a:xfrm>
                            <a:off x="223124" y="3523303"/>
                            <a:ext cx="1267637" cy="328438"/>
                          </a:xfrm>
                          <a:prstGeom prst="rect">
                            <a:avLst/>
                          </a:prstGeom>
                          <a:solidFill>
                            <a:srgbClr val="FFFFFF"/>
                          </a:solidFill>
                          <a:ln w="9525">
                            <a:solidFill>
                              <a:srgbClr val="000000"/>
                            </a:solidFill>
                            <a:miter lim="800000"/>
                            <a:headEnd/>
                            <a:tailEnd/>
                          </a:ln>
                        </wps:spPr>
                        <wps:txbx>
                          <w:txbxContent>
                            <w:p w14:paraId="74452A9A"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Метод групувань</w:t>
                              </w:r>
                            </w:p>
                          </w:txbxContent>
                        </wps:txbx>
                        <wps:bodyPr rot="0" vert="horz" wrap="square" lIns="91440" tIns="45720" rIns="91440" bIns="45720" anchor="t" anchorCtr="0" upright="1">
                          <a:noAutofit/>
                        </wps:bodyPr>
                      </wps:wsp>
                      <wps:wsp>
                        <wps:cNvPr id="1033634464" name="Rectangle 110"/>
                        <wps:cNvSpPr>
                          <a:spLocks noChangeArrowheads="1"/>
                        </wps:cNvSpPr>
                        <wps:spPr bwMode="auto">
                          <a:xfrm>
                            <a:off x="1586571" y="3294377"/>
                            <a:ext cx="4462281" cy="685978"/>
                          </a:xfrm>
                          <a:prstGeom prst="rect">
                            <a:avLst/>
                          </a:prstGeom>
                          <a:solidFill>
                            <a:srgbClr val="FFFFFF"/>
                          </a:solidFill>
                          <a:ln w="9525">
                            <a:solidFill>
                              <a:srgbClr val="000000"/>
                            </a:solidFill>
                            <a:miter lim="800000"/>
                            <a:headEnd/>
                            <a:tailEnd/>
                          </a:ln>
                        </wps:spPr>
                        <wps:txbx>
                          <w:txbxContent>
                            <w:p w14:paraId="1C805613" w14:textId="77777777" w:rsidR="00840F43" w:rsidRPr="00E8008F" w:rsidRDefault="00840F43" w:rsidP="00840F43">
                              <w:pPr>
                                <w:spacing w:after="0" w:line="240" w:lineRule="auto"/>
                                <w:ind w:left="-113" w:right="-113"/>
                                <w:jc w:val="both"/>
                                <w:rPr>
                                  <w:rFonts w:ascii="Times New Roman" w:hAnsi="Times New Roman" w:cs="Times New Roman"/>
                                  <w:sz w:val="24"/>
                                  <w:szCs w:val="24"/>
                                  <w:lang w:val="uk-UA"/>
                                </w:rPr>
                              </w:pPr>
                              <w:r w:rsidRPr="00E8008F">
                                <w:rPr>
                                  <w:rFonts w:ascii="Times New Roman" w:hAnsi="Times New Roman" w:cs="Times New Roman"/>
                                  <w:sz w:val="24"/>
                                  <w:szCs w:val="24"/>
                                  <w:lang w:val="uk-UA"/>
                                </w:rPr>
                                <w:t xml:space="preserve">систематизація даних звітності (за </w:t>
                              </w:r>
                              <w:r>
                                <w:rPr>
                                  <w:rFonts w:ascii="Times New Roman" w:hAnsi="Times New Roman" w:cs="Times New Roman"/>
                                  <w:sz w:val="24"/>
                                  <w:szCs w:val="24"/>
                                  <w:lang w:val="uk-UA"/>
                                </w:rPr>
                                <w:t>рівнем</w:t>
                              </w:r>
                              <w:r w:rsidRPr="00E8008F">
                                <w:rPr>
                                  <w:rFonts w:ascii="Times New Roman" w:hAnsi="Times New Roman" w:cs="Times New Roman"/>
                                  <w:sz w:val="24"/>
                                  <w:szCs w:val="24"/>
                                  <w:lang w:val="uk-UA"/>
                                </w:rPr>
                                <w:t xml:space="preserve"> ліквідності, сутності операцій, рівнем, що дозволяють поглиблено розібратися в сутності явищ і процесів, що впливають на </w:t>
                              </w:r>
                              <w:r>
                                <w:rPr>
                                  <w:rFonts w:ascii="Times New Roman" w:hAnsi="Times New Roman" w:cs="Times New Roman"/>
                                  <w:sz w:val="24"/>
                                  <w:szCs w:val="24"/>
                                  <w:lang w:val="uk-UA"/>
                                </w:rPr>
                                <w:t>ФСБ)</w:t>
                              </w:r>
                            </w:p>
                          </w:txbxContent>
                        </wps:txbx>
                        <wps:bodyPr rot="0" vert="horz" wrap="square" lIns="91440" tIns="45720" rIns="91440" bIns="45720" anchor="t" anchorCtr="0" upright="1">
                          <a:noAutofit/>
                        </wps:bodyPr>
                      </wps:wsp>
                      <wps:wsp>
                        <wps:cNvPr id="331986304" name="Rectangle 113"/>
                        <wps:cNvSpPr>
                          <a:spLocks noChangeArrowheads="1"/>
                        </wps:cNvSpPr>
                        <wps:spPr bwMode="auto">
                          <a:xfrm>
                            <a:off x="244426" y="5560836"/>
                            <a:ext cx="1298640" cy="449151"/>
                          </a:xfrm>
                          <a:prstGeom prst="rect">
                            <a:avLst/>
                          </a:prstGeom>
                          <a:solidFill>
                            <a:srgbClr val="FFFFFF"/>
                          </a:solidFill>
                          <a:ln w="9525">
                            <a:solidFill>
                              <a:srgbClr val="000000"/>
                            </a:solidFill>
                            <a:miter lim="800000"/>
                            <a:headEnd/>
                            <a:tailEnd/>
                          </a:ln>
                        </wps:spPr>
                        <wps:txbx>
                          <w:txbxContent>
                            <w:p w14:paraId="0272E1C3"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 xml:space="preserve">Табличний  </w:t>
                              </w:r>
                            </w:p>
                          </w:txbxContent>
                        </wps:txbx>
                        <wps:bodyPr rot="0" vert="horz" wrap="square" lIns="91440" tIns="45720" rIns="91440" bIns="45720" anchor="t" anchorCtr="0" upright="1">
                          <a:noAutofit/>
                        </wps:bodyPr>
                      </wps:wsp>
                      <wps:wsp>
                        <wps:cNvPr id="1972213319" name="Rectangle 114"/>
                        <wps:cNvSpPr>
                          <a:spLocks noChangeArrowheads="1"/>
                        </wps:cNvSpPr>
                        <wps:spPr bwMode="auto">
                          <a:xfrm>
                            <a:off x="1626775" y="5551435"/>
                            <a:ext cx="4456881" cy="487256"/>
                          </a:xfrm>
                          <a:prstGeom prst="rect">
                            <a:avLst/>
                          </a:prstGeom>
                          <a:solidFill>
                            <a:srgbClr val="FFFFFF"/>
                          </a:solidFill>
                          <a:ln w="9525">
                            <a:solidFill>
                              <a:srgbClr val="000000"/>
                            </a:solidFill>
                            <a:miter lim="800000"/>
                            <a:headEnd/>
                            <a:tailEnd/>
                          </a:ln>
                        </wps:spPr>
                        <wps:txbx>
                          <w:txbxContent>
                            <w:p w14:paraId="0C4B9490" w14:textId="77777777" w:rsidR="00840F43" w:rsidRPr="00E8008F" w:rsidRDefault="00840F43" w:rsidP="00840F43">
                              <w:pPr>
                                <w:spacing w:after="0" w:line="240" w:lineRule="auto"/>
                                <w:ind w:left="-113" w:right="-113"/>
                                <w:jc w:val="both"/>
                                <w:rPr>
                                  <w:rFonts w:ascii="Times New Roman" w:hAnsi="Times New Roman" w:cs="Times New Roman"/>
                                  <w:sz w:val="24"/>
                                  <w:szCs w:val="24"/>
                                  <w:lang w:val="uk-UA"/>
                                </w:rPr>
                              </w:pPr>
                              <w:r w:rsidRPr="00E8008F">
                                <w:rPr>
                                  <w:rFonts w:ascii="Times New Roman" w:hAnsi="Times New Roman" w:cs="Times New Roman"/>
                                  <w:sz w:val="24"/>
                                  <w:szCs w:val="24"/>
                                  <w:lang w:val="uk-UA"/>
                                </w:rPr>
                                <w:t>подання результатів аналізу у вигляді таблиць для покращення їх сприйняття</w:t>
                              </w:r>
                              <w:r>
                                <w:rPr>
                                  <w:rFonts w:ascii="Times New Roman" w:hAnsi="Times New Roman" w:cs="Times New Roman"/>
                                  <w:sz w:val="24"/>
                                  <w:szCs w:val="24"/>
                                  <w:lang w:val="uk-UA"/>
                                </w:rPr>
                                <w:t xml:space="preserve">, можливість </w:t>
                              </w:r>
                              <w:r w:rsidRPr="00E8008F">
                                <w:rPr>
                                  <w:rFonts w:ascii="Times New Roman" w:hAnsi="Times New Roman" w:cs="Times New Roman"/>
                                  <w:sz w:val="24"/>
                                  <w:szCs w:val="24"/>
                                  <w:lang w:val="uk-UA"/>
                                </w:rPr>
                                <w:t>охопити дані як єдину систему</w:t>
                              </w:r>
                            </w:p>
                          </w:txbxContent>
                        </wps:txbx>
                        <wps:bodyPr rot="0" vert="horz" wrap="square" lIns="91440" tIns="45720" rIns="91440" bIns="45720" anchor="t" anchorCtr="0" upright="1">
                          <a:noAutofit/>
                        </wps:bodyPr>
                      </wps:wsp>
                      <wps:wsp>
                        <wps:cNvPr id="916329611" name="AutoShape 152"/>
                        <wps:cNvCnPr>
                          <a:cxnSpLocks noChangeShapeType="1"/>
                          <a:endCxn id="311539497" idx="1"/>
                        </wps:cNvCnPr>
                        <wps:spPr bwMode="auto">
                          <a:xfrm flipV="1">
                            <a:off x="57106" y="213324"/>
                            <a:ext cx="168718" cy="59256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29583461" name="Прямая соединительная линия 482"/>
                        <wps:cNvCnPr>
                          <a:cxnSpLocks noChangeShapeType="1"/>
                          <a:endCxn id="20904742" idx="1"/>
                        </wps:cNvCnPr>
                        <wps:spPr bwMode="auto">
                          <a:xfrm>
                            <a:off x="56506" y="761987"/>
                            <a:ext cx="100" cy="5100283"/>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751403365" name="Стрелка вправо 483"/>
                        <wps:cNvSpPr>
                          <a:spLocks noChangeArrowheads="1"/>
                        </wps:cNvSpPr>
                        <wps:spPr bwMode="auto">
                          <a:xfrm>
                            <a:off x="57106" y="805792"/>
                            <a:ext cx="159417" cy="1647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1690063768" name="Стрелка вправо 484"/>
                        <wps:cNvSpPr>
                          <a:spLocks noChangeArrowheads="1"/>
                        </wps:cNvSpPr>
                        <wps:spPr bwMode="auto">
                          <a:xfrm>
                            <a:off x="56706" y="1400060"/>
                            <a:ext cx="159417" cy="1646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1907221414" name="Стрелка вправо 485"/>
                        <wps:cNvSpPr>
                          <a:spLocks noChangeArrowheads="1"/>
                        </wps:cNvSpPr>
                        <wps:spPr bwMode="auto">
                          <a:xfrm>
                            <a:off x="56706" y="2085939"/>
                            <a:ext cx="159417" cy="1646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246884472" name="Стрелка вправо 486"/>
                        <wps:cNvSpPr>
                          <a:spLocks noChangeArrowheads="1"/>
                        </wps:cNvSpPr>
                        <wps:spPr bwMode="auto">
                          <a:xfrm>
                            <a:off x="73608" y="2675606"/>
                            <a:ext cx="159417" cy="1647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325931169" name="Стрелка вправо 487"/>
                        <wps:cNvSpPr>
                          <a:spLocks noChangeArrowheads="1"/>
                        </wps:cNvSpPr>
                        <wps:spPr bwMode="auto">
                          <a:xfrm>
                            <a:off x="73508" y="3641116"/>
                            <a:ext cx="159417" cy="1647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2072745331" name="Стрелка вправо 488"/>
                        <wps:cNvSpPr>
                          <a:spLocks noChangeArrowheads="1"/>
                        </wps:cNvSpPr>
                        <wps:spPr bwMode="auto">
                          <a:xfrm>
                            <a:off x="76108" y="4538619"/>
                            <a:ext cx="159517" cy="1647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20904742" name="Стрелка вправо 489"/>
                        <wps:cNvSpPr>
                          <a:spLocks noChangeArrowheads="1"/>
                        </wps:cNvSpPr>
                        <wps:spPr bwMode="auto">
                          <a:xfrm>
                            <a:off x="56706" y="5779661"/>
                            <a:ext cx="159417" cy="1646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948649945" name="Стрелка вправо 490"/>
                        <wps:cNvSpPr>
                          <a:spLocks noChangeArrowheads="1"/>
                        </wps:cNvSpPr>
                        <wps:spPr bwMode="auto">
                          <a:xfrm>
                            <a:off x="1492161" y="826094"/>
                            <a:ext cx="111812" cy="1647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837889214" name="Стрелка вправо 491"/>
                        <wps:cNvSpPr>
                          <a:spLocks noChangeArrowheads="1"/>
                        </wps:cNvSpPr>
                        <wps:spPr bwMode="auto">
                          <a:xfrm>
                            <a:off x="1506863" y="1399960"/>
                            <a:ext cx="111912" cy="1647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1377145972" name="Стрелка вправо 492"/>
                        <wps:cNvSpPr>
                          <a:spLocks noChangeArrowheads="1"/>
                        </wps:cNvSpPr>
                        <wps:spPr bwMode="auto">
                          <a:xfrm>
                            <a:off x="1498862" y="2084038"/>
                            <a:ext cx="111812" cy="1647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136329567" name="Стрелка вправо 493"/>
                        <wps:cNvSpPr>
                          <a:spLocks noChangeArrowheads="1"/>
                        </wps:cNvSpPr>
                        <wps:spPr bwMode="auto">
                          <a:xfrm>
                            <a:off x="1500462" y="2675606"/>
                            <a:ext cx="111812" cy="1646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1060608565" name="Стрелка вправо 494"/>
                        <wps:cNvSpPr>
                          <a:spLocks noChangeArrowheads="1"/>
                        </wps:cNvSpPr>
                        <wps:spPr bwMode="auto">
                          <a:xfrm>
                            <a:off x="1498862" y="3619214"/>
                            <a:ext cx="111812" cy="1647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434074504" name="Стрелка вправо 495"/>
                        <wps:cNvSpPr>
                          <a:spLocks noChangeArrowheads="1"/>
                        </wps:cNvSpPr>
                        <wps:spPr bwMode="auto">
                          <a:xfrm>
                            <a:off x="1553768" y="5759959"/>
                            <a:ext cx="111912" cy="1647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1312228290" name="Стрелка вправо 496"/>
                        <wps:cNvSpPr>
                          <a:spLocks noChangeArrowheads="1"/>
                        </wps:cNvSpPr>
                        <wps:spPr bwMode="auto">
                          <a:xfrm>
                            <a:off x="1500462" y="4485913"/>
                            <a:ext cx="111812" cy="164719"/>
                          </a:xfrm>
                          <a:prstGeom prst="rightArrow">
                            <a:avLst>
                              <a:gd name="adj1" fmla="val 50000"/>
                              <a:gd name="adj2" fmla="val 50000"/>
                            </a:avLst>
                          </a:prstGeom>
                          <a:solidFill>
                            <a:schemeClr val="dk1">
                              <a:lumMod val="100000"/>
                              <a:lumOff val="0"/>
                            </a:schemeClr>
                          </a:solidFill>
                          <a:ln w="12700">
                            <a:solidFill>
                              <a:schemeClr val="dk1">
                                <a:lumMod val="50000"/>
                                <a:lumOff val="0"/>
                              </a:schemeClr>
                            </a:solidFill>
                            <a:miter lim="800000"/>
                            <a:headEnd/>
                            <a:tailEnd/>
                          </a:ln>
                        </wps:spPr>
                        <wps:bodyPr rot="0" vert="horz" wrap="square" lIns="91440" tIns="45720" rIns="91440" bIns="45720" anchor="ctr" anchorCtr="0" upright="1">
                          <a:noAutofit/>
                        </wps:bodyPr>
                      </wps:wsp>
                      <wps:wsp>
                        <wps:cNvPr id="873091504" name="Rectangle 113"/>
                        <wps:cNvSpPr>
                          <a:spLocks noChangeArrowheads="1"/>
                        </wps:cNvSpPr>
                        <wps:spPr bwMode="auto">
                          <a:xfrm>
                            <a:off x="244426" y="4313193"/>
                            <a:ext cx="1257536" cy="690379"/>
                          </a:xfrm>
                          <a:prstGeom prst="rect">
                            <a:avLst/>
                          </a:prstGeom>
                          <a:solidFill>
                            <a:srgbClr val="FFFFFF"/>
                          </a:solidFill>
                          <a:ln w="9525">
                            <a:solidFill>
                              <a:srgbClr val="000000"/>
                            </a:solidFill>
                            <a:miter lim="800000"/>
                            <a:headEnd/>
                            <a:tailEnd/>
                          </a:ln>
                        </wps:spPr>
                        <wps:txbx>
                          <w:txbxContent>
                            <w:p w14:paraId="4A8F1DEC"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Економіко-математичні та статистичні</w:t>
                              </w:r>
                              <w:r w:rsidRPr="00E8008F">
                                <w:rPr>
                                  <w:rFonts w:ascii="Times New Roman" w:hAnsi="Times New Roman" w:cs="Times New Roman"/>
                                  <w:sz w:val="24"/>
                                  <w:szCs w:val="24"/>
                                  <w:lang w:val="uk-UA"/>
                                </w:rPr>
                                <w:t xml:space="preserve">  </w:t>
                              </w:r>
                            </w:p>
                          </w:txbxContent>
                        </wps:txbx>
                        <wps:bodyPr rot="0" vert="horz" wrap="square" lIns="91440" tIns="45720" rIns="91440" bIns="45720" anchor="t" anchorCtr="0" upright="1">
                          <a:noAutofit/>
                        </wps:bodyPr>
                      </wps:wsp>
                      <wps:wsp>
                        <wps:cNvPr id="510167218" name="Rectangle 114"/>
                        <wps:cNvSpPr>
                          <a:spLocks noChangeArrowheads="1"/>
                        </wps:cNvSpPr>
                        <wps:spPr bwMode="auto">
                          <a:xfrm>
                            <a:off x="1617674" y="4094468"/>
                            <a:ext cx="4456881" cy="1341653"/>
                          </a:xfrm>
                          <a:prstGeom prst="rect">
                            <a:avLst/>
                          </a:prstGeom>
                          <a:solidFill>
                            <a:srgbClr val="FFFFFF"/>
                          </a:solidFill>
                          <a:ln w="9525">
                            <a:solidFill>
                              <a:srgbClr val="000000"/>
                            </a:solidFill>
                            <a:miter lim="800000"/>
                            <a:headEnd/>
                            <a:tailEnd/>
                          </a:ln>
                        </wps:spPr>
                        <wps:txbx>
                          <w:txbxContent>
                            <w:p w14:paraId="6F7BCDC0" w14:textId="77777777" w:rsidR="00840F43" w:rsidRDefault="00840F43" w:rsidP="00840F43">
                              <w:pPr>
                                <w:spacing w:after="0" w:line="240" w:lineRule="auto"/>
                                <w:ind w:left="-113" w:right="-113"/>
                                <w:jc w:val="both"/>
                                <w:rPr>
                                  <w:rFonts w:ascii="Times New Roman" w:hAnsi="Times New Roman" w:cs="Times New Roman"/>
                                  <w:sz w:val="24"/>
                                  <w:szCs w:val="24"/>
                                  <w:lang w:val="uk-UA"/>
                                </w:rPr>
                              </w:pPr>
                              <w:r w:rsidRPr="00C0448D">
                                <w:rPr>
                                  <w:rFonts w:ascii="Times New Roman" w:hAnsi="Times New Roman" w:cs="Times New Roman"/>
                                  <w:sz w:val="24"/>
                                  <w:szCs w:val="24"/>
                                  <w:lang w:val="uk-UA"/>
                                </w:rPr>
                                <w:t>сценарний аналіз ризиків</w:t>
                              </w:r>
                              <w:r>
                                <w:rPr>
                                  <w:rFonts w:ascii="Times New Roman" w:hAnsi="Times New Roman" w:cs="Times New Roman"/>
                                  <w:sz w:val="24"/>
                                  <w:szCs w:val="24"/>
                                  <w:lang w:val="uk-UA"/>
                                </w:rPr>
                                <w:t xml:space="preserve"> (аналіз чутливості);</w:t>
                              </w:r>
                            </w:p>
                            <w:p w14:paraId="7B91264C" w14:textId="77777777" w:rsidR="00840F43" w:rsidRDefault="00840F43" w:rsidP="00840F43">
                              <w:pPr>
                                <w:spacing w:after="0" w:line="240" w:lineRule="auto"/>
                                <w:ind w:left="-113" w:right="-113"/>
                                <w:jc w:val="both"/>
                                <w:rPr>
                                  <w:rFonts w:ascii="Times New Roman" w:hAnsi="Times New Roman" w:cs="Times New Roman"/>
                                  <w:sz w:val="24"/>
                                  <w:szCs w:val="24"/>
                                  <w:lang w:val="uk-UA"/>
                                </w:rPr>
                              </w:pPr>
                              <w:r w:rsidRPr="00C0448D">
                                <w:rPr>
                                  <w:rFonts w:ascii="Times New Roman" w:hAnsi="Times New Roman" w:cs="Times New Roman"/>
                                  <w:sz w:val="24"/>
                                  <w:szCs w:val="24"/>
                                  <w:lang w:val="uk-UA"/>
                                </w:rPr>
                                <w:t>стрес-тестування ключових банківських ризиків;</w:t>
                              </w:r>
                            </w:p>
                            <w:p w14:paraId="0A773304" w14:textId="77777777" w:rsidR="00840F43" w:rsidRDefault="00840F43" w:rsidP="00840F43">
                              <w:pPr>
                                <w:spacing w:after="0" w:line="240" w:lineRule="auto"/>
                                <w:ind w:left="-113" w:right="-113"/>
                                <w:jc w:val="both"/>
                                <w:rPr>
                                  <w:rFonts w:ascii="Times New Roman" w:hAnsi="Times New Roman" w:cs="Times New Roman"/>
                                  <w:sz w:val="24"/>
                                  <w:szCs w:val="24"/>
                                  <w:lang w:val="uk-UA"/>
                                </w:rPr>
                              </w:pPr>
                              <w:r w:rsidRPr="007F61C7">
                                <w:rPr>
                                  <w:rFonts w:ascii="Times New Roman" w:hAnsi="Times New Roman" w:cs="Times New Roman"/>
                                  <w:sz w:val="24"/>
                                  <w:szCs w:val="24"/>
                                  <w:lang w:val="uk-UA"/>
                                </w:rPr>
                                <w:t>сценарний аналіз коливань курсів іноземних валют та визначення їх впливу на прибуток та капітал</w:t>
                              </w:r>
                              <w:r>
                                <w:rPr>
                                  <w:rFonts w:ascii="Times New Roman" w:hAnsi="Times New Roman" w:cs="Times New Roman"/>
                                  <w:sz w:val="24"/>
                                  <w:szCs w:val="24"/>
                                  <w:lang w:val="uk-UA"/>
                                </w:rPr>
                                <w:t>;</w:t>
                              </w:r>
                            </w:p>
                            <w:p w14:paraId="19ECC83E" w14:textId="77777777" w:rsidR="00840F43" w:rsidRDefault="00840F43" w:rsidP="00840F43">
                              <w:pPr>
                                <w:spacing w:after="0" w:line="240" w:lineRule="auto"/>
                                <w:ind w:left="-113" w:right="-113"/>
                                <w:jc w:val="both"/>
                                <w:rPr>
                                  <w:rFonts w:ascii="Times New Roman" w:hAnsi="Times New Roman" w:cs="Times New Roman"/>
                                  <w:sz w:val="24"/>
                                  <w:szCs w:val="24"/>
                                  <w:lang w:val="uk-UA"/>
                                </w:rPr>
                              </w:pPr>
                              <w:r w:rsidRPr="007F61C7">
                                <w:rPr>
                                  <w:rFonts w:ascii="Times New Roman" w:hAnsi="Times New Roman" w:cs="Times New Roman"/>
                                  <w:sz w:val="24"/>
                                  <w:szCs w:val="24"/>
                                  <w:lang w:val="uk-UA"/>
                                </w:rPr>
                                <w:t>оцінка кредитного ризику, в тому числі аналіз позичальників для визнач</w:t>
                              </w:r>
                              <w:r>
                                <w:rPr>
                                  <w:rFonts w:ascii="Times New Roman" w:hAnsi="Times New Roman" w:cs="Times New Roman"/>
                                  <w:sz w:val="24"/>
                                  <w:szCs w:val="24"/>
                                  <w:lang w:val="uk-UA"/>
                                </w:rPr>
                                <w:t>ення рівня їх кредитного ризику;</w:t>
                              </w:r>
                            </w:p>
                            <w:p w14:paraId="2BCAB74F" w14:textId="77777777" w:rsidR="00840F43" w:rsidRPr="00E8008F" w:rsidRDefault="00840F43" w:rsidP="00840F43">
                              <w:pPr>
                                <w:spacing w:after="0" w:line="240" w:lineRule="auto"/>
                                <w:ind w:left="-113" w:right="-113"/>
                                <w:jc w:val="both"/>
                                <w:rPr>
                                  <w:rFonts w:ascii="Times New Roman" w:hAnsi="Times New Roman" w:cs="Times New Roman"/>
                                  <w:sz w:val="24"/>
                                  <w:szCs w:val="24"/>
                                  <w:lang w:val="uk-UA"/>
                                </w:rPr>
                              </w:pPr>
                              <w:r>
                                <w:rPr>
                                  <w:rFonts w:ascii="Times New Roman" w:hAnsi="Times New Roman" w:cs="Times New Roman"/>
                                  <w:sz w:val="24"/>
                                  <w:szCs w:val="24"/>
                                  <w:lang w:val="uk-UA"/>
                                </w:rPr>
                                <w:t>прогноз макропоказників</w:t>
                              </w:r>
                            </w:p>
                          </w:txbxContent>
                        </wps:txbx>
                        <wps:bodyPr rot="0" vert="horz" wrap="square" lIns="91440" tIns="45720" rIns="91440" bIns="45720" anchor="t" anchorCtr="0" upright="1">
                          <a:noAutofit/>
                        </wps:bodyPr>
                      </wps:wsp>
                    </wpc:wpc>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D847BCC" id="Полотно 95" o:spid="_x0000_s1356" editas="canvas" style="width:481.8pt;height:482pt;mso-position-horizontal-relative:char;mso-position-vertical-relative:line" coordsize="61188,612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">
                <v:shape id="_x0000_s1357" type="#_x0000_t75" style="position:absolute;width:61188;height:61214;visibility:visible;mso-wrap-style:square">
                  <v:fill o:detectmouseclick="t"/>
                  <v:path o:connecttype="none"/>
                </v:shape>
                <v:rect id="Rectangle 97" o:spid="_x0000_s1358" style="position:absolute;left:2258;top:282;width:13572;height:3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">
                  <v:textbox>
                    <w:txbxContent>
                      <w:p w14:paraId="5E8E3ED6"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Метод аналізу</w:t>
                        </w:r>
                      </w:p>
                    </w:txbxContent>
                  </v:textbox>
                </v:rect>
                <v:rect id="Rectangle 98" o:spid="_x0000_s1359" style="position:absolute;left:16522;top:282;width:44035;height:3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">
                  <v:textbox>
                    <w:txbxContent>
                      <w:p w14:paraId="120D9028"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Характеристика</w:t>
                        </w:r>
                      </w:p>
                    </w:txbxContent>
                  </v:textbox>
                </v:rect>
                <v:rect id="Rectangle 99" o:spid="_x0000_s1360" style="position:absolute;left:2258;top:6626;width:12664;height:4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">
                  <v:textbox>
                    <w:txbxContent>
                      <w:p w14:paraId="2D5FFE0A"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 xml:space="preserve">Горизонтальний </w:t>
                        </w:r>
                      </w:p>
                    </w:txbxContent>
                  </v:textbox>
                </v:rect>
                <v:rect id="Rectangle 100" o:spid="_x0000_s1361" style="position:absolute;left:15868;top:4701;width:44678;height:6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">
                  <v:textbox>
                    <w:txbxContent>
                      <w:p w14:paraId="56A17F40" w14:textId="77777777" w:rsidR="00840F43" w:rsidRPr="00E8008F" w:rsidRDefault="00840F43" w:rsidP="00840F43">
                        <w:pPr>
                          <w:spacing w:after="0" w:line="240" w:lineRule="auto"/>
                          <w:ind w:left="-113" w:right="-113"/>
                          <w:jc w:val="both"/>
                          <w:rPr>
                            <w:rFonts w:ascii="Times New Roman" w:hAnsi="Times New Roman" w:cs="Times New Roman"/>
                            <w:sz w:val="24"/>
                            <w:szCs w:val="24"/>
                            <w:lang w:val="uk-UA"/>
                          </w:rPr>
                        </w:pPr>
                        <w:r w:rsidRPr="005874C6">
                          <w:rPr>
                            <w:rFonts w:ascii="Times New Roman" w:hAnsi="Times New Roman" w:cs="Times New Roman"/>
                            <w:sz w:val="24"/>
                            <w:szCs w:val="24"/>
                            <w:lang w:val="uk-UA"/>
                          </w:rPr>
                          <w:t>вивчення динаміки стану об’єктів ФС</w:t>
                        </w:r>
                        <w:r>
                          <w:rPr>
                            <w:rFonts w:ascii="Times New Roman" w:hAnsi="Times New Roman" w:cs="Times New Roman"/>
                            <w:sz w:val="24"/>
                            <w:szCs w:val="24"/>
                            <w:lang w:val="uk-UA"/>
                          </w:rPr>
                          <w:t>Б</w:t>
                        </w:r>
                        <w:r w:rsidRPr="005874C6">
                          <w:rPr>
                            <w:rFonts w:ascii="Times New Roman" w:hAnsi="Times New Roman" w:cs="Times New Roman"/>
                            <w:sz w:val="24"/>
                            <w:szCs w:val="24"/>
                            <w:lang w:val="uk-UA"/>
                          </w:rPr>
                          <w:t xml:space="preserve"> та рівня ФС</w:t>
                        </w:r>
                        <w:r>
                          <w:rPr>
                            <w:rFonts w:ascii="Times New Roman" w:hAnsi="Times New Roman" w:cs="Times New Roman"/>
                            <w:sz w:val="24"/>
                            <w:szCs w:val="24"/>
                            <w:lang w:val="uk-UA"/>
                          </w:rPr>
                          <w:t>Б</w:t>
                        </w:r>
                        <w:r w:rsidRPr="005874C6">
                          <w:rPr>
                            <w:rFonts w:ascii="Times New Roman" w:hAnsi="Times New Roman" w:cs="Times New Roman"/>
                            <w:sz w:val="24"/>
                            <w:szCs w:val="24"/>
                            <w:lang w:val="uk-UA"/>
                          </w:rPr>
                          <w:t xml:space="preserve"> в цілому в часі шляхом вивчення темпів їх росту (приросту) за ряд періодів для визначення тренду їх зміни з точки зору впливу на ФС</w:t>
                        </w:r>
                        <w:r>
                          <w:rPr>
                            <w:rFonts w:ascii="Times New Roman" w:hAnsi="Times New Roman" w:cs="Times New Roman"/>
                            <w:sz w:val="24"/>
                            <w:szCs w:val="24"/>
                            <w:lang w:val="uk-UA"/>
                          </w:rPr>
                          <w:t>Б</w:t>
                        </w:r>
                      </w:p>
                    </w:txbxContent>
                  </v:textbox>
                </v:rect>
                <v:rect id="Rectangle 101" o:spid="_x0000_s1362" style="position:absolute;left:2330;top:13038;width:12585;height:3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">
                  <v:textbox>
                    <w:txbxContent>
                      <w:p w14:paraId="0C9BAE3E"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 xml:space="preserve">Вертикальний  </w:t>
                        </w:r>
                      </w:p>
                    </w:txbxContent>
                  </v:textbox>
                </v:rect>
                <v:rect id="Rectangle 102" o:spid="_x0000_s1363" style="position:absolute;left:15868;top:11799;width:44678;height:6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">
                  <v:textbox>
                    <w:txbxContent>
                      <w:p w14:paraId="4B783AE4" w14:textId="77777777" w:rsidR="00840F43" w:rsidRPr="005874C6" w:rsidRDefault="00840F43" w:rsidP="00840F43">
                        <w:pPr>
                          <w:spacing w:after="0" w:line="240" w:lineRule="auto"/>
                          <w:ind w:left="-113" w:right="-113"/>
                          <w:jc w:val="both"/>
                          <w:rPr>
                            <w:rFonts w:ascii="Times New Roman" w:hAnsi="Times New Roman" w:cs="Times New Roman"/>
                            <w:sz w:val="24"/>
                            <w:szCs w:val="24"/>
                            <w:lang w:val="uk-UA"/>
                          </w:rPr>
                        </w:pPr>
                        <w:r w:rsidRPr="005874C6">
                          <w:rPr>
                            <w:rFonts w:ascii="Times New Roman" w:eastAsia="Times New Roman" w:hAnsi="Times New Roman" w:cs="Times New Roman"/>
                            <w:sz w:val="24"/>
                            <w:szCs w:val="24"/>
                            <w:lang w:val="uk-UA" w:eastAsia="ru-RU"/>
                          </w:rPr>
                          <w:t xml:space="preserve">визначення структури об’єктів </w:t>
                        </w:r>
                        <w:r w:rsidRPr="005874C6">
                          <w:rPr>
                            <w:rFonts w:ascii="Times New Roman" w:hAnsi="Times New Roman" w:cs="Times New Roman"/>
                            <w:sz w:val="24"/>
                            <w:szCs w:val="24"/>
                            <w:lang w:val="uk-UA"/>
                          </w:rPr>
                          <w:t>ФС</w:t>
                        </w:r>
                        <w:r>
                          <w:rPr>
                            <w:rFonts w:ascii="Times New Roman" w:hAnsi="Times New Roman" w:cs="Times New Roman"/>
                            <w:sz w:val="24"/>
                            <w:szCs w:val="24"/>
                            <w:lang w:val="uk-UA"/>
                          </w:rPr>
                          <w:t>Б</w:t>
                        </w:r>
                        <w:r w:rsidRPr="005874C6">
                          <w:rPr>
                            <w:rFonts w:ascii="Times New Roman" w:hAnsi="Times New Roman" w:cs="Times New Roman"/>
                            <w:sz w:val="24"/>
                            <w:szCs w:val="24"/>
                            <w:lang w:val="uk-UA"/>
                          </w:rPr>
                          <w:t xml:space="preserve"> </w:t>
                        </w:r>
                        <w:r w:rsidRPr="005874C6">
                          <w:rPr>
                            <w:rFonts w:ascii="Times New Roman" w:eastAsia="Times New Roman" w:hAnsi="Times New Roman" w:cs="Times New Roman"/>
                            <w:sz w:val="24"/>
                            <w:szCs w:val="24"/>
                            <w:lang w:val="uk-UA" w:eastAsia="ru-RU"/>
                          </w:rPr>
                          <w:t>в контексті її впливу на рівень ФС</w:t>
                        </w:r>
                        <w:r>
                          <w:rPr>
                            <w:rFonts w:ascii="Times New Roman" w:eastAsia="Times New Roman" w:hAnsi="Times New Roman" w:cs="Times New Roman"/>
                            <w:sz w:val="24"/>
                            <w:szCs w:val="24"/>
                            <w:lang w:val="uk-UA" w:eastAsia="ru-RU"/>
                          </w:rPr>
                          <w:t>Б</w:t>
                        </w:r>
                        <w:r w:rsidRPr="005874C6">
                          <w:rPr>
                            <w:rFonts w:ascii="Times New Roman" w:eastAsia="Times New Roman" w:hAnsi="Times New Roman" w:cs="Times New Roman"/>
                            <w:sz w:val="24"/>
                            <w:szCs w:val="24"/>
                            <w:lang w:val="uk-UA" w:eastAsia="ru-RU"/>
                          </w:rPr>
                          <w:t xml:space="preserve"> через рівні концентрації та диверсифікованості шляхом розрахунку частки окремих структурних складових</w:t>
                        </w:r>
                      </w:p>
                    </w:txbxContent>
                  </v:textbox>
                </v:rect>
                <v:rect id="Rectangle 103" o:spid="_x0000_s1364" style="position:absolute;left:2233;top:19715;width:12883;height:3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">
                  <v:textbox>
                    <w:txbxContent>
                      <w:p w14:paraId="5E7829C6"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Коефіцієнтний</w:t>
                        </w:r>
                      </w:p>
                    </w:txbxContent>
                  </v:textbox>
                </v:rect>
                <v:rect id="Rectangle 104" o:spid="_x0000_s1365" style="position:absolute;left:15866;top:18631;width:44745;height:50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">
                  <v:textbox>
                    <w:txbxContent>
                      <w:p w14:paraId="42E76ED1" w14:textId="77777777" w:rsidR="00840F43" w:rsidRPr="00C0448D" w:rsidRDefault="00840F43" w:rsidP="00840F43">
                        <w:pPr>
                          <w:spacing w:after="0" w:line="240" w:lineRule="auto"/>
                          <w:ind w:left="-113" w:right="-113"/>
                          <w:jc w:val="both"/>
                          <w:rPr>
                            <w:rFonts w:ascii="Times New Roman" w:eastAsia="Times New Roman" w:hAnsi="Times New Roman" w:cs="Times New Roman"/>
                            <w:sz w:val="24"/>
                            <w:szCs w:val="24"/>
                            <w:lang w:val="uk-UA" w:eastAsia="ru-RU"/>
                          </w:rPr>
                        </w:pPr>
                        <w:r w:rsidRPr="00C0448D">
                          <w:rPr>
                            <w:rFonts w:ascii="Times New Roman" w:eastAsia="Times New Roman" w:hAnsi="Times New Roman" w:cs="Times New Roman"/>
                            <w:sz w:val="24"/>
                            <w:szCs w:val="24"/>
                            <w:lang w:val="uk-UA" w:eastAsia="ru-RU"/>
                          </w:rPr>
                          <w:t>розрахунок економічних нормативів відповідно до вимог НБУ;</w:t>
                        </w:r>
                      </w:p>
                      <w:p w14:paraId="43931241" w14:textId="77777777" w:rsidR="00840F43" w:rsidRPr="00E8008F" w:rsidRDefault="00840F43" w:rsidP="00840F43">
                        <w:pPr>
                          <w:spacing w:after="0" w:line="240" w:lineRule="auto"/>
                          <w:ind w:left="-113" w:right="-113"/>
                          <w:jc w:val="both"/>
                          <w:rPr>
                            <w:rFonts w:ascii="Times New Roman" w:hAnsi="Times New Roman" w:cs="Times New Roman"/>
                            <w:sz w:val="24"/>
                            <w:szCs w:val="24"/>
                            <w:lang w:val="uk-UA"/>
                          </w:rPr>
                        </w:pPr>
                        <w:r>
                          <w:rPr>
                            <w:rFonts w:ascii="Times New Roman" w:hAnsi="Times New Roman" w:cs="Times New Roman"/>
                            <w:sz w:val="24"/>
                            <w:szCs w:val="24"/>
                            <w:lang w:val="uk-UA"/>
                          </w:rPr>
                          <w:t>розрахунок лімітів ризиків</w:t>
                        </w:r>
                      </w:p>
                    </w:txbxContent>
                  </v:textbox>
                </v:rect>
                <v:rect id="Rectangle 105" o:spid="_x0000_s1366" style="position:absolute;left:2330;top:25610;width:12678;height:3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">
                  <v:textbox>
                    <w:txbxContent>
                      <w:p w14:paraId="7C3028A4"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Порівняльний</w:t>
                        </w:r>
                      </w:p>
                    </w:txbxContent>
                  </v:textbox>
                </v:rect>
                <v:rect id="Rectangle 106" o:spid="_x0000_s1367" style="position:absolute;left:15771;top:24335;width:44724;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">
                  <v:textbox>
                    <w:txbxContent>
                      <w:p w14:paraId="5E942465" w14:textId="77777777" w:rsidR="00840F43" w:rsidRPr="00E8008F" w:rsidRDefault="00840F43" w:rsidP="00840F43">
                        <w:pPr>
                          <w:spacing w:after="0" w:line="240" w:lineRule="auto"/>
                          <w:ind w:left="-113" w:right="-113"/>
                          <w:jc w:val="both"/>
                          <w:rPr>
                            <w:rFonts w:ascii="Times New Roman" w:hAnsi="Times New Roman" w:cs="Times New Roman"/>
                            <w:sz w:val="24"/>
                            <w:szCs w:val="24"/>
                            <w:lang w:val="uk-UA"/>
                          </w:rPr>
                        </w:pPr>
                        <w:r w:rsidRPr="005874C6">
                          <w:rPr>
                            <w:rFonts w:ascii="Times New Roman" w:hAnsi="Times New Roman" w:cs="Times New Roman"/>
                            <w:sz w:val="24"/>
                            <w:szCs w:val="24"/>
                            <w:lang w:val="uk-UA"/>
                          </w:rPr>
                          <w:t>зіставлення значень окремих груп показників, що характеризують об’єкт</w:t>
                        </w:r>
                        <w:r>
                          <w:rPr>
                            <w:rFonts w:ascii="Times New Roman" w:hAnsi="Times New Roman" w:cs="Times New Roman"/>
                            <w:sz w:val="24"/>
                            <w:szCs w:val="24"/>
                            <w:lang w:val="uk-UA"/>
                          </w:rPr>
                          <w:t>и</w:t>
                        </w:r>
                        <w:r w:rsidRPr="005874C6">
                          <w:rPr>
                            <w:rFonts w:ascii="Times New Roman" w:hAnsi="Times New Roman" w:cs="Times New Roman"/>
                            <w:sz w:val="24"/>
                            <w:szCs w:val="24"/>
                            <w:lang w:val="uk-UA"/>
                          </w:rPr>
                          <w:t xml:space="preserve"> ФС</w:t>
                        </w:r>
                        <w:r>
                          <w:rPr>
                            <w:rFonts w:ascii="Times New Roman" w:hAnsi="Times New Roman" w:cs="Times New Roman"/>
                            <w:sz w:val="24"/>
                            <w:szCs w:val="24"/>
                            <w:lang w:val="uk-UA"/>
                          </w:rPr>
                          <w:t>Б</w:t>
                        </w:r>
                        <w:r w:rsidRPr="005874C6">
                          <w:rPr>
                            <w:rFonts w:ascii="Times New Roman" w:hAnsi="Times New Roman" w:cs="Times New Roman"/>
                            <w:sz w:val="24"/>
                            <w:szCs w:val="24"/>
                            <w:lang w:val="uk-UA"/>
                          </w:rPr>
                          <w:t xml:space="preserve"> та рівня ФС</w:t>
                        </w:r>
                        <w:r>
                          <w:rPr>
                            <w:rFonts w:ascii="Times New Roman" w:hAnsi="Times New Roman" w:cs="Times New Roman"/>
                            <w:sz w:val="24"/>
                            <w:szCs w:val="24"/>
                            <w:lang w:val="uk-UA"/>
                          </w:rPr>
                          <w:t xml:space="preserve">Б </w:t>
                        </w:r>
                        <w:r w:rsidRPr="005874C6">
                          <w:rPr>
                            <w:rFonts w:ascii="Times New Roman" w:hAnsi="Times New Roman" w:cs="Times New Roman"/>
                            <w:sz w:val="24"/>
                            <w:szCs w:val="24"/>
                            <w:lang w:val="uk-UA"/>
                          </w:rPr>
                          <w:t>в цілому, між собою, розрахунку їх абсолютних та відносних</w:t>
                        </w:r>
                        <w:r>
                          <w:rPr>
                            <w:rFonts w:ascii="Times New Roman" w:hAnsi="Times New Roman" w:cs="Times New Roman"/>
                            <w:sz w:val="24"/>
                            <w:szCs w:val="24"/>
                            <w:lang w:val="uk-UA"/>
                          </w:rPr>
                          <w:t xml:space="preserve">: </w:t>
                        </w:r>
                        <w:r w:rsidRPr="00C0448D">
                          <w:rPr>
                            <w:rFonts w:ascii="Times New Roman" w:hAnsi="Times New Roman" w:cs="Times New Roman"/>
                            <w:sz w:val="24"/>
                            <w:szCs w:val="24"/>
                            <w:lang w:val="uk-UA"/>
                          </w:rPr>
                          <w:t>GAP-аналіз процентного ризику та ризику ліквідності</w:t>
                        </w:r>
                        <w:r>
                          <w:rPr>
                            <w:rFonts w:ascii="Times New Roman" w:hAnsi="Times New Roman" w:cs="Times New Roman"/>
                            <w:sz w:val="24"/>
                            <w:szCs w:val="24"/>
                            <w:lang w:val="uk-UA"/>
                          </w:rPr>
                          <w:t xml:space="preserve">; аналіз валютної позиції </w:t>
                        </w:r>
                      </w:p>
                    </w:txbxContent>
                  </v:textbox>
                </v:rect>
                <v:rect id="Rectangle 109" o:spid="_x0000_s1368" style="position:absolute;left:2231;top:35233;width:12676;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">
                  <v:textbox>
                    <w:txbxContent>
                      <w:p w14:paraId="74452A9A"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Метод групувань</w:t>
                        </w:r>
                      </w:p>
                    </w:txbxContent>
                  </v:textbox>
                </v:rect>
                <v:rect id="Rectangle 110" o:spid="_x0000_s1369" style="position:absolute;left:15865;top:32943;width:44623;height:6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">
                  <v:textbox>
                    <w:txbxContent>
                      <w:p w14:paraId="1C805613" w14:textId="77777777" w:rsidR="00840F43" w:rsidRPr="00E8008F" w:rsidRDefault="00840F43" w:rsidP="00840F43">
                        <w:pPr>
                          <w:spacing w:after="0" w:line="240" w:lineRule="auto"/>
                          <w:ind w:left="-113" w:right="-113"/>
                          <w:jc w:val="both"/>
                          <w:rPr>
                            <w:rFonts w:ascii="Times New Roman" w:hAnsi="Times New Roman" w:cs="Times New Roman"/>
                            <w:sz w:val="24"/>
                            <w:szCs w:val="24"/>
                            <w:lang w:val="uk-UA"/>
                          </w:rPr>
                        </w:pPr>
                        <w:r w:rsidRPr="00E8008F">
                          <w:rPr>
                            <w:rFonts w:ascii="Times New Roman" w:hAnsi="Times New Roman" w:cs="Times New Roman"/>
                            <w:sz w:val="24"/>
                            <w:szCs w:val="24"/>
                            <w:lang w:val="uk-UA"/>
                          </w:rPr>
                          <w:t xml:space="preserve">систематизація даних звітності (за </w:t>
                        </w:r>
                        <w:r>
                          <w:rPr>
                            <w:rFonts w:ascii="Times New Roman" w:hAnsi="Times New Roman" w:cs="Times New Roman"/>
                            <w:sz w:val="24"/>
                            <w:szCs w:val="24"/>
                            <w:lang w:val="uk-UA"/>
                          </w:rPr>
                          <w:t>рівнем</w:t>
                        </w:r>
                        <w:r w:rsidRPr="00E8008F">
                          <w:rPr>
                            <w:rFonts w:ascii="Times New Roman" w:hAnsi="Times New Roman" w:cs="Times New Roman"/>
                            <w:sz w:val="24"/>
                            <w:szCs w:val="24"/>
                            <w:lang w:val="uk-UA"/>
                          </w:rPr>
                          <w:t xml:space="preserve"> ліквідності, сутності операцій, рівнем, що дозволяють поглиблено розібратися в сутності явищ і процесів, що впливають на </w:t>
                        </w:r>
                        <w:r>
                          <w:rPr>
                            <w:rFonts w:ascii="Times New Roman" w:hAnsi="Times New Roman" w:cs="Times New Roman"/>
                            <w:sz w:val="24"/>
                            <w:szCs w:val="24"/>
                            <w:lang w:val="uk-UA"/>
                          </w:rPr>
                          <w:t>ФСБ)</w:t>
                        </w:r>
                      </w:p>
                    </w:txbxContent>
                  </v:textbox>
                </v:rect>
                <v:rect id="Rectangle 113" o:spid="_x0000_s1370" style="position:absolute;left:2444;top:55608;width:12986;height:44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">
                  <v:textbox>
                    <w:txbxContent>
                      <w:p w14:paraId="0272E1C3"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sidRPr="00E8008F">
                          <w:rPr>
                            <w:rFonts w:ascii="Times New Roman" w:hAnsi="Times New Roman" w:cs="Times New Roman"/>
                            <w:sz w:val="24"/>
                            <w:szCs w:val="24"/>
                            <w:lang w:val="uk-UA"/>
                          </w:rPr>
                          <w:t xml:space="preserve">Табличний  </w:t>
                        </w:r>
                      </w:p>
                    </w:txbxContent>
                  </v:textbox>
                </v:rect>
                <v:rect id="Rectangle 114" o:spid="_x0000_s1371" style="position:absolute;left:16267;top:55514;width:44569;height:48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">
                  <v:textbox>
                    <w:txbxContent>
                      <w:p w14:paraId="0C4B9490" w14:textId="77777777" w:rsidR="00840F43" w:rsidRPr="00E8008F" w:rsidRDefault="00840F43" w:rsidP="00840F43">
                        <w:pPr>
                          <w:spacing w:after="0" w:line="240" w:lineRule="auto"/>
                          <w:ind w:left="-113" w:right="-113"/>
                          <w:jc w:val="both"/>
                          <w:rPr>
                            <w:rFonts w:ascii="Times New Roman" w:hAnsi="Times New Roman" w:cs="Times New Roman"/>
                            <w:sz w:val="24"/>
                            <w:szCs w:val="24"/>
                            <w:lang w:val="uk-UA"/>
                          </w:rPr>
                        </w:pPr>
                        <w:r w:rsidRPr="00E8008F">
                          <w:rPr>
                            <w:rFonts w:ascii="Times New Roman" w:hAnsi="Times New Roman" w:cs="Times New Roman"/>
                            <w:sz w:val="24"/>
                            <w:szCs w:val="24"/>
                            <w:lang w:val="uk-UA"/>
                          </w:rPr>
                          <w:t>подання результатів аналізу у вигляді таблиць для покращення їх сприйняття</w:t>
                        </w:r>
                        <w:r>
                          <w:rPr>
                            <w:rFonts w:ascii="Times New Roman" w:hAnsi="Times New Roman" w:cs="Times New Roman"/>
                            <w:sz w:val="24"/>
                            <w:szCs w:val="24"/>
                            <w:lang w:val="uk-UA"/>
                          </w:rPr>
                          <w:t xml:space="preserve">, можливість </w:t>
                        </w:r>
                        <w:r w:rsidRPr="00E8008F">
                          <w:rPr>
                            <w:rFonts w:ascii="Times New Roman" w:hAnsi="Times New Roman" w:cs="Times New Roman"/>
                            <w:sz w:val="24"/>
                            <w:szCs w:val="24"/>
                            <w:lang w:val="uk-UA"/>
                          </w:rPr>
                          <w:t>охопити дані як єдину систему</w:t>
                        </w:r>
                      </w:p>
                    </w:txbxContent>
                  </v:textbox>
                </v:rect>
                <v:shape id="AutoShape 152" o:spid="_x0000_s1372" type="#_x0000_t32" style="position:absolute;left:571;top:2133;width:1687;height:59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"/>
                <v:line id="Прямая соединительная линия 482" o:spid="_x0000_s1373" style="position:absolute;visibility:visible;mso-wrap-style:square" from="565,7619" to="566,58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" strokecolor="black [3200]" strokeweight=".5pt">
                  <v:stroke joinstyle="miter"/>
                </v:line>
                <v:shape id="Стрелка вправо 483" o:spid="_x0000_s1374" type="#_x0000_t13" style="position:absolute;left:571;top:8057;width:1594;height:16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" adj="10800" fillcolor="black [3200]" strokecolor="black [1600]" strokeweight="1pt"/>
                <v:shape id="Стрелка вправо 484" o:spid="_x0000_s1375" type="#_x0000_t13" style="position:absolute;left:567;top:14000;width:1594;height:16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" adj="10800" fillcolor="black [3200]" strokecolor="black [1600]" strokeweight="1pt"/>
                <v:shape id="Стрелка вправо 485" o:spid="_x0000_s1376" type="#_x0000_t13" style="position:absolute;left:567;top:20859;width:1594;height:16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" adj="10800" fillcolor="black [3200]" strokecolor="black [1600]" strokeweight="1pt"/>
                <v:shape id="Стрелка вправо 486" o:spid="_x0000_s1377" type="#_x0000_t13" style="position:absolute;left:736;top:26756;width:1594;height:16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" adj="10800" fillcolor="black [3200]" strokecolor="black [1600]" strokeweight="1pt"/>
                <v:shape id="Стрелка вправо 487" o:spid="_x0000_s1378" type="#_x0000_t13" style="position:absolute;left:735;top:36411;width:1594;height:16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" adj="10800" fillcolor="black [3200]" strokecolor="black [1600]" strokeweight="1pt"/>
                <v:shape id="Стрелка вправо 488" o:spid="_x0000_s1379" type="#_x0000_t13" style="position:absolute;left:761;top:45386;width:1595;height:16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" adj="10800" fillcolor="black [3200]" strokecolor="black [1600]" strokeweight="1pt"/>
                <v:shape id="Стрелка вправо 489" o:spid="_x0000_s1380" type="#_x0000_t13" style="position:absolute;left:567;top:57796;width:1594;height:16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" adj="10800" fillcolor="black [3200]" strokecolor="black [1600]" strokeweight="1pt"/>
                <v:shape id="Стрелка вправо 490" o:spid="_x0000_s1381" type="#_x0000_t13" style="position:absolute;left:14921;top:8260;width:1118;height:16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" adj="10800" fillcolor="black [3200]" strokecolor="black [1600]" strokeweight="1pt"/>
                <v:shape id="Стрелка вправо 491" o:spid="_x0000_s1382" type="#_x0000_t13" style="position:absolute;left:15068;top:13999;width:1119;height:16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" adj="10800" fillcolor="black [3200]" strokecolor="black [1600]" strokeweight="1pt"/>
                <v:shape id="Стрелка вправо 492" o:spid="_x0000_s1383" type="#_x0000_t13" style="position:absolute;left:14988;top:20840;width:1118;height:16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" adj="10800" fillcolor="black [3200]" strokecolor="black [1600]" strokeweight="1pt"/>
                <v:shape id="Стрелка вправо 493" o:spid="_x0000_s1384" type="#_x0000_t13" style="position:absolute;left:15004;top:26756;width:1118;height:16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" adj="10800" fillcolor="black [3200]" strokecolor="black [1600]" strokeweight="1pt"/>
                <v:shape id="Стрелка вправо 494" o:spid="_x0000_s1385" type="#_x0000_t13" style="position:absolute;left:14988;top:36192;width:1118;height:16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" adj="10800" fillcolor="black [3200]" strokecolor="black [1600]" strokeweight="1pt"/>
                <v:shape id="Стрелка вправо 495" o:spid="_x0000_s1386" type="#_x0000_t13" style="position:absolute;left:15537;top:57599;width:1119;height:16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" adj="10800" fillcolor="black [3200]" strokecolor="black [1600]" strokeweight="1pt"/>
                <v:shape id="Стрелка вправо 496" o:spid="_x0000_s1387" type="#_x0000_t13" style="position:absolute;left:15004;top:44859;width:1118;height:16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" adj="10800" fillcolor="black [3200]" strokecolor="black [1600]" strokeweight="1pt"/>
                <v:rect id="Rectangle 113" o:spid="_x0000_s1388" style="position:absolute;left:2444;top:43131;width:12575;height:6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">
                  <v:textbox>
                    <w:txbxContent>
                      <w:p w14:paraId="4A8F1DEC" w14:textId="77777777" w:rsidR="00840F43" w:rsidRPr="00E8008F" w:rsidRDefault="00840F43" w:rsidP="00840F43">
                        <w:pPr>
                          <w:spacing w:after="0" w:line="240" w:lineRule="auto"/>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Економіко-математичні та статистичні</w:t>
                        </w:r>
                        <w:r w:rsidRPr="00E8008F">
                          <w:rPr>
                            <w:rFonts w:ascii="Times New Roman" w:hAnsi="Times New Roman" w:cs="Times New Roman"/>
                            <w:sz w:val="24"/>
                            <w:szCs w:val="24"/>
                            <w:lang w:val="uk-UA"/>
                          </w:rPr>
                          <w:t xml:space="preserve">  </w:t>
                        </w:r>
                      </w:p>
                    </w:txbxContent>
                  </v:textbox>
                </v:rect>
                <v:rect id="Rectangle 114" o:spid="_x0000_s1389" style="position:absolute;left:16176;top:40944;width:44569;height:13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">
                  <v:textbox>
                    <w:txbxContent>
                      <w:p w14:paraId="6F7BCDC0" w14:textId="77777777" w:rsidR="00840F43" w:rsidRDefault="00840F43" w:rsidP="00840F43">
                        <w:pPr>
                          <w:spacing w:after="0" w:line="240" w:lineRule="auto"/>
                          <w:ind w:left="-113" w:right="-113"/>
                          <w:jc w:val="both"/>
                          <w:rPr>
                            <w:rFonts w:ascii="Times New Roman" w:hAnsi="Times New Roman" w:cs="Times New Roman"/>
                            <w:sz w:val="24"/>
                            <w:szCs w:val="24"/>
                            <w:lang w:val="uk-UA"/>
                          </w:rPr>
                        </w:pPr>
                        <w:r w:rsidRPr="00C0448D">
                          <w:rPr>
                            <w:rFonts w:ascii="Times New Roman" w:hAnsi="Times New Roman" w:cs="Times New Roman"/>
                            <w:sz w:val="24"/>
                            <w:szCs w:val="24"/>
                            <w:lang w:val="uk-UA"/>
                          </w:rPr>
                          <w:t>сценарний аналіз ризиків</w:t>
                        </w:r>
                        <w:r>
                          <w:rPr>
                            <w:rFonts w:ascii="Times New Roman" w:hAnsi="Times New Roman" w:cs="Times New Roman"/>
                            <w:sz w:val="24"/>
                            <w:szCs w:val="24"/>
                            <w:lang w:val="uk-UA"/>
                          </w:rPr>
                          <w:t xml:space="preserve"> (аналіз чутливості);</w:t>
                        </w:r>
                      </w:p>
                      <w:p w14:paraId="7B91264C" w14:textId="77777777" w:rsidR="00840F43" w:rsidRDefault="00840F43" w:rsidP="00840F43">
                        <w:pPr>
                          <w:spacing w:after="0" w:line="240" w:lineRule="auto"/>
                          <w:ind w:left="-113" w:right="-113"/>
                          <w:jc w:val="both"/>
                          <w:rPr>
                            <w:rFonts w:ascii="Times New Roman" w:hAnsi="Times New Roman" w:cs="Times New Roman"/>
                            <w:sz w:val="24"/>
                            <w:szCs w:val="24"/>
                            <w:lang w:val="uk-UA"/>
                          </w:rPr>
                        </w:pPr>
                        <w:r w:rsidRPr="00C0448D">
                          <w:rPr>
                            <w:rFonts w:ascii="Times New Roman" w:hAnsi="Times New Roman" w:cs="Times New Roman"/>
                            <w:sz w:val="24"/>
                            <w:szCs w:val="24"/>
                            <w:lang w:val="uk-UA"/>
                          </w:rPr>
                          <w:t>стрес-тестування ключових банківських ризиків;</w:t>
                        </w:r>
                      </w:p>
                      <w:p w14:paraId="0A773304" w14:textId="77777777" w:rsidR="00840F43" w:rsidRDefault="00840F43" w:rsidP="00840F43">
                        <w:pPr>
                          <w:spacing w:after="0" w:line="240" w:lineRule="auto"/>
                          <w:ind w:left="-113" w:right="-113"/>
                          <w:jc w:val="both"/>
                          <w:rPr>
                            <w:rFonts w:ascii="Times New Roman" w:hAnsi="Times New Roman" w:cs="Times New Roman"/>
                            <w:sz w:val="24"/>
                            <w:szCs w:val="24"/>
                            <w:lang w:val="uk-UA"/>
                          </w:rPr>
                        </w:pPr>
                        <w:r w:rsidRPr="007F61C7">
                          <w:rPr>
                            <w:rFonts w:ascii="Times New Roman" w:hAnsi="Times New Roman" w:cs="Times New Roman"/>
                            <w:sz w:val="24"/>
                            <w:szCs w:val="24"/>
                            <w:lang w:val="uk-UA"/>
                          </w:rPr>
                          <w:t>сценарний аналіз коливань курсів іноземних валют та визначення їх впливу на прибуток та капітал</w:t>
                        </w:r>
                        <w:r>
                          <w:rPr>
                            <w:rFonts w:ascii="Times New Roman" w:hAnsi="Times New Roman" w:cs="Times New Roman"/>
                            <w:sz w:val="24"/>
                            <w:szCs w:val="24"/>
                            <w:lang w:val="uk-UA"/>
                          </w:rPr>
                          <w:t>;</w:t>
                        </w:r>
                      </w:p>
                      <w:p w14:paraId="19ECC83E" w14:textId="77777777" w:rsidR="00840F43" w:rsidRDefault="00840F43" w:rsidP="00840F43">
                        <w:pPr>
                          <w:spacing w:after="0" w:line="240" w:lineRule="auto"/>
                          <w:ind w:left="-113" w:right="-113"/>
                          <w:jc w:val="both"/>
                          <w:rPr>
                            <w:rFonts w:ascii="Times New Roman" w:hAnsi="Times New Roman" w:cs="Times New Roman"/>
                            <w:sz w:val="24"/>
                            <w:szCs w:val="24"/>
                            <w:lang w:val="uk-UA"/>
                          </w:rPr>
                        </w:pPr>
                        <w:r w:rsidRPr="007F61C7">
                          <w:rPr>
                            <w:rFonts w:ascii="Times New Roman" w:hAnsi="Times New Roman" w:cs="Times New Roman"/>
                            <w:sz w:val="24"/>
                            <w:szCs w:val="24"/>
                            <w:lang w:val="uk-UA"/>
                          </w:rPr>
                          <w:t>оцінка кредитного ризику, в тому числі аналіз позичальників для визнач</w:t>
                        </w:r>
                        <w:r>
                          <w:rPr>
                            <w:rFonts w:ascii="Times New Roman" w:hAnsi="Times New Roman" w:cs="Times New Roman"/>
                            <w:sz w:val="24"/>
                            <w:szCs w:val="24"/>
                            <w:lang w:val="uk-UA"/>
                          </w:rPr>
                          <w:t>ення рівня їх кредитного ризику;</w:t>
                        </w:r>
                      </w:p>
                      <w:p w14:paraId="2BCAB74F" w14:textId="77777777" w:rsidR="00840F43" w:rsidRPr="00E8008F" w:rsidRDefault="00840F43" w:rsidP="00840F43">
                        <w:pPr>
                          <w:spacing w:after="0" w:line="240" w:lineRule="auto"/>
                          <w:ind w:left="-113" w:right="-113"/>
                          <w:jc w:val="both"/>
                          <w:rPr>
                            <w:rFonts w:ascii="Times New Roman" w:hAnsi="Times New Roman" w:cs="Times New Roman"/>
                            <w:sz w:val="24"/>
                            <w:szCs w:val="24"/>
                            <w:lang w:val="uk-UA"/>
                          </w:rPr>
                        </w:pPr>
                        <w:r>
                          <w:rPr>
                            <w:rFonts w:ascii="Times New Roman" w:hAnsi="Times New Roman" w:cs="Times New Roman"/>
                            <w:sz w:val="24"/>
                            <w:szCs w:val="24"/>
                            <w:lang w:val="uk-UA"/>
                          </w:rPr>
                          <w:t>прогноз макропоказників</w:t>
                        </w:r>
                      </w:p>
                    </w:txbxContent>
                  </v:textbox>
                </v:rect>
                <w10:anchorlock/>
              </v:group>
            </w:pict>
          </mc:Fallback>
        </mc:AlternateContent>
      </w:r>
    </w:p>
    <w:p w14:paraId="30086F9E" w14:textId="25D014BA" w:rsidR="00840F43" w:rsidRPr="00F00EB0" w:rsidRDefault="00840F43" w:rsidP="00840F43">
      <w:pPr>
        <w:spacing w:after="0" w:line="360" w:lineRule="auto"/>
        <w:jc w:val="center"/>
        <w:rPr>
          <w:rFonts w:ascii="Times New Roman" w:hAnsi="Times New Roman" w:cs="Times New Roman"/>
          <w:color w:val="000000" w:themeColor="text1"/>
          <w:sz w:val="28"/>
          <w:szCs w:val="28"/>
          <w:lang w:val="uk-UA"/>
        </w:rPr>
      </w:pPr>
      <w:r w:rsidRPr="00F00EB0">
        <w:rPr>
          <w:rFonts w:ascii="Times New Roman" w:hAnsi="Times New Roman" w:cs="Times New Roman"/>
          <w:color w:val="000000" w:themeColor="text1"/>
          <w:sz w:val="28"/>
          <w:szCs w:val="28"/>
          <w:lang w:val="uk-UA"/>
        </w:rPr>
        <w:t xml:space="preserve">Рисунок Ж.2  – Характеристика аналітичного інструментарію для забезпечення фінансової стійкості </w:t>
      </w:r>
      <w:r w:rsidRPr="00F00EB0">
        <w:rPr>
          <w:rFonts w:ascii="Times New Roman" w:eastAsia="WenQuanYi Micro Hei" w:hAnsi="Times New Roman" w:cs="Times New Roman"/>
          <w:bCs/>
          <w:color w:val="000000" w:themeColor="text1"/>
          <w:kern w:val="3"/>
          <w:sz w:val="28"/>
          <w:szCs w:val="28"/>
          <w:lang w:val="uk-UA" w:eastAsia="zh-CN" w:bidi="hi-IN"/>
        </w:rPr>
        <w:t>АТ КБ «ПриватБанк»</w:t>
      </w:r>
      <w:r w:rsidRPr="00F00EB0">
        <w:rPr>
          <w:rFonts w:ascii="Times New Roman" w:eastAsia="Times New Roman" w:hAnsi="Times New Roman" w:cs="Times New Roman"/>
          <w:color w:val="000000" w:themeColor="text1"/>
          <w:sz w:val="28"/>
          <w:szCs w:val="28"/>
          <w:lang w:val="uk-UA"/>
        </w:rPr>
        <w:t xml:space="preserve"> </w:t>
      </w:r>
      <w:r w:rsidRPr="00F00EB0">
        <w:rPr>
          <w:rFonts w:ascii="Times New Roman" w:hAnsi="Times New Roman" w:cs="Times New Roman"/>
          <w:color w:val="000000" w:themeColor="text1"/>
          <w:sz w:val="28"/>
          <w:szCs w:val="28"/>
          <w:lang w:val="uk-UA"/>
        </w:rPr>
        <w:t>[складено автором на основі: 32]</w:t>
      </w:r>
    </w:p>
    <w:p w14:paraId="0BC729BD" w14:textId="77777777" w:rsidR="00EA670F" w:rsidRPr="00F00EB0" w:rsidRDefault="00EA670F" w:rsidP="00EA670F">
      <w:pPr>
        <w:spacing w:after="0" w:line="360" w:lineRule="auto"/>
        <w:jc w:val="center"/>
        <w:rPr>
          <w:rFonts w:ascii="Times New Roman" w:eastAsia="Times New Roman" w:hAnsi="Times New Roman" w:cs="Times New Roman"/>
          <w:color w:val="000000" w:themeColor="text1"/>
          <w:sz w:val="28"/>
          <w:szCs w:val="28"/>
          <w:lang w:val="uk-UA"/>
        </w:rPr>
      </w:pPr>
    </w:p>
    <w:p w14:paraId="5B4FCA5E" w14:textId="77777777" w:rsidR="00EA670F" w:rsidRPr="00F00EB0" w:rsidRDefault="00EA670F">
      <w:pPr>
        <w:rPr>
          <w:rFonts w:ascii="Times New Roman" w:eastAsia="Times New Roman" w:hAnsi="Times New Roman" w:cs="Times New Roman"/>
          <w:b/>
          <w:bCs/>
          <w:caps/>
          <w:color w:val="000000" w:themeColor="text1"/>
          <w:sz w:val="28"/>
          <w:szCs w:val="28"/>
          <w:lang w:val="uk-UA" w:eastAsia="ru-RU"/>
        </w:rPr>
      </w:pPr>
      <w:r w:rsidRPr="00F00EB0">
        <w:rPr>
          <w:rFonts w:ascii="Times New Roman" w:eastAsia="Times New Roman" w:hAnsi="Times New Roman" w:cs="Times New Roman"/>
          <w:b/>
          <w:bCs/>
          <w:caps/>
          <w:color w:val="000000" w:themeColor="text1"/>
          <w:sz w:val="28"/>
          <w:szCs w:val="28"/>
          <w:lang w:val="uk-UA" w:eastAsia="ru-RU"/>
        </w:rPr>
        <w:br w:type="page"/>
      </w:r>
    </w:p>
    <w:p w14:paraId="3589C6D6" w14:textId="39AFCCD3" w:rsidR="003C1952" w:rsidRPr="00F00EB0" w:rsidRDefault="003C1952" w:rsidP="003C1952">
      <w:pPr>
        <w:keepNext/>
        <w:suppressAutoHyphens/>
        <w:spacing w:after="0" w:line="360" w:lineRule="auto"/>
        <w:ind w:firstLine="709"/>
        <w:jc w:val="center"/>
        <w:outlineLvl w:val="1"/>
        <w:rPr>
          <w:rFonts w:ascii="Times New Roman" w:eastAsia="Times New Roman" w:hAnsi="Times New Roman" w:cs="Times New Roman"/>
          <w:b/>
          <w:color w:val="000000" w:themeColor="text1"/>
          <w:sz w:val="28"/>
          <w:szCs w:val="28"/>
          <w:lang w:val="uk-UA" w:eastAsia="ru-RU"/>
        </w:rPr>
      </w:pPr>
      <w:bookmarkStart w:id="30" w:name="_Toc137414318"/>
      <w:r w:rsidRPr="00F00EB0">
        <w:rPr>
          <w:rFonts w:ascii="Times New Roman" w:eastAsia="Times New Roman" w:hAnsi="Times New Roman" w:cs="Times New Roman"/>
          <w:b/>
          <w:bCs/>
          <w:caps/>
          <w:color w:val="000000" w:themeColor="text1"/>
          <w:sz w:val="28"/>
          <w:szCs w:val="28"/>
          <w:lang w:val="uk-UA" w:eastAsia="ru-RU"/>
        </w:rPr>
        <w:lastRenderedPageBreak/>
        <w:t xml:space="preserve">ДОДАТОК </w:t>
      </w:r>
      <w:r w:rsidR="002D32C4" w:rsidRPr="00F00EB0">
        <w:rPr>
          <w:rFonts w:ascii="Times New Roman" w:eastAsia="Times New Roman" w:hAnsi="Times New Roman" w:cs="Times New Roman"/>
          <w:b/>
          <w:bCs/>
          <w:caps/>
          <w:color w:val="000000" w:themeColor="text1"/>
          <w:sz w:val="28"/>
          <w:szCs w:val="28"/>
          <w:lang w:val="uk-UA" w:eastAsia="ru-RU"/>
        </w:rPr>
        <w:t>Е</w:t>
      </w:r>
      <w:r w:rsidRPr="00F00EB0">
        <w:rPr>
          <w:rFonts w:ascii="Times New Roman" w:eastAsia="Times New Roman" w:hAnsi="Times New Roman" w:cs="Times New Roman"/>
          <w:b/>
          <w:bCs/>
          <w:caps/>
          <w:color w:val="000000" w:themeColor="text1"/>
          <w:sz w:val="28"/>
          <w:szCs w:val="28"/>
          <w:lang w:val="uk-UA" w:eastAsia="ru-RU"/>
        </w:rPr>
        <w:br/>
      </w:r>
      <w:r w:rsidR="002D32C4" w:rsidRPr="00F00EB0">
        <w:rPr>
          <w:rFonts w:ascii="Times New Roman" w:eastAsia="Times New Roman" w:hAnsi="Times New Roman" w:cs="Times New Roman"/>
          <w:b/>
          <w:color w:val="000000" w:themeColor="text1"/>
          <w:sz w:val="28"/>
          <w:szCs w:val="28"/>
          <w:lang w:val="uk-UA" w:eastAsia="ru-RU"/>
        </w:rPr>
        <w:t>ХАРАКТЕРИСТИКА ЕТАПІВ ДОКАПІТАЛІЗАЦІЇ АТ КБ «ПРИВАТБАНК»</w:t>
      </w:r>
      <w:bookmarkEnd w:id="30"/>
    </w:p>
    <w:p w14:paraId="019DD46A" w14:textId="77777777" w:rsidR="003C1952" w:rsidRPr="00F00EB0" w:rsidRDefault="003C1952" w:rsidP="003C1952">
      <w:pPr>
        <w:shd w:val="clear" w:color="auto" w:fill="FFFFFF"/>
        <w:spacing w:after="0" w:line="360" w:lineRule="auto"/>
        <w:ind w:firstLine="709"/>
        <w:jc w:val="both"/>
        <w:rPr>
          <w:rFonts w:ascii="Times New Roman" w:eastAsia="Times New Roman" w:hAnsi="Times New Roman" w:cs="Times New Roman"/>
          <w:bCs/>
          <w:caps/>
          <w:color w:val="000000" w:themeColor="text1"/>
          <w:sz w:val="28"/>
          <w:szCs w:val="28"/>
          <w:lang w:val="uk-UA" w:eastAsia="ru-RU"/>
        </w:rPr>
      </w:pPr>
    </w:p>
    <w:p w14:paraId="1EEAA3BA" w14:textId="4AE21EC8" w:rsidR="003C1952" w:rsidRPr="00F00EB0" w:rsidRDefault="003C1952" w:rsidP="003C1952">
      <w:pPr>
        <w:shd w:val="clear" w:color="auto" w:fill="FFFFFF"/>
        <w:spacing w:after="0" w:line="360" w:lineRule="auto"/>
        <w:ind w:firstLine="709"/>
        <w:jc w:val="both"/>
        <w:rPr>
          <w:rFonts w:ascii="Times New Roman" w:eastAsia="WenQuanYi Micro Hei" w:hAnsi="Times New Roman" w:cs="Times New Roman"/>
          <w:bCs/>
          <w:color w:val="000000" w:themeColor="text1"/>
          <w:kern w:val="3"/>
          <w:sz w:val="28"/>
          <w:szCs w:val="28"/>
          <w:lang w:val="uk-UA" w:eastAsia="zh-CN" w:bidi="hi-IN"/>
        </w:rPr>
      </w:pPr>
      <w:r w:rsidRPr="00F00EB0">
        <w:rPr>
          <w:rFonts w:ascii="Times New Roman" w:eastAsia="WenQuanYi Micro Hei" w:hAnsi="Times New Roman" w:cs="Times New Roman"/>
          <w:color w:val="000000" w:themeColor="text1"/>
          <w:kern w:val="3"/>
          <w:sz w:val="28"/>
          <w:szCs w:val="28"/>
          <w:lang w:val="uk-UA" w:eastAsia="zh-CN" w:bidi="hi-IN"/>
        </w:rPr>
        <w:t xml:space="preserve">Таблиця </w:t>
      </w:r>
      <w:r w:rsidR="005965AD" w:rsidRPr="00F00EB0">
        <w:rPr>
          <w:rFonts w:ascii="Times New Roman" w:eastAsia="WenQuanYi Micro Hei" w:hAnsi="Times New Roman" w:cs="Times New Roman"/>
          <w:color w:val="000000" w:themeColor="text1"/>
          <w:kern w:val="3"/>
          <w:sz w:val="28"/>
          <w:szCs w:val="28"/>
          <w:lang w:val="uk-UA" w:eastAsia="zh-CN" w:bidi="hi-IN"/>
        </w:rPr>
        <w:t>Е</w:t>
      </w:r>
      <w:r w:rsidRPr="00F00EB0">
        <w:rPr>
          <w:rFonts w:ascii="Times New Roman" w:eastAsia="WenQuanYi Micro Hei" w:hAnsi="Times New Roman" w:cs="Times New Roman"/>
          <w:color w:val="000000" w:themeColor="text1"/>
          <w:kern w:val="3"/>
          <w:sz w:val="28"/>
          <w:szCs w:val="28"/>
          <w:lang w:val="uk-UA" w:eastAsia="zh-CN" w:bidi="hi-IN"/>
        </w:rPr>
        <w:t xml:space="preserve">.1 – Періодизація докапіталізації </w:t>
      </w:r>
      <w:r w:rsidRPr="00F00EB0">
        <w:rPr>
          <w:rFonts w:ascii="Times New Roman" w:eastAsia="WenQuanYi Micro Hei" w:hAnsi="Times New Roman" w:cs="Times New Roman"/>
          <w:bCs/>
          <w:color w:val="000000" w:themeColor="text1"/>
          <w:kern w:val="3"/>
          <w:sz w:val="28"/>
          <w:szCs w:val="28"/>
          <w:lang w:val="uk-UA" w:eastAsia="zh-CN" w:bidi="hi-IN"/>
        </w:rPr>
        <w:t xml:space="preserve">АТ КБ «ПриватБанк» державою  </w:t>
      </w:r>
    </w:p>
    <w:tbl>
      <w:tblPr>
        <w:tblStyle w:val="af0"/>
        <w:tblW w:w="5000" w:type="pct"/>
        <w:tblLook w:val="04A0" w:firstRow="1" w:lastRow="0" w:firstColumn="1" w:lastColumn="0" w:noHBand="0" w:noVBand="1"/>
      </w:tblPr>
      <w:tblGrid>
        <w:gridCol w:w="1195"/>
        <w:gridCol w:w="1951"/>
        <w:gridCol w:w="7049"/>
      </w:tblGrid>
      <w:tr w:rsidR="00F00EB0" w:rsidRPr="00F00EB0" w14:paraId="1C36459F" w14:textId="77777777" w:rsidTr="00FB117B">
        <w:tc>
          <w:tcPr>
            <w:tcW w:w="586" w:type="pct"/>
            <w:vAlign w:val="center"/>
          </w:tcPr>
          <w:p w14:paraId="2A97D969" w14:textId="77777777" w:rsidR="003C1952" w:rsidRPr="00F00EB0" w:rsidRDefault="003C1952" w:rsidP="00FB117B">
            <w:pPr>
              <w:ind w:left="-113" w:right="-113"/>
              <w:jc w:val="center"/>
              <w:rPr>
                <w:rFonts w:ascii="Times New Roman" w:eastAsia="Calibri" w:hAnsi="Times New Roman" w:cs="Times New Roman"/>
                <w:color w:val="000000" w:themeColor="text1"/>
                <w:kern w:val="3"/>
                <w:sz w:val="24"/>
                <w:szCs w:val="24"/>
                <w:lang w:val="uk-UA" w:eastAsia="zh-CN" w:bidi="hi-IN"/>
              </w:rPr>
            </w:pPr>
            <w:r w:rsidRPr="00F00EB0">
              <w:rPr>
                <w:rFonts w:ascii="Times New Roman" w:eastAsia="Calibri" w:hAnsi="Times New Roman" w:cs="Times New Roman"/>
                <w:color w:val="000000" w:themeColor="text1"/>
                <w:kern w:val="3"/>
                <w:sz w:val="24"/>
                <w:szCs w:val="24"/>
                <w:lang w:val="uk-UA" w:eastAsia="zh-CN" w:bidi="hi-IN"/>
              </w:rPr>
              <w:t>Дата</w:t>
            </w:r>
          </w:p>
        </w:tc>
        <w:tc>
          <w:tcPr>
            <w:tcW w:w="957" w:type="pct"/>
            <w:vAlign w:val="center"/>
          </w:tcPr>
          <w:p w14:paraId="1E7C5106" w14:textId="77777777" w:rsidR="003C1952" w:rsidRPr="00F00EB0" w:rsidRDefault="003C1952" w:rsidP="00FB117B">
            <w:pPr>
              <w:ind w:left="-113" w:right="-113"/>
              <w:jc w:val="center"/>
              <w:rPr>
                <w:rFonts w:ascii="Times New Roman" w:eastAsia="Calibri" w:hAnsi="Times New Roman" w:cs="Times New Roman"/>
                <w:color w:val="000000" w:themeColor="text1"/>
                <w:kern w:val="3"/>
                <w:sz w:val="24"/>
                <w:szCs w:val="24"/>
                <w:lang w:val="uk-UA" w:eastAsia="zh-CN" w:bidi="hi-IN"/>
              </w:rPr>
            </w:pPr>
            <w:r w:rsidRPr="00F00EB0">
              <w:rPr>
                <w:rFonts w:ascii="Times New Roman" w:eastAsia="Calibri" w:hAnsi="Times New Roman" w:cs="Times New Roman"/>
                <w:color w:val="000000" w:themeColor="text1"/>
                <w:kern w:val="3"/>
                <w:sz w:val="24"/>
                <w:szCs w:val="24"/>
                <w:lang w:val="uk-UA" w:eastAsia="zh-CN" w:bidi="hi-IN"/>
              </w:rPr>
              <w:t>Заходи</w:t>
            </w:r>
          </w:p>
        </w:tc>
        <w:tc>
          <w:tcPr>
            <w:tcW w:w="3457" w:type="pct"/>
          </w:tcPr>
          <w:p w14:paraId="223D1408" w14:textId="77777777" w:rsidR="003C1952" w:rsidRPr="00F00EB0" w:rsidRDefault="003C1952" w:rsidP="00FB117B">
            <w:pPr>
              <w:jc w:val="center"/>
              <w:rPr>
                <w:rFonts w:ascii="Times New Roman" w:eastAsia="Calibri" w:hAnsi="Times New Roman" w:cs="Times New Roman"/>
                <w:color w:val="000000" w:themeColor="text1"/>
                <w:kern w:val="3"/>
                <w:sz w:val="24"/>
                <w:szCs w:val="24"/>
                <w:lang w:val="uk-UA" w:eastAsia="zh-CN" w:bidi="hi-IN"/>
              </w:rPr>
            </w:pPr>
            <w:r w:rsidRPr="00F00EB0">
              <w:rPr>
                <w:rFonts w:ascii="Times New Roman" w:eastAsia="Calibri" w:hAnsi="Times New Roman" w:cs="Times New Roman"/>
                <w:color w:val="000000" w:themeColor="text1"/>
                <w:kern w:val="3"/>
                <w:sz w:val="24"/>
                <w:szCs w:val="24"/>
                <w:lang w:val="uk-UA" w:eastAsia="zh-CN" w:bidi="hi-IN"/>
              </w:rPr>
              <w:t>Характеристика</w:t>
            </w:r>
          </w:p>
        </w:tc>
      </w:tr>
      <w:tr w:rsidR="00F00EB0" w:rsidRPr="00F00EB0" w14:paraId="0A3D9546" w14:textId="77777777" w:rsidTr="00FB117B">
        <w:tc>
          <w:tcPr>
            <w:tcW w:w="586" w:type="pct"/>
            <w:vAlign w:val="center"/>
          </w:tcPr>
          <w:p w14:paraId="6919A443" w14:textId="77777777" w:rsidR="003C1952" w:rsidRPr="00F00EB0" w:rsidRDefault="003C1952" w:rsidP="00FB117B">
            <w:pPr>
              <w:ind w:left="-113" w:right="-113"/>
              <w:jc w:val="center"/>
              <w:rPr>
                <w:rFonts w:ascii="Times New Roman" w:eastAsia="Calibri" w:hAnsi="Times New Roman" w:cs="Times New Roman"/>
                <w:color w:val="000000" w:themeColor="text1"/>
                <w:kern w:val="3"/>
                <w:sz w:val="24"/>
                <w:szCs w:val="24"/>
                <w:lang w:val="uk-UA" w:eastAsia="zh-CN" w:bidi="hi-IN"/>
              </w:rPr>
            </w:pPr>
            <w:r w:rsidRPr="00F00EB0">
              <w:rPr>
                <w:rFonts w:ascii="Times New Roman" w:hAnsi="Times New Roman" w:cs="Times New Roman"/>
                <w:color w:val="000000" w:themeColor="text1"/>
                <w:sz w:val="24"/>
                <w:szCs w:val="24"/>
                <w:lang w:val="uk-UA"/>
              </w:rPr>
              <w:t>Червень 2016 року</w:t>
            </w:r>
          </w:p>
        </w:tc>
        <w:tc>
          <w:tcPr>
            <w:tcW w:w="957" w:type="pct"/>
            <w:vAlign w:val="center"/>
          </w:tcPr>
          <w:p w14:paraId="17BF8914" w14:textId="77777777" w:rsidR="003C1952" w:rsidRPr="00F00EB0" w:rsidRDefault="003C1952" w:rsidP="00FB117B">
            <w:pPr>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Переведення субординованого боргу до капіталу</w:t>
            </w:r>
          </w:p>
        </w:tc>
        <w:tc>
          <w:tcPr>
            <w:tcW w:w="3457" w:type="pct"/>
          </w:tcPr>
          <w:p w14:paraId="29FA8142" w14:textId="77777777" w:rsidR="003C1952" w:rsidRPr="00F00EB0" w:rsidRDefault="003C1952" w:rsidP="00FB117B">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субординований борг у сумі 2008  млн грн (отриманий у червні 2015) переведений в капітал за згодою кредитора і дозволу НБУ на дострокове погашення з подальшим внеском цієї суми до капіталу</w:t>
            </w:r>
          </w:p>
        </w:tc>
      </w:tr>
      <w:tr w:rsidR="00F00EB0" w:rsidRPr="00F00EB0" w14:paraId="360E68E5" w14:textId="77777777" w:rsidTr="00FB117B">
        <w:tc>
          <w:tcPr>
            <w:tcW w:w="586" w:type="pct"/>
            <w:vAlign w:val="center"/>
          </w:tcPr>
          <w:p w14:paraId="77945F2A" w14:textId="77777777" w:rsidR="003C1952" w:rsidRPr="00F00EB0" w:rsidRDefault="003C1952" w:rsidP="00FB117B">
            <w:pPr>
              <w:ind w:left="-113" w:right="-113"/>
              <w:jc w:val="center"/>
              <w:rPr>
                <w:rFonts w:ascii="Times New Roman" w:eastAsia="Calibri" w:hAnsi="Times New Roman" w:cs="Times New Roman"/>
                <w:color w:val="000000" w:themeColor="text1"/>
                <w:kern w:val="3"/>
                <w:sz w:val="24"/>
                <w:szCs w:val="24"/>
                <w:lang w:val="uk-UA" w:eastAsia="zh-CN" w:bidi="hi-IN"/>
              </w:rPr>
            </w:pPr>
            <w:r w:rsidRPr="00F00EB0">
              <w:rPr>
                <w:rFonts w:ascii="Times New Roman" w:hAnsi="Times New Roman" w:cs="Times New Roman"/>
                <w:color w:val="000000" w:themeColor="text1"/>
                <w:sz w:val="24"/>
                <w:szCs w:val="24"/>
                <w:lang w:val="uk-UA"/>
              </w:rPr>
              <w:t>18.12.2016</w:t>
            </w:r>
          </w:p>
        </w:tc>
        <w:tc>
          <w:tcPr>
            <w:tcW w:w="957" w:type="pct"/>
            <w:vMerge w:val="restart"/>
            <w:vAlign w:val="center"/>
          </w:tcPr>
          <w:p w14:paraId="1213CC11" w14:textId="77777777" w:rsidR="003C1952" w:rsidRPr="00F00EB0" w:rsidRDefault="003C1952" w:rsidP="00FB117B">
            <w:pPr>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Додатковий випуск акцій за рішенням Кабінету міністрів України</w:t>
            </w:r>
          </w:p>
        </w:tc>
        <w:tc>
          <w:tcPr>
            <w:tcW w:w="3457" w:type="pct"/>
          </w:tcPr>
          <w:p w14:paraId="1C885AC1" w14:textId="77777777" w:rsidR="003C1952" w:rsidRPr="00F00EB0" w:rsidRDefault="003C1952" w:rsidP="00FB117B">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загальна сума 116800  млн грн, профінансований за рахунок державних облігацій</w:t>
            </w:r>
          </w:p>
        </w:tc>
      </w:tr>
      <w:tr w:rsidR="00F00EB0" w:rsidRPr="00F00EB0" w14:paraId="389E4FBC" w14:textId="77777777" w:rsidTr="00FB117B">
        <w:tc>
          <w:tcPr>
            <w:tcW w:w="586" w:type="pct"/>
            <w:vMerge w:val="restart"/>
            <w:vAlign w:val="center"/>
          </w:tcPr>
          <w:p w14:paraId="61DAD74E" w14:textId="77777777" w:rsidR="003C1952" w:rsidRPr="00F00EB0" w:rsidRDefault="003C1952" w:rsidP="00FB117B">
            <w:pPr>
              <w:ind w:left="-113" w:right="-113"/>
              <w:jc w:val="center"/>
              <w:rPr>
                <w:rFonts w:ascii="Times New Roman" w:eastAsia="Calibri" w:hAnsi="Times New Roman" w:cs="Times New Roman"/>
                <w:color w:val="000000" w:themeColor="text1"/>
                <w:kern w:val="3"/>
                <w:sz w:val="24"/>
                <w:szCs w:val="24"/>
                <w:lang w:val="uk-UA" w:eastAsia="zh-CN" w:bidi="hi-IN"/>
              </w:rPr>
            </w:pPr>
            <w:r w:rsidRPr="00F00EB0">
              <w:rPr>
                <w:rFonts w:ascii="Times New Roman" w:hAnsi="Times New Roman" w:cs="Times New Roman"/>
                <w:color w:val="000000" w:themeColor="text1"/>
                <w:sz w:val="24"/>
                <w:szCs w:val="24"/>
                <w:lang w:val="uk-UA"/>
              </w:rPr>
              <w:t>29.12.2016</w:t>
            </w:r>
          </w:p>
        </w:tc>
        <w:tc>
          <w:tcPr>
            <w:tcW w:w="957" w:type="pct"/>
            <w:vMerge/>
          </w:tcPr>
          <w:p w14:paraId="2382BB6E" w14:textId="77777777" w:rsidR="003C1952" w:rsidRPr="00F00EB0" w:rsidRDefault="003C1952" w:rsidP="00FB117B">
            <w:pPr>
              <w:jc w:val="both"/>
              <w:rPr>
                <w:rFonts w:ascii="Times New Roman" w:hAnsi="Times New Roman" w:cs="Times New Roman"/>
                <w:color w:val="000000" w:themeColor="text1"/>
                <w:sz w:val="24"/>
                <w:szCs w:val="24"/>
                <w:lang w:val="uk-UA"/>
              </w:rPr>
            </w:pPr>
          </w:p>
        </w:tc>
        <w:tc>
          <w:tcPr>
            <w:tcW w:w="3457" w:type="pct"/>
          </w:tcPr>
          <w:p w14:paraId="695D3A9C" w14:textId="77777777" w:rsidR="003C1952" w:rsidRPr="00F00EB0" w:rsidRDefault="003C1952" w:rsidP="00FB117B">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перший внесок у сумі 107000  млн грн  </w:t>
            </w:r>
          </w:p>
        </w:tc>
      </w:tr>
      <w:tr w:rsidR="00F00EB0" w:rsidRPr="00F00EB0" w14:paraId="413DA784" w14:textId="77777777" w:rsidTr="00FB117B">
        <w:tc>
          <w:tcPr>
            <w:tcW w:w="586" w:type="pct"/>
            <w:vMerge/>
            <w:vAlign w:val="center"/>
          </w:tcPr>
          <w:p w14:paraId="2C65A9B4" w14:textId="77777777" w:rsidR="003C1952" w:rsidRPr="00F00EB0" w:rsidRDefault="003C1952" w:rsidP="00FB117B">
            <w:pPr>
              <w:ind w:left="-113" w:right="-113"/>
              <w:jc w:val="center"/>
              <w:rPr>
                <w:rFonts w:ascii="Times New Roman" w:eastAsia="Calibri" w:hAnsi="Times New Roman" w:cs="Times New Roman"/>
                <w:color w:val="000000" w:themeColor="text1"/>
                <w:kern w:val="3"/>
                <w:sz w:val="24"/>
                <w:szCs w:val="24"/>
                <w:lang w:val="uk-UA" w:eastAsia="zh-CN" w:bidi="hi-IN"/>
              </w:rPr>
            </w:pPr>
          </w:p>
        </w:tc>
        <w:tc>
          <w:tcPr>
            <w:tcW w:w="957" w:type="pct"/>
            <w:vMerge/>
          </w:tcPr>
          <w:p w14:paraId="532C2007" w14:textId="77777777" w:rsidR="003C1952" w:rsidRPr="00F00EB0" w:rsidRDefault="003C1952" w:rsidP="00FB117B">
            <w:pPr>
              <w:jc w:val="both"/>
              <w:rPr>
                <w:rFonts w:ascii="Times New Roman" w:hAnsi="Times New Roman" w:cs="Times New Roman"/>
                <w:color w:val="000000" w:themeColor="text1"/>
                <w:sz w:val="24"/>
                <w:szCs w:val="24"/>
                <w:lang w:val="uk-UA"/>
              </w:rPr>
            </w:pPr>
          </w:p>
        </w:tc>
        <w:tc>
          <w:tcPr>
            <w:tcW w:w="3457" w:type="pct"/>
          </w:tcPr>
          <w:p w14:paraId="5ED58AE0" w14:textId="77777777" w:rsidR="003C1952" w:rsidRPr="00F00EB0" w:rsidRDefault="003C1952" w:rsidP="00FB117B">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визнання в складі капіталу, в результаті операцій з власником від первісного визнання, 9934  млн грн чистого прибутку </w:t>
            </w:r>
          </w:p>
        </w:tc>
      </w:tr>
      <w:tr w:rsidR="00F00EB0" w:rsidRPr="00F00EB0" w14:paraId="284D041F" w14:textId="77777777" w:rsidTr="00FB117B">
        <w:tc>
          <w:tcPr>
            <w:tcW w:w="586" w:type="pct"/>
            <w:vAlign w:val="center"/>
          </w:tcPr>
          <w:p w14:paraId="75503B42" w14:textId="77777777" w:rsidR="003C1952" w:rsidRPr="00F00EB0" w:rsidRDefault="003C1952" w:rsidP="00FB117B">
            <w:pPr>
              <w:ind w:left="-113" w:right="-113"/>
              <w:jc w:val="center"/>
              <w:rPr>
                <w:rFonts w:ascii="Times New Roman" w:eastAsia="Calibri" w:hAnsi="Times New Roman" w:cs="Times New Roman"/>
                <w:color w:val="000000" w:themeColor="text1"/>
                <w:kern w:val="3"/>
                <w:sz w:val="24"/>
                <w:szCs w:val="24"/>
                <w:lang w:val="uk-UA" w:eastAsia="zh-CN" w:bidi="hi-IN"/>
              </w:rPr>
            </w:pPr>
            <w:r w:rsidRPr="00F00EB0">
              <w:rPr>
                <w:rFonts w:ascii="Times New Roman" w:eastAsia="Calibri" w:hAnsi="Times New Roman" w:cs="Times New Roman"/>
                <w:color w:val="000000" w:themeColor="text1"/>
                <w:kern w:val="3"/>
                <w:sz w:val="24"/>
                <w:szCs w:val="24"/>
                <w:lang w:val="uk-UA" w:eastAsia="zh-CN" w:bidi="hi-IN"/>
              </w:rPr>
              <w:t>Лютий 2017</w:t>
            </w:r>
          </w:p>
        </w:tc>
        <w:tc>
          <w:tcPr>
            <w:tcW w:w="957" w:type="pct"/>
            <w:vMerge/>
          </w:tcPr>
          <w:p w14:paraId="21FE37AF" w14:textId="77777777" w:rsidR="003C1952" w:rsidRPr="00F00EB0" w:rsidRDefault="003C1952" w:rsidP="00FB117B">
            <w:pPr>
              <w:jc w:val="both"/>
              <w:rPr>
                <w:rFonts w:ascii="Times New Roman" w:eastAsia="Calibri" w:hAnsi="Times New Roman" w:cs="Times New Roman"/>
                <w:color w:val="000000" w:themeColor="text1"/>
                <w:kern w:val="3"/>
                <w:sz w:val="24"/>
                <w:szCs w:val="24"/>
                <w:lang w:val="uk-UA" w:eastAsia="zh-CN" w:bidi="hi-IN"/>
              </w:rPr>
            </w:pPr>
          </w:p>
        </w:tc>
        <w:tc>
          <w:tcPr>
            <w:tcW w:w="3457" w:type="pct"/>
          </w:tcPr>
          <w:p w14:paraId="30AAECD9" w14:textId="77777777" w:rsidR="003C1952" w:rsidRPr="00F00EB0" w:rsidRDefault="003C1952" w:rsidP="00FB117B">
            <w:pPr>
              <w:jc w:val="both"/>
              <w:rPr>
                <w:rFonts w:ascii="Times New Roman" w:eastAsia="Calibri" w:hAnsi="Times New Roman" w:cs="Times New Roman"/>
                <w:color w:val="000000" w:themeColor="text1"/>
                <w:kern w:val="3"/>
                <w:sz w:val="24"/>
                <w:szCs w:val="24"/>
                <w:lang w:val="uk-UA" w:eastAsia="zh-CN" w:bidi="hi-IN"/>
              </w:rPr>
            </w:pPr>
            <w:r w:rsidRPr="00F00EB0">
              <w:rPr>
                <w:rFonts w:ascii="Times New Roman" w:eastAsia="Calibri" w:hAnsi="Times New Roman" w:cs="Times New Roman"/>
                <w:color w:val="000000" w:themeColor="text1"/>
                <w:kern w:val="3"/>
                <w:sz w:val="24"/>
                <w:szCs w:val="24"/>
                <w:lang w:val="uk-UA" w:eastAsia="zh-CN" w:bidi="hi-IN"/>
              </w:rPr>
              <w:t>отримання залишкового внеску номіналом 9800 млн грн.</w:t>
            </w:r>
          </w:p>
        </w:tc>
      </w:tr>
      <w:tr w:rsidR="00F00EB0" w:rsidRPr="00F00EB0" w14:paraId="0D650F0E" w14:textId="77777777" w:rsidTr="00FB117B">
        <w:tc>
          <w:tcPr>
            <w:tcW w:w="586" w:type="pct"/>
            <w:vAlign w:val="center"/>
          </w:tcPr>
          <w:p w14:paraId="2DA3D116" w14:textId="77777777" w:rsidR="003C1952" w:rsidRPr="00F00EB0" w:rsidRDefault="003C1952" w:rsidP="00FB117B">
            <w:pPr>
              <w:ind w:left="-113" w:right="-113"/>
              <w:jc w:val="center"/>
              <w:rPr>
                <w:rFonts w:ascii="Times New Roman" w:eastAsia="Calibri" w:hAnsi="Times New Roman" w:cs="Times New Roman"/>
                <w:color w:val="000000" w:themeColor="text1"/>
                <w:kern w:val="3"/>
                <w:sz w:val="24"/>
                <w:szCs w:val="24"/>
                <w:lang w:val="uk-UA" w:eastAsia="zh-CN" w:bidi="hi-IN"/>
              </w:rPr>
            </w:pPr>
            <w:r w:rsidRPr="00F00EB0">
              <w:rPr>
                <w:rFonts w:ascii="Times New Roman" w:eastAsia="Calibri" w:hAnsi="Times New Roman" w:cs="Times New Roman"/>
                <w:color w:val="000000" w:themeColor="text1"/>
                <w:kern w:val="3"/>
                <w:sz w:val="24"/>
                <w:szCs w:val="24"/>
                <w:lang w:val="uk-UA" w:eastAsia="zh-CN" w:bidi="hi-IN"/>
              </w:rPr>
              <w:t xml:space="preserve">Червень 2017 </w:t>
            </w:r>
          </w:p>
        </w:tc>
        <w:tc>
          <w:tcPr>
            <w:tcW w:w="957" w:type="pct"/>
            <w:vMerge/>
          </w:tcPr>
          <w:p w14:paraId="0098F8D6" w14:textId="77777777" w:rsidR="003C1952" w:rsidRPr="00F00EB0" w:rsidRDefault="003C1952" w:rsidP="00FB117B">
            <w:pPr>
              <w:jc w:val="both"/>
              <w:rPr>
                <w:rFonts w:ascii="Times New Roman" w:eastAsia="Calibri" w:hAnsi="Times New Roman" w:cs="Times New Roman"/>
                <w:color w:val="000000" w:themeColor="text1"/>
                <w:kern w:val="3"/>
                <w:sz w:val="24"/>
                <w:szCs w:val="24"/>
                <w:lang w:val="uk-UA" w:eastAsia="zh-CN" w:bidi="hi-IN"/>
              </w:rPr>
            </w:pPr>
          </w:p>
        </w:tc>
        <w:tc>
          <w:tcPr>
            <w:tcW w:w="3457" w:type="pct"/>
          </w:tcPr>
          <w:p w14:paraId="078ED3EE" w14:textId="77777777" w:rsidR="003C1952" w:rsidRPr="00F00EB0" w:rsidRDefault="003C1952" w:rsidP="00FB117B">
            <w:pPr>
              <w:jc w:val="both"/>
              <w:rPr>
                <w:rFonts w:ascii="Times New Roman" w:eastAsia="Calibri" w:hAnsi="Times New Roman" w:cs="Times New Roman"/>
                <w:color w:val="000000" w:themeColor="text1"/>
                <w:kern w:val="3"/>
                <w:sz w:val="24"/>
                <w:szCs w:val="24"/>
                <w:lang w:val="uk-UA" w:eastAsia="zh-CN" w:bidi="hi-IN"/>
              </w:rPr>
            </w:pPr>
            <w:r w:rsidRPr="00F00EB0">
              <w:rPr>
                <w:rFonts w:ascii="Times New Roman" w:eastAsia="Calibri" w:hAnsi="Times New Roman" w:cs="Times New Roman"/>
                <w:color w:val="000000" w:themeColor="text1"/>
                <w:kern w:val="3"/>
                <w:sz w:val="24"/>
                <w:szCs w:val="24"/>
                <w:lang w:val="uk-UA" w:eastAsia="zh-CN" w:bidi="hi-IN"/>
              </w:rPr>
              <w:t>загальна сума 38565 млн грн, профінансований за рахунок державних облігацій.</w:t>
            </w:r>
          </w:p>
        </w:tc>
      </w:tr>
      <w:tr w:rsidR="00F00EB0" w:rsidRPr="00F00EB0" w14:paraId="03DF0097" w14:textId="77777777" w:rsidTr="00FB117B">
        <w:tc>
          <w:tcPr>
            <w:tcW w:w="586" w:type="pct"/>
            <w:vMerge w:val="restart"/>
            <w:vAlign w:val="center"/>
          </w:tcPr>
          <w:p w14:paraId="78FF56E6" w14:textId="77777777" w:rsidR="003C1952" w:rsidRPr="00F00EB0" w:rsidRDefault="003C1952" w:rsidP="00FB117B">
            <w:pPr>
              <w:ind w:left="-113" w:right="-113"/>
              <w:jc w:val="center"/>
              <w:rPr>
                <w:rFonts w:ascii="Times New Roman" w:eastAsia="Calibri" w:hAnsi="Times New Roman" w:cs="Times New Roman"/>
                <w:color w:val="000000" w:themeColor="text1"/>
                <w:kern w:val="3"/>
                <w:sz w:val="24"/>
                <w:szCs w:val="24"/>
                <w:lang w:val="uk-UA" w:eastAsia="zh-CN" w:bidi="hi-IN"/>
              </w:rPr>
            </w:pPr>
            <w:r w:rsidRPr="00F00EB0">
              <w:rPr>
                <w:rFonts w:ascii="Times New Roman" w:hAnsi="Times New Roman" w:cs="Times New Roman"/>
                <w:color w:val="000000" w:themeColor="text1"/>
                <w:sz w:val="24"/>
                <w:szCs w:val="24"/>
                <w:lang w:val="uk-UA"/>
              </w:rPr>
              <w:t>11.07.2017</w:t>
            </w:r>
          </w:p>
        </w:tc>
        <w:tc>
          <w:tcPr>
            <w:tcW w:w="957" w:type="pct"/>
            <w:vMerge/>
          </w:tcPr>
          <w:p w14:paraId="76B5B0B2" w14:textId="77777777" w:rsidR="003C1952" w:rsidRPr="00F00EB0" w:rsidRDefault="003C1952" w:rsidP="00FB117B">
            <w:pPr>
              <w:jc w:val="both"/>
              <w:rPr>
                <w:rFonts w:ascii="Times New Roman" w:eastAsia="Calibri" w:hAnsi="Times New Roman" w:cs="Times New Roman"/>
                <w:color w:val="000000" w:themeColor="text1"/>
                <w:kern w:val="3"/>
                <w:sz w:val="24"/>
                <w:szCs w:val="24"/>
                <w:lang w:val="uk-UA" w:eastAsia="zh-CN" w:bidi="hi-IN"/>
              </w:rPr>
            </w:pPr>
          </w:p>
        </w:tc>
        <w:tc>
          <w:tcPr>
            <w:tcW w:w="3457" w:type="pct"/>
          </w:tcPr>
          <w:p w14:paraId="33489DEB" w14:textId="77777777" w:rsidR="003C1952" w:rsidRPr="00F00EB0" w:rsidRDefault="003C1952" w:rsidP="00FB117B">
            <w:pPr>
              <w:jc w:val="both"/>
              <w:rPr>
                <w:rFonts w:ascii="Times New Roman" w:eastAsia="Calibri" w:hAnsi="Times New Roman" w:cs="Times New Roman"/>
                <w:color w:val="000000" w:themeColor="text1"/>
                <w:kern w:val="3"/>
                <w:sz w:val="24"/>
                <w:szCs w:val="24"/>
                <w:lang w:val="uk-UA" w:eastAsia="zh-CN" w:bidi="hi-IN"/>
              </w:rPr>
            </w:pPr>
            <w:r w:rsidRPr="00F00EB0">
              <w:rPr>
                <w:rFonts w:ascii="Times New Roman" w:hAnsi="Times New Roman" w:cs="Times New Roman"/>
                <w:color w:val="000000" w:themeColor="text1"/>
                <w:sz w:val="24"/>
                <w:szCs w:val="24"/>
                <w:lang w:val="uk-UA"/>
              </w:rPr>
              <w:t>перший внесок у сумі 22500 млн грн</w:t>
            </w:r>
          </w:p>
        </w:tc>
      </w:tr>
      <w:tr w:rsidR="00F00EB0" w:rsidRPr="00F00EB0" w14:paraId="23E4B697" w14:textId="77777777" w:rsidTr="00FB117B">
        <w:tc>
          <w:tcPr>
            <w:tcW w:w="586" w:type="pct"/>
            <w:vMerge/>
            <w:vAlign w:val="center"/>
          </w:tcPr>
          <w:p w14:paraId="1D264785" w14:textId="77777777" w:rsidR="003C1952" w:rsidRPr="00F00EB0" w:rsidRDefault="003C1952" w:rsidP="00FB117B">
            <w:pPr>
              <w:ind w:left="-113" w:right="-113"/>
              <w:jc w:val="center"/>
              <w:rPr>
                <w:rFonts w:ascii="Times New Roman" w:hAnsi="Times New Roman" w:cs="Times New Roman"/>
                <w:color w:val="000000" w:themeColor="text1"/>
                <w:sz w:val="24"/>
                <w:szCs w:val="24"/>
                <w:lang w:val="uk-UA"/>
              </w:rPr>
            </w:pPr>
          </w:p>
        </w:tc>
        <w:tc>
          <w:tcPr>
            <w:tcW w:w="957" w:type="pct"/>
            <w:vMerge/>
          </w:tcPr>
          <w:p w14:paraId="609288AA" w14:textId="77777777" w:rsidR="003C1952" w:rsidRPr="00F00EB0" w:rsidRDefault="003C1952" w:rsidP="00FB117B">
            <w:pPr>
              <w:jc w:val="both"/>
              <w:rPr>
                <w:rFonts w:ascii="Times New Roman" w:eastAsia="Calibri" w:hAnsi="Times New Roman" w:cs="Times New Roman"/>
                <w:color w:val="000000" w:themeColor="text1"/>
                <w:kern w:val="3"/>
                <w:sz w:val="24"/>
                <w:szCs w:val="24"/>
                <w:lang w:val="uk-UA" w:eastAsia="zh-CN" w:bidi="hi-IN"/>
              </w:rPr>
            </w:pPr>
          </w:p>
        </w:tc>
        <w:tc>
          <w:tcPr>
            <w:tcW w:w="3457" w:type="pct"/>
          </w:tcPr>
          <w:p w14:paraId="7091C94E" w14:textId="77777777" w:rsidR="003C1952" w:rsidRPr="00F00EB0" w:rsidRDefault="003C1952" w:rsidP="00FB117B">
            <w:pPr>
              <w:jc w:val="both"/>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визнання в складі капіталу, в результаті операцій з власником від первісного визнання, 1738 млн грн чистого прибутку</w:t>
            </w:r>
          </w:p>
        </w:tc>
      </w:tr>
      <w:tr w:rsidR="00F00EB0" w:rsidRPr="00F00EB0" w14:paraId="396F21BB" w14:textId="77777777" w:rsidTr="00FB117B">
        <w:tc>
          <w:tcPr>
            <w:tcW w:w="586" w:type="pct"/>
            <w:vMerge w:val="restart"/>
            <w:vAlign w:val="center"/>
          </w:tcPr>
          <w:p w14:paraId="183D7F12" w14:textId="77777777" w:rsidR="003C1952" w:rsidRPr="00F00EB0" w:rsidRDefault="003C1952" w:rsidP="00FB117B">
            <w:pPr>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26.12.2017</w:t>
            </w:r>
          </w:p>
        </w:tc>
        <w:tc>
          <w:tcPr>
            <w:tcW w:w="957" w:type="pct"/>
            <w:vMerge/>
          </w:tcPr>
          <w:p w14:paraId="0A40A292" w14:textId="77777777" w:rsidR="003C1952" w:rsidRPr="00F00EB0" w:rsidRDefault="003C1952" w:rsidP="00FB117B">
            <w:pPr>
              <w:jc w:val="both"/>
              <w:rPr>
                <w:rFonts w:ascii="Times New Roman" w:eastAsia="Calibri" w:hAnsi="Times New Roman" w:cs="Times New Roman"/>
                <w:color w:val="000000" w:themeColor="text1"/>
                <w:kern w:val="3"/>
                <w:sz w:val="24"/>
                <w:szCs w:val="24"/>
                <w:lang w:val="uk-UA" w:eastAsia="zh-CN" w:bidi="hi-IN"/>
              </w:rPr>
            </w:pPr>
          </w:p>
        </w:tc>
        <w:tc>
          <w:tcPr>
            <w:tcW w:w="3457" w:type="pct"/>
          </w:tcPr>
          <w:p w14:paraId="6CA96406" w14:textId="77777777" w:rsidR="003C1952" w:rsidRPr="00F00EB0" w:rsidRDefault="003C1952" w:rsidP="00FB117B">
            <w:pPr>
              <w:jc w:val="both"/>
              <w:rPr>
                <w:rFonts w:ascii="Times New Roman" w:hAnsi="Times New Roman" w:cs="Times New Roman"/>
                <w:color w:val="000000" w:themeColor="text1"/>
                <w:sz w:val="24"/>
                <w:szCs w:val="24"/>
                <w:lang w:val="uk-UA"/>
              </w:rPr>
            </w:pPr>
            <w:r w:rsidRPr="00F00EB0">
              <w:rPr>
                <w:rFonts w:ascii="Times New Roman" w:eastAsia="Calibri" w:hAnsi="Times New Roman" w:cs="Times New Roman"/>
                <w:color w:val="000000" w:themeColor="text1"/>
                <w:kern w:val="3"/>
                <w:sz w:val="24"/>
                <w:szCs w:val="24"/>
                <w:lang w:val="uk-UA" w:eastAsia="zh-CN" w:bidi="hi-IN"/>
              </w:rPr>
              <w:t xml:space="preserve">отримання залишкового внеску номіналом </w:t>
            </w:r>
            <w:r w:rsidRPr="00F00EB0">
              <w:rPr>
                <w:rFonts w:ascii="Times New Roman" w:hAnsi="Times New Roman" w:cs="Times New Roman"/>
                <w:color w:val="000000" w:themeColor="text1"/>
                <w:sz w:val="24"/>
                <w:szCs w:val="24"/>
                <w:lang w:val="uk-UA"/>
              </w:rPr>
              <w:t>16065 млн грн</w:t>
            </w:r>
          </w:p>
        </w:tc>
      </w:tr>
      <w:tr w:rsidR="00F00EB0" w:rsidRPr="00F00EB0" w14:paraId="73C9FE73" w14:textId="77777777" w:rsidTr="00FB117B">
        <w:tc>
          <w:tcPr>
            <w:tcW w:w="586" w:type="pct"/>
            <w:vMerge/>
            <w:vAlign w:val="center"/>
          </w:tcPr>
          <w:p w14:paraId="776DDDF8" w14:textId="77777777" w:rsidR="003C1952" w:rsidRPr="00F00EB0" w:rsidRDefault="003C1952" w:rsidP="00FB117B">
            <w:pPr>
              <w:jc w:val="center"/>
              <w:rPr>
                <w:rFonts w:ascii="Times New Roman" w:hAnsi="Times New Roman" w:cs="Times New Roman"/>
                <w:color w:val="000000" w:themeColor="text1"/>
                <w:sz w:val="24"/>
                <w:szCs w:val="24"/>
                <w:lang w:val="uk-UA"/>
              </w:rPr>
            </w:pPr>
          </w:p>
        </w:tc>
        <w:tc>
          <w:tcPr>
            <w:tcW w:w="957" w:type="pct"/>
            <w:vMerge/>
          </w:tcPr>
          <w:p w14:paraId="4CE96788" w14:textId="77777777" w:rsidR="003C1952" w:rsidRPr="00F00EB0" w:rsidRDefault="003C1952" w:rsidP="00FB117B">
            <w:pPr>
              <w:jc w:val="both"/>
              <w:rPr>
                <w:rFonts w:ascii="Times New Roman" w:eastAsia="Calibri" w:hAnsi="Times New Roman" w:cs="Times New Roman"/>
                <w:color w:val="000000" w:themeColor="text1"/>
                <w:kern w:val="3"/>
                <w:sz w:val="24"/>
                <w:szCs w:val="24"/>
                <w:lang w:val="uk-UA" w:eastAsia="zh-CN" w:bidi="hi-IN"/>
              </w:rPr>
            </w:pPr>
          </w:p>
        </w:tc>
        <w:tc>
          <w:tcPr>
            <w:tcW w:w="3457" w:type="pct"/>
          </w:tcPr>
          <w:p w14:paraId="3135B0BD" w14:textId="77777777" w:rsidR="003C1952" w:rsidRPr="00F00EB0" w:rsidRDefault="003C1952" w:rsidP="00FB117B">
            <w:pPr>
              <w:jc w:val="both"/>
              <w:rPr>
                <w:rFonts w:ascii="Times New Roman" w:eastAsia="Calibri" w:hAnsi="Times New Roman" w:cs="Times New Roman"/>
                <w:color w:val="000000" w:themeColor="text1"/>
                <w:kern w:val="3"/>
                <w:sz w:val="24"/>
                <w:szCs w:val="24"/>
                <w:lang w:val="uk-UA" w:eastAsia="zh-CN" w:bidi="hi-IN"/>
              </w:rPr>
            </w:pPr>
            <w:r w:rsidRPr="00F00EB0">
              <w:rPr>
                <w:rFonts w:ascii="Times New Roman" w:hAnsi="Times New Roman" w:cs="Times New Roman"/>
                <w:color w:val="000000" w:themeColor="text1"/>
                <w:sz w:val="24"/>
                <w:szCs w:val="24"/>
                <w:lang w:val="uk-UA"/>
              </w:rPr>
              <w:t>визнання в складі капіталу, в результаті операцій з власником від первісного визнання, 895 млн грн</w:t>
            </w:r>
          </w:p>
        </w:tc>
      </w:tr>
    </w:tbl>
    <w:p w14:paraId="27338009" w14:textId="77777777" w:rsidR="003C1952" w:rsidRPr="00F00EB0" w:rsidRDefault="003C1952" w:rsidP="003C1952">
      <w:pPr>
        <w:shd w:val="clear" w:color="auto" w:fill="FFFFFF"/>
        <w:spacing w:after="0" w:line="360" w:lineRule="auto"/>
        <w:ind w:firstLine="709"/>
        <w:jc w:val="both"/>
        <w:rPr>
          <w:rFonts w:ascii="Times New Roman" w:eastAsia="Calibri" w:hAnsi="Times New Roman" w:cs="Times New Roman"/>
          <w:color w:val="000000" w:themeColor="text1"/>
          <w:kern w:val="3"/>
          <w:sz w:val="28"/>
          <w:szCs w:val="28"/>
          <w:lang w:val="uk-UA" w:eastAsia="zh-CN" w:bidi="hi-IN"/>
        </w:rPr>
      </w:pPr>
    </w:p>
    <w:p w14:paraId="525D08A9" w14:textId="2C03EB59" w:rsidR="003C1952" w:rsidRPr="00F00EB0" w:rsidRDefault="00AD1F2D" w:rsidP="003C1952">
      <w:pPr>
        <w:shd w:val="clear" w:color="auto" w:fill="FFFFFF"/>
        <w:spacing w:after="0" w:line="360" w:lineRule="auto"/>
        <w:jc w:val="center"/>
        <w:rPr>
          <w:rFonts w:ascii="Times New Roman" w:eastAsia="Calibri" w:hAnsi="Times New Roman" w:cs="Times New Roman"/>
          <w:color w:val="000000" w:themeColor="text1"/>
          <w:kern w:val="3"/>
          <w:sz w:val="28"/>
          <w:szCs w:val="28"/>
          <w:lang w:val="uk-UA" w:eastAsia="zh-CN" w:bidi="hi-IN"/>
        </w:rPr>
      </w:pPr>
      <w:r w:rsidRPr="00F00EB0">
        <w:rPr>
          <w:rFonts w:ascii="Times New Roman" w:eastAsia="Calibri" w:hAnsi="Times New Roman" w:cs="Times New Roman"/>
          <w:noProof/>
          <w:color w:val="000000" w:themeColor="text1"/>
          <w:kern w:val="3"/>
          <w:sz w:val="28"/>
          <w:szCs w:val="28"/>
          <w:lang w:val="uk-UA" w:eastAsia="uk-UA"/>
        </w:rPr>
        <w:t xml:space="preserve"> </w:t>
      </w:r>
    </w:p>
    <w:p w14:paraId="0300AEE4" w14:textId="2B8A0C68" w:rsidR="00903678" w:rsidRPr="00F00EB0" w:rsidRDefault="00903678">
      <w:pPr>
        <w:rPr>
          <w:rFonts w:ascii="Times New Roman" w:hAnsi="Times New Roman" w:cs="Times New Roman"/>
          <w:color w:val="000000" w:themeColor="text1"/>
          <w:lang w:val="uk-UA"/>
        </w:rPr>
      </w:pPr>
    </w:p>
    <w:p w14:paraId="1D8AAC17" w14:textId="77777777" w:rsidR="00903678" w:rsidRPr="00F00EB0" w:rsidRDefault="00903678">
      <w:pPr>
        <w:rPr>
          <w:rFonts w:ascii="Times New Roman" w:hAnsi="Times New Roman" w:cs="Times New Roman"/>
          <w:color w:val="000000" w:themeColor="text1"/>
          <w:lang w:val="uk-UA"/>
        </w:rPr>
      </w:pPr>
    </w:p>
    <w:p w14:paraId="2D687EEA" w14:textId="77777777" w:rsidR="00AD1F2D" w:rsidRPr="00F00EB0" w:rsidRDefault="00AD1F2D" w:rsidP="00AD1F2D">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p>
    <w:p w14:paraId="1CD998B9" w14:textId="77777777" w:rsidR="00AD1F2D" w:rsidRPr="00F00EB0" w:rsidRDefault="00AD1F2D" w:rsidP="00AD1F2D">
      <w:pPr>
        <w:autoSpaceDE w:val="0"/>
        <w:autoSpaceDN w:val="0"/>
        <w:adjustRightInd w:val="0"/>
        <w:spacing w:after="0" w:line="360" w:lineRule="auto"/>
        <w:jc w:val="both"/>
        <w:rPr>
          <w:rFonts w:ascii="Times New Roman" w:hAnsi="Times New Roman" w:cs="Times New Roman"/>
          <w:color w:val="000000" w:themeColor="text1"/>
          <w:sz w:val="28"/>
          <w:szCs w:val="28"/>
          <w:lang w:val="uk-UA"/>
        </w:rPr>
        <w:sectPr w:rsidR="00AD1F2D" w:rsidRPr="00F00EB0" w:rsidSect="0012487A">
          <w:headerReference w:type="default" r:id="rId113"/>
          <w:footerReference w:type="default" r:id="rId114"/>
          <w:endnotePr>
            <w:numFmt w:val="decimal"/>
          </w:endnotePr>
          <w:pgSz w:w="11906" w:h="16838" w:code="9"/>
          <w:pgMar w:top="1134" w:right="567" w:bottom="1134" w:left="1134" w:header="709" w:footer="709" w:gutter="0"/>
          <w:cols w:space="708"/>
          <w:docGrid w:linePitch="381"/>
        </w:sectPr>
      </w:pPr>
    </w:p>
    <w:p w14:paraId="7DA8BF7C" w14:textId="0136FFBE" w:rsidR="00AD1F2D" w:rsidRPr="00F00EB0" w:rsidRDefault="00AD1F2D" w:rsidP="00AD1F2D">
      <w:pPr>
        <w:keepNext/>
        <w:suppressAutoHyphens/>
        <w:spacing w:after="0" w:line="360" w:lineRule="auto"/>
        <w:jc w:val="center"/>
        <w:outlineLvl w:val="1"/>
        <w:rPr>
          <w:rFonts w:ascii="Times New Roman" w:eastAsia="Times New Roman" w:hAnsi="Times New Roman" w:cs="Times New Roman"/>
          <w:b/>
          <w:bCs/>
          <w:caps/>
          <w:color w:val="000000" w:themeColor="text1"/>
          <w:sz w:val="28"/>
          <w:szCs w:val="28"/>
          <w:lang w:val="uk-UA" w:eastAsia="ru-RU"/>
        </w:rPr>
      </w:pPr>
      <w:bookmarkStart w:id="31" w:name="_Toc137414319"/>
      <w:r w:rsidRPr="00F00EB0">
        <w:rPr>
          <w:rFonts w:ascii="Times New Roman" w:eastAsia="Times New Roman" w:hAnsi="Times New Roman" w:cs="Times New Roman"/>
          <w:b/>
          <w:bCs/>
          <w:caps/>
          <w:color w:val="000000" w:themeColor="text1"/>
          <w:sz w:val="28"/>
          <w:szCs w:val="28"/>
          <w:lang w:val="uk-UA" w:eastAsia="ru-RU"/>
        </w:rPr>
        <w:lastRenderedPageBreak/>
        <w:t>ДОДАТОК К</w:t>
      </w:r>
      <w:r w:rsidRPr="00F00EB0">
        <w:rPr>
          <w:rFonts w:ascii="Times New Roman" w:eastAsia="Times New Roman" w:hAnsi="Times New Roman" w:cs="Times New Roman"/>
          <w:b/>
          <w:bCs/>
          <w:caps/>
          <w:color w:val="000000" w:themeColor="text1"/>
          <w:sz w:val="28"/>
          <w:szCs w:val="28"/>
          <w:lang w:val="uk-UA" w:eastAsia="ru-RU"/>
        </w:rPr>
        <w:br/>
        <w:t>АНАЛІЗ ЯКОСТІ КРЕДИТНОГО ПОРТФЕЛЯ АТ КБ «ПРИВАТБАНК»</w:t>
      </w:r>
      <w:bookmarkEnd w:id="31"/>
    </w:p>
    <w:p w14:paraId="62C4B025" w14:textId="61D22D3F" w:rsidR="00AD1F2D" w:rsidRPr="00F00EB0" w:rsidRDefault="00AD1F2D" w:rsidP="00AD1F2D">
      <w:pPr>
        <w:suppressAutoHyphens/>
        <w:autoSpaceDN w:val="0"/>
        <w:spacing w:after="0" w:line="360" w:lineRule="auto"/>
        <w:ind w:firstLine="709"/>
        <w:contextualSpacing/>
        <w:jc w:val="both"/>
        <w:textAlignment w:val="baseline"/>
        <w:rPr>
          <w:rFonts w:ascii="Times New Roman" w:hAnsi="Times New Roman" w:cs="Times New Roman"/>
          <w:color w:val="000000" w:themeColor="text1"/>
          <w:kern w:val="3"/>
          <w:sz w:val="28"/>
          <w:szCs w:val="28"/>
          <w:lang w:val="uk-UA" w:eastAsia="zh-CN" w:bidi="hi-IN"/>
        </w:rPr>
      </w:pPr>
      <w:r w:rsidRPr="00F00EB0">
        <w:rPr>
          <w:rFonts w:ascii="Times New Roman" w:hAnsi="Times New Roman" w:cs="Times New Roman"/>
          <w:color w:val="000000" w:themeColor="text1"/>
          <w:kern w:val="3"/>
          <w:sz w:val="28"/>
          <w:szCs w:val="28"/>
          <w:lang w:val="uk-UA" w:eastAsia="zh-CN" w:bidi="hi-IN"/>
        </w:rPr>
        <w:t xml:space="preserve">Таблиця К.1 – Динаміка показників кредитного ризику портфеля фізичних осіб </w:t>
      </w:r>
      <w:r w:rsidRPr="00F00EB0">
        <w:rPr>
          <w:rFonts w:ascii="Times New Roman" w:hAnsi="Times New Roman" w:cs="Times New Roman"/>
          <w:bCs/>
          <w:color w:val="000000" w:themeColor="text1"/>
          <w:kern w:val="3"/>
          <w:sz w:val="28"/>
          <w:szCs w:val="28"/>
          <w:lang w:val="uk-UA" w:eastAsia="zh-CN" w:bidi="hi-IN"/>
        </w:rPr>
        <w:t xml:space="preserve">АТ КБ «ПриватБанк» </w:t>
      </w:r>
      <w:r w:rsidRPr="00F00EB0">
        <w:rPr>
          <w:rFonts w:ascii="Times New Roman" w:hAnsi="Times New Roman" w:cs="Times New Roman"/>
          <w:color w:val="000000" w:themeColor="text1"/>
          <w:kern w:val="3"/>
          <w:sz w:val="28"/>
          <w:szCs w:val="28"/>
          <w:lang w:val="uk-UA" w:eastAsia="zh-CN" w:bidi="hi-IN"/>
        </w:rPr>
        <w:t>за 2018-2022 рр. [розраховано автором на основі 32-34]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8"/>
        <w:gridCol w:w="2097"/>
        <w:gridCol w:w="1674"/>
        <w:gridCol w:w="1255"/>
        <w:gridCol w:w="1258"/>
        <w:gridCol w:w="1255"/>
        <w:gridCol w:w="1471"/>
        <w:gridCol w:w="1045"/>
        <w:gridCol w:w="839"/>
        <w:gridCol w:w="836"/>
        <w:gridCol w:w="839"/>
        <w:gridCol w:w="993"/>
      </w:tblGrid>
      <w:tr w:rsidR="00F00EB0" w:rsidRPr="00F00EB0" w14:paraId="5968EBB3" w14:textId="77777777" w:rsidTr="00FA1511">
        <w:trPr>
          <w:trHeight w:val="20"/>
        </w:trPr>
        <w:tc>
          <w:tcPr>
            <w:tcW w:w="343" w:type="pct"/>
            <w:vMerge w:val="restart"/>
            <w:shd w:val="clear" w:color="000000" w:fill="FFFFFF"/>
            <w:vAlign w:val="center"/>
          </w:tcPr>
          <w:p w14:paraId="2EA66B76"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Дата </w:t>
            </w:r>
          </w:p>
        </w:tc>
        <w:tc>
          <w:tcPr>
            <w:tcW w:w="720" w:type="pct"/>
            <w:vMerge w:val="restart"/>
            <w:shd w:val="clear" w:color="000000" w:fill="FFFFFF"/>
            <w:vAlign w:val="center"/>
          </w:tcPr>
          <w:p w14:paraId="4175568C"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Показник </w:t>
            </w:r>
          </w:p>
        </w:tc>
        <w:tc>
          <w:tcPr>
            <w:tcW w:w="2373" w:type="pct"/>
            <w:gridSpan w:val="5"/>
            <w:shd w:val="clear" w:color="000000" w:fill="FFFFFF"/>
            <w:noWrap/>
            <w:vAlign w:val="center"/>
          </w:tcPr>
          <w:p w14:paraId="4D861A0A"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Абсолютне значення, в розрізі ймовірності дефолту позичальника, тис. грн </w:t>
            </w:r>
          </w:p>
        </w:tc>
        <w:tc>
          <w:tcPr>
            <w:tcW w:w="1564" w:type="pct"/>
            <w:gridSpan w:val="5"/>
            <w:noWrap/>
            <w:vAlign w:val="center"/>
          </w:tcPr>
          <w:p w14:paraId="2CA1E207"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Питома вага, в розрізі ймовірності дефолту позичальника, %</w:t>
            </w:r>
          </w:p>
        </w:tc>
      </w:tr>
      <w:tr w:rsidR="00F00EB0" w:rsidRPr="00F00EB0" w14:paraId="6F97F065" w14:textId="77777777" w:rsidTr="00FA1511">
        <w:trPr>
          <w:trHeight w:val="20"/>
        </w:trPr>
        <w:tc>
          <w:tcPr>
            <w:tcW w:w="343" w:type="pct"/>
            <w:vMerge/>
            <w:shd w:val="clear" w:color="000000" w:fill="FFFFFF"/>
            <w:vAlign w:val="center"/>
          </w:tcPr>
          <w:p w14:paraId="292724F8"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p>
        </w:tc>
        <w:tc>
          <w:tcPr>
            <w:tcW w:w="720" w:type="pct"/>
            <w:vMerge/>
            <w:shd w:val="clear" w:color="000000" w:fill="FFFFFF"/>
            <w:vAlign w:val="center"/>
          </w:tcPr>
          <w:p w14:paraId="5DC209FF"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p>
        </w:tc>
        <w:tc>
          <w:tcPr>
            <w:tcW w:w="575" w:type="pct"/>
            <w:shd w:val="clear" w:color="000000" w:fill="FFFFFF"/>
            <w:noWrap/>
            <w:vAlign w:val="center"/>
          </w:tcPr>
          <w:p w14:paraId="7806558C"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w:t>
            </w:r>
          </w:p>
        </w:tc>
        <w:tc>
          <w:tcPr>
            <w:tcW w:w="431" w:type="pct"/>
            <w:shd w:val="clear" w:color="000000" w:fill="FFFFFF"/>
            <w:noWrap/>
            <w:vAlign w:val="center"/>
          </w:tcPr>
          <w:p w14:paraId="260CDADD"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w:t>
            </w:r>
          </w:p>
        </w:tc>
        <w:tc>
          <w:tcPr>
            <w:tcW w:w="432" w:type="pct"/>
            <w:shd w:val="clear" w:color="000000" w:fill="FFFFFF"/>
            <w:noWrap/>
            <w:vAlign w:val="center"/>
          </w:tcPr>
          <w:p w14:paraId="563525A1"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3</w:t>
            </w:r>
          </w:p>
        </w:tc>
        <w:tc>
          <w:tcPr>
            <w:tcW w:w="431" w:type="pct"/>
            <w:shd w:val="clear" w:color="000000" w:fill="FFFFFF"/>
            <w:noWrap/>
            <w:vAlign w:val="center"/>
          </w:tcPr>
          <w:p w14:paraId="4FF1670E"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4</w:t>
            </w:r>
          </w:p>
        </w:tc>
        <w:tc>
          <w:tcPr>
            <w:tcW w:w="505" w:type="pct"/>
            <w:shd w:val="clear" w:color="000000" w:fill="FFFFFF"/>
            <w:noWrap/>
            <w:vAlign w:val="center"/>
          </w:tcPr>
          <w:p w14:paraId="7B0B6E8E"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5</w:t>
            </w:r>
          </w:p>
        </w:tc>
        <w:tc>
          <w:tcPr>
            <w:tcW w:w="359" w:type="pct"/>
            <w:noWrap/>
            <w:vAlign w:val="center"/>
          </w:tcPr>
          <w:p w14:paraId="009D4210"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w:t>
            </w:r>
          </w:p>
        </w:tc>
        <w:tc>
          <w:tcPr>
            <w:tcW w:w="288" w:type="pct"/>
            <w:noWrap/>
            <w:vAlign w:val="center"/>
          </w:tcPr>
          <w:p w14:paraId="2BFC18AF"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w:t>
            </w:r>
          </w:p>
        </w:tc>
        <w:tc>
          <w:tcPr>
            <w:tcW w:w="287" w:type="pct"/>
            <w:noWrap/>
            <w:vAlign w:val="center"/>
          </w:tcPr>
          <w:p w14:paraId="014BC640"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3</w:t>
            </w:r>
          </w:p>
        </w:tc>
        <w:tc>
          <w:tcPr>
            <w:tcW w:w="288" w:type="pct"/>
            <w:noWrap/>
            <w:vAlign w:val="center"/>
          </w:tcPr>
          <w:p w14:paraId="5301279B"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4</w:t>
            </w:r>
          </w:p>
        </w:tc>
        <w:tc>
          <w:tcPr>
            <w:tcW w:w="341" w:type="pct"/>
            <w:noWrap/>
            <w:vAlign w:val="center"/>
          </w:tcPr>
          <w:p w14:paraId="6E5936CB"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5</w:t>
            </w:r>
          </w:p>
        </w:tc>
      </w:tr>
      <w:tr w:rsidR="00F00EB0" w:rsidRPr="00F00EB0" w14:paraId="595E4CB5" w14:textId="77777777" w:rsidTr="00FA1511">
        <w:trPr>
          <w:trHeight w:val="20"/>
        </w:trPr>
        <w:tc>
          <w:tcPr>
            <w:tcW w:w="343" w:type="pct"/>
            <w:vMerge w:val="restart"/>
            <w:shd w:val="clear" w:color="000000" w:fill="FFFFFF"/>
            <w:vAlign w:val="center"/>
            <w:hideMark/>
          </w:tcPr>
          <w:p w14:paraId="32EE4D33"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w:t>
            </w:r>
            <w:r w:rsidRPr="00F00EB0">
              <w:rPr>
                <w:rFonts w:ascii="Times New Roman" w:hAnsi="Times New Roman" w:cs="Times New Roman"/>
                <w:color w:val="000000" w:themeColor="text1"/>
                <w:sz w:val="24"/>
                <w:szCs w:val="24"/>
                <w:lang w:val="uk-UA"/>
              </w:rPr>
              <w:br/>
              <w:t>2019</w:t>
            </w:r>
          </w:p>
        </w:tc>
        <w:tc>
          <w:tcPr>
            <w:tcW w:w="720" w:type="pct"/>
            <w:shd w:val="clear" w:color="000000" w:fill="FFFFFF"/>
            <w:vAlign w:val="center"/>
            <w:hideMark/>
          </w:tcPr>
          <w:p w14:paraId="7B1476C3"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Сума кредитної заборгованості</w:t>
            </w:r>
          </w:p>
        </w:tc>
        <w:tc>
          <w:tcPr>
            <w:tcW w:w="575" w:type="pct"/>
            <w:shd w:val="clear" w:color="000000" w:fill="FFFFFF"/>
            <w:noWrap/>
            <w:vAlign w:val="center"/>
            <w:hideMark/>
          </w:tcPr>
          <w:p w14:paraId="5B1D23DB"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39864200</w:t>
            </w:r>
          </w:p>
        </w:tc>
        <w:tc>
          <w:tcPr>
            <w:tcW w:w="431" w:type="pct"/>
            <w:shd w:val="clear" w:color="000000" w:fill="FFFFFF"/>
            <w:noWrap/>
            <w:vAlign w:val="center"/>
            <w:hideMark/>
          </w:tcPr>
          <w:p w14:paraId="07F55CB5"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147779</w:t>
            </w:r>
          </w:p>
        </w:tc>
        <w:tc>
          <w:tcPr>
            <w:tcW w:w="432" w:type="pct"/>
            <w:shd w:val="clear" w:color="000000" w:fill="FFFFFF"/>
            <w:noWrap/>
            <w:vAlign w:val="center"/>
            <w:hideMark/>
          </w:tcPr>
          <w:p w14:paraId="6AF23E8E"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418704</w:t>
            </w:r>
          </w:p>
        </w:tc>
        <w:tc>
          <w:tcPr>
            <w:tcW w:w="431" w:type="pct"/>
            <w:shd w:val="clear" w:color="000000" w:fill="FFFFFF"/>
            <w:noWrap/>
            <w:vAlign w:val="center"/>
            <w:hideMark/>
          </w:tcPr>
          <w:p w14:paraId="6A56AD44"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257299</w:t>
            </w:r>
          </w:p>
        </w:tc>
        <w:tc>
          <w:tcPr>
            <w:tcW w:w="505" w:type="pct"/>
            <w:shd w:val="clear" w:color="000000" w:fill="FFFFFF"/>
            <w:noWrap/>
            <w:vAlign w:val="center"/>
            <w:hideMark/>
          </w:tcPr>
          <w:p w14:paraId="1A420842"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28942284</w:t>
            </w:r>
          </w:p>
        </w:tc>
        <w:tc>
          <w:tcPr>
            <w:tcW w:w="359" w:type="pct"/>
            <w:noWrap/>
            <w:vAlign w:val="center"/>
            <w:hideMark/>
          </w:tcPr>
          <w:p w14:paraId="72439DCC"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57,25</w:t>
            </w:r>
          </w:p>
        </w:tc>
        <w:tc>
          <w:tcPr>
            <w:tcW w:w="288" w:type="pct"/>
            <w:noWrap/>
            <w:vAlign w:val="center"/>
            <w:hideMark/>
          </w:tcPr>
          <w:p w14:paraId="27098270"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0,21</w:t>
            </w:r>
          </w:p>
        </w:tc>
        <w:tc>
          <w:tcPr>
            <w:tcW w:w="287" w:type="pct"/>
            <w:noWrap/>
            <w:vAlign w:val="center"/>
            <w:hideMark/>
          </w:tcPr>
          <w:p w14:paraId="32DDC8BF"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0,60</w:t>
            </w:r>
          </w:p>
        </w:tc>
        <w:tc>
          <w:tcPr>
            <w:tcW w:w="288" w:type="pct"/>
            <w:noWrap/>
            <w:vAlign w:val="center"/>
            <w:hideMark/>
          </w:tcPr>
          <w:p w14:paraId="016B1ADC"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0,37</w:t>
            </w:r>
          </w:p>
        </w:tc>
        <w:tc>
          <w:tcPr>
            <w:tcW w:w="341" w:type="pct"/>
            <w:noWrap/>
            <w:vAlign w:val="center"/>
            <w:hideMark/>
          </w:tcPr>
          <w:p w14:paraId="04F22ABD"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41,57</w:t>
            </w:r>
          </w:p>
        </w:tc>
      </w:tr>
      <w:tr w:rsidR="00F00EB0" w:rsidRPr="00F00EB0" w14:paraId="6FA70A09" w14:textId="77777777" w:rsidTr="00FA1511">
        <w:trPr>
          <w:trHeight w:val="20"/>
        </w:trPr>
        <w:tc>
          <w:tcPr>
            <w:tcW w:w="343" w:type="pct"/>
            <w:vMerge/>
            <w:vAlign w:val="center"/>
            <w:hideMark/>
          </w:tcPr>
          <w:p w14:paraId="11B19BFF"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p>
        </w:tc>
        <w:tc>
          <w:tcPr>
            <w:tcW w:w="720" w:type="pct"/>
            <w:shd w:val="clear" w:color="000000" w:fill="FFFFFF"/>
            <w:vAlign w:val="center"/>
            <w:hideMark/>
          </w:tcPr>
          <w:p w14:paraId="65BA50DD"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Кредитний ризик</w:t>
            </w:r>
          </w:p>
        </w:tc>
        <w:tc>
          <w:tcPr>
            <w:tcW w:w="575" w:type="pct"/>
            <w:shd w:val="clear" w:color="000000" w:fill="FFFFFF"/>
            <w:noWrap/>
            <w:vAlign w:val="center"/>
            <w:hideMark/>
          </w:tcPr>
          <w:p w14:paraId="37BD1636"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878 227</w:t>
            </w:r>
          </w:p>
        </w:tc>
        <w:tc>
          <w:tcPr>
            <w:tcW w:w="431" w:type="pct"/>
            <w:shd w:val="clear" w:color="000000" w:fill="FFFFFF"/>
            <w:noWrap/>
            <w:vAlign w:val="center"/>
            <w:hideMark/>
          </w:tcPr>
          <w:p w14:paraId="6C09ECFB"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21 632</w:t>
            </w:r>
          </w:p>
        </w:tc>
        <w:tc>
          <w:tcPr>
            <w:tcW w:w="432" w:type="pct"/>
            <w:shd w:val="clear" w:color="000000" w:fill="FFFFFF"/>
            <w:noWrap/>
            <w:vAlign w:val="center"/>
            <w:hideMark/>
          </w:tcPr>
          <w:p w14:paraId="53D55171"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144 998</w:t>
            </w:r>
          </w:p>
        </w:tc>
        <w:tc>
          <w:tcPr>
            <w:tcW w:w="431" w:type="pct"/>
            <w:shd w:val="clear" w:color="000000" w:fill="FFFFFF"/>
            <w:noWrap/>
            <w:vAlign w:val="center"/>
            <w:hideMark/>
          </w:tcPr>
          <w:p w14:paraId="39A24A6C"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164 941</w:t>
            </w:r>
          </w:p>
        </w:tc>
        <w:tc>
          <w:tcPr>
            <w:tcW w:w="505" w:type="pct"/>
            <w:shd w:val="clear" w:color="000000" w:fill="FFFFFF"/>
            <w:noWrap/>
            <w:vAlign w:val="center"/>
            <w:hideMark/>
          </w:tcPr>
          <w:p w14:paraId="220DDA11"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26261413</w:t>
            </w:r>
          </w:p>
        </w:tc>
        <w:tc>
          <w:tcPr>
            <w:tcW w:w="359" w:type="pct"/>
            <w:noWrap/>
            <w:vAlign w:val="center"/>
            <w:hideMark/>
          </w:tcPr>
          <w:p w14:paraId="087386EF"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3,20</w:t>
            </w:r>
          </w:p>
        </w:tc>
        <w:tc>
          <w:tcPr>
            <w:tcW w:w="288" w:type="pct"/>
            <w:noWrap/>
            <w:vAlign w:val="center"/>
            <w:hideMark/>
          </w:tcPr>
          <w:p w14:paraId="530C409C"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0,08</w:t>
            </w:r>
          </w:p>
        </w:tc>
        <w:tc>
          <w:tcPr>
            <w:tcW w:w="287" w:type="pct"/>
            <w:noWrap/>
            <w:vAlign w:val="center"/>
            <w:hideMark/>
          </w:tcPr>
          <w:p w14:paraId="18178CF2"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0,53</w:t>
            </w:r>
          </w:p>
        </w:tc>
        <w:tc>
          <w:tcPr>
            <w:tcW w:w="288" w:type="pct"/>
            <w:noWrap/>
            <w:vAlign w:val="center"/>
            <w:hideMark/>
          </w:tcPr>
          <w:p w14:paraId="5A86E572"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0,60</w:t>
            </w:r>
          </w:p>
        </w:tc>
        <w:tc>
          <w:tcPr>
            <w:tcW w:w="341" w:type="pct"/>
            <w:noWrap/>
            <w:vAlign w:val="center"/>
            <w:hideMark/>
          </w:tcPr>
          <w:p w14:paraId="041D35D6"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95,60</w:t>
            </w:r>
          </w:p>
        </w:tc>
      </w:tr>
      <w:tr w:rsidR="00F00EB0" w:rsidRPr="00F00EB0" w14:paraId="731378C8" w14:textId="77777777" w:rsidTr="00FA1511">
        <w:trPr>
          <w:trHeight w:val="20"/>
        </w:trPr>
        <w:tc>
          <w:tcPr>
            <w:tcW w:w="343" w:type="pct"/>
            <w:vMerge w:val="restart"/>
            <w:shd w:val="clear" w:color="000000" w:fill="FFFFFF"/>
            <w:vAlign w:val="center"/>
            <w:hideMark/>
          </w:tcPr>
          <w:p w14:paraId="7638FD6B"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w:t>
            </w:r>
            <w:r w:rsidRPr="00F00EB0">
              <w:rPr>
                <w:rFonts w:ascii="Times New Roman" w:hAnsi="Times New Roman" w:cs="Times New Roman"/>
                <w:color w:val="000000" w:themeColor="text1"/>
                <w:sz w:val="24"/>
                <w:szCs w:val="24"/>
                <w:lang w:val="uk-UA"/>
              </w:rPr>
              <w:br/>
              <w:t>2020</w:t>
            </w:r>
          </w:p>
        </w:tc>
        <w:tc>
          <w:tcPr>
            <w:tcW w:w="720" w:type="pct"/>
            <w:shd w:val="clear" w:color="000000" w:fill="FFFFFF"/>
            <w:vAlign w:val="center"/>
            <w:hideMark/>
          </w:tcPr>
          <w:p w14:paraId="035EDF58"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Сума кредитної заборгованості</w:t>
            </w:r>
          </w:p>
        </w:tc>
        <w:tc>
          <w:tcPr>
            <w:tcW w:w="575" w:type="pct"/>
            <w:shd w:val="clear" w:color="000000" w:fill="FFFFFF"/>
            <w:noWrap/>
            <w:vAlign w:val="center"/>
            <w:hideMark/>
          </w:tcPr>
          <w:p w14:paraId="69AAF4FA"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47 795 923</w:t>
            </w:r>
          </w:p>
        </w:tc>
        <w:tc>
          <w:tcPr>
            <w:tcW w:w="431" w:type="pct"/>
            <w:shd w:val="clear" w:color="000000" w:fill="FFFFFF"/>
            <w:noWrap/>
            <w:vAlign w:val="center"/>
            <w:hideMark/>
          </w:tcPr>
          <w:p w14:paraId="5E851BFF"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78 681</w:t>
            </w:r>
          </w:p>
        </w:tc>
        <w:tc>
          <w:tcPr>
            <w:tcW w:w="432" w:type="pct"/>
            <w:shd w:val="clear" w:color="000000" w:fill="FFFFFF"/>
            <w:noWrap/>
            <w:vAlign w:val="center"/>
            <w:hideMark/>
          </w:tcPr>
          <w:p w14:paraId="338FE52C"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359 049</w:t>
            </w:r>
          </w:p>
        </w:tc>
        <w:tc>
          <w:tcPr>
            <w:tcW w:w="431" w:type="pct"/>
            <w:shd w:val="clear" w:color="000000" w:fill="FFFFFF"/>
            <w:noWrap/>
            <w:vAlign w:val="center"/>
            <w:hideMark/>
          </w:tcPr>
          <w:p w14:paraId="3257932A"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240 805</w:t>
            </w:r>
          </w:p>
        </w:tc>
        <w:tc>
          <w:tcPr>
            <w:tcW w:w="505" w:type="pct"/>
            <w:shd w:val="clear" w:color="000000" w:fill="FFFFFF"/>
            <w:noWrap/>
            <w:vAlign w:val="center"/>
            <w:hideMark/>
          </w:tcPr>
          <w:p w14:paraId="64B5855A"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26345741</w:t>
            </w:r>
          </w:p>
        </w:tc>
        <w:tc>
          <w:tcPr>
            <w:tcW w:w="359" w:type="pct"/>
            <w:noWrap/>
            <w:vAlign w:val="center"/>
            <w:hideMark/>
          </w:tcPr>
          <w:p w14:paraId="22C9B865"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63,88</w:t>
            </w:r>
          </w:p>
        </w:tc>
        <w:tc>
          <w:tcPr>
            <w:tcW w:w="288" w:type="pct"/>
            <w:noWrap/>
            <w:vAlign w:val="center"/>
            <w:hideMark/>
          </w:tcPr>
          <w:p w14:paraId="2FB3C758"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0,11</w:t>
            </w:r>
          </w:p>
        </w:tc>
        <w:tc>
          <w:tcPr>
            <w:tcW w:w="287" w:type="pct"/>
            <w:noWrap/>
            <w:vAlign w:val="center"/>
            <w:hideMark/>
          </w:tcPr>
          <w:p w14:paraId="1EF34DD7"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0,48</w:t>
            </w:r>
          </w:p>
        </w:tc>
        <w:tc>
          <w:tcPr>
            <w:tcW w:w="288" w:type="pct"/>
            <w:noWrap/>
            <w:vAlign w:val="center"/>
            <w:hideMark/>
          </w:tcPr>
          <w:p w14:paraId="76FE06E5"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0,32</w:t>
            </w:r>
          </w:p>
        </w:tc>
        <w:tc>
          <w:tcPr>
            <w:tcW w:w="341" w:type="pct"/>
            <w:noWrap/>
            <w:vAlign w:val="center"/>
            <w:hideMark/>
          </w:tcPr>
          <w:p w14:paraId="0A5B7E93"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35,21</w:t>
            </w:r>
          </w:p>
        </w:tc>
      </w:tr>
      <w:tr w:rsidR="00F00EB0" w:rsidRPr="00F00EB0" w14:paraId="4D6A069B" w14:textId="77777777" w:rsidTr="00FA1511">
        <w:trPr>
          <w:trHeight w:val="20"/>
        </w:trPr>
        <w:tc>
          <w:tcPr>
            <w:tcW w:w="343" w:type="pct"/>
            <w:vMerge/>
            <w:vAlign w:val="center"/>
            <w:hideMark/>
          </w:tcPr>
          <w:p w14:paraId="4D0D9760"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p>
        </w:tc>
        <w:tc>
          <w:tcPr>
            <w:tcW w:w="720" w:type="pct"/>
            <w:shd w:val="clear" w:color="000000" w:fill="FFFFFF"/>
            <w:vAlign w:val="center"/>
            <w:hideMark/>
          </w:tcPr>
          <w:p w14:paraId="1D752E7F"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Кредитний ризик</w:t>
            </w:r>
          </w:p>
        </w:tc>
        <w:tc>
          <w:tcPr>
            <w:tcW w:w="575" w:type="pct"/>
            <w:shd w:val="clear" w:color="000000" w:fill="FFFFFF"/>
            <w:noWrap/>
            <w:vAlign w:val="center"/>
            <w:hideMark/>
          </w:tcPr>
          <w:p w14:paraId="338571D7"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916 731</w:t>
            </w:r>
          </w:p>
        </w:tc>
        <w:tc>
          <w:tcPr>
            <w:tcW w:w="431" w:type="pct"/>
            <w:shd w:val="clear" w:color="000000" w:fill="FFFFFF"/>
            <w:noWrap/>
            <w:vAlign w:val="center"/>
            <w:hideMark/>
          </w:tcPr>
          <w:p w14:paraId="216D0552"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15 445</w:t>
            </w:r>
          </w:p>
        </w:tc>
        <w:tc>
          <w:tcPr>
            <w:tcW w:w="432" w:type="pct"/>
            <w:shd w:val="clear" w:color="000000" w:fill="FFFFFF"/>
            <w:noWrap/>
            <w:vAlign w:val="center"/>
            <w:hideMark/>
          </w:tcPr>
          <w:p w14:paraId="6E71E7D0"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118 153</w:t>
            </w:r>
          </w:p>
        </w:tc>
        <w:tc>
          <w:tcPr>
            <w:tcW w:w="431" w:type="pct"/>
            <w:shd w:val="clear" w:color="000000" w:fill="FFFFFF"/>
            <w:noWrap/>
            <w:vAlign w:val="center"/>
            <w:hideMark/>
          </w:tcPr>
          <w:p w14:paraId="22D70C47"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148 100</w:t>
            </w:r>
          </w:p>
        </w:tc>
        <w:tc>
          <w:tcPr>
            <w:tcW w:w="505" w:type="pct"/>
            <w:shd w:val="clear" w:color="000000" w:fill="FFFFFF"/>
            <w:noWrap/>
            <w:vAlign w:val="center"/>
            <w:hideMark/>
          </w:tcPr>
          <w:p w14:paraId="2EFEC10F"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25897873</w:t>
            </w:r>
          </w:p>
        </w:tc>
        <w:tc>
          <w:tcPr>
            <w:tcW w:w="359" w:type="pct"/>
            <w:noWrap/>
            <w:vAlign w:val="center"/>
            <w:hideMark/>
          </w:tcPr>
          <w:p w14:paraId="7E4117F0"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3,38</w:t>
            </w:r>
          </w:p>
        </w:tc>
        <w:tc>
          <w:tcPr>
            <w:tcW w:w="288" w:type="pct"/>
            <w:noWrap/>
            <w:vAlign w:val="center"/>
            <w:hideMark/>
          </w:tcPr>
          <w:p w14:paraId="22405AEF"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0,06</w:t>
            </w:r>
          </w:p>
        </w:tc>
        <w:tc>
          <w:tcPr>
            <w:tcW w:w="287" w:type="pct"/>
            <w:noWrap/>
            <w:vAlign w:val="center"/>
            <w:hideMark/>
          </w:tcPr>
          <w:p w14:paraId="19ED4956"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0,44</w:t>
            </w:r>
          </w:p>
        </w:tc>
        <w:tc>
          <w:tcPr>
            <w:tcW w:w="288" w:type="pct"/>
            <w:noWrap/>
            <w:vAlign w:val="center"/>
            <w:hideMark/>
          </w:tcPr>
          <w:p w14:paraId="3F2318CC"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0,55</w:t>
            </w:r>
          </w:p>
        </w:tc>
        <w:tc>
          <w:tcPr>
            <w:tcW w:w="341" w:type="pct"/>
            <w:noWrap/>
            <w:vAlign w:val="center"/>
            <w:hideMark/>
          </w:tcPr>
          <w:p w14:paraId="407B188F"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95,58</w:t>
            </w:r>
          </w:p>
        </w:tc>
      </w:tr>
      <w:tr w:rsidR="00F00EB0" w:rsidRPr="00F00EB0" w14:paraId="38902107" w14:textId="77777777" w:rsidTr="00FA1511">
        <w:trPr>
          <w:trHeight w:val="20"/>
        </w:trPr>
        <w:tc>
          <w:tcPr>
            <w:tcW w:w="343" w:type="pct"/>
            <w:vMerge w:val="restart"/>
            <w:vAlign w:val="center"/>
            <w:hideMark/>
          </w:tcPr>
          <w:p w14:paraId="778C4E48"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w:t>
            </w:r>
            <w:r w:rsidRPr="00F00EB0">
              <w:rPr>
                <w:rFonts w:ascii="Times New Roman" w:hAnsi="Times New Roman" w:cs="Times New Roman"/>
                <w:color w:val="000000" w:themeColor="text1"/>
                <w:sz w:val="24"/>
                <w:szCs w:val="24"/>
                <w:lang w:val="uk-UA"/>
              </w:rPr>
              <w:br/>
              <w:t>2021</w:t>
            </w:r>
          </w:p>
        </w:tc>
        <w:tc>
          <w:tcPr>
            <w:tcW w:w="720" w:type="pct"/>
            <w:shd w:val="clear" w:color="000000" w:fill="FFFFFF"/>
            <w:vAlign w:val="center"/>
            <w:hideMark/>
          </w:tcPr>
          <w:p w14:paraId="5CA42886"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Сума кредитної заборгованості</w:t>
            </w:r>
          </w:p>
        </w:tc>
        <w:tc>
          <w:tcPr>
            <w:tcW w:w="575" w:type="pct"/>
            <w:shd w:val="clear" w:color="000000" w:fill="FFFFFF"/>
            <w:noWrap/>
            <w:vAlign w:val="center"/>
            <w:hideMark/>
          </w:tcPr>
          <w:p w14:paraId="20B38D00"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45 047 358</w:t>
            </w:r>
          </w:p>
        </w:tc>
        <w:tc>
          <w:tcPr>
            <w:tcW w:w="431" w:type="pct"/>
            <w:shd w:val="clear" w:color="000000" w:fill="FFFFFF"/>
            <w:noWrap/>
            <w:vAlign w:val="center"/>
            <w:hideMark/>
          </w:tcPr>
          <w:p w14:paraId="2334F731"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68 643</w:t>
            </w:r>
          </w:p>
        </w:tc>
        <w:tc>
          <w:tcPr>
            <w:tcW w:w="432" w:type="pct"/>
            <w:shd w:val="clear" w:color="000000" w:fill="FFFFFF"/>
            <w:noWrap/>
            <w:vAlign w:val="center"/>
            <w:hideMark/>
          </w:tcPr>
          <w:p w14:paraId="41FBE380"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205 608</w:t>
            </w:r>
          </w:p>
        </w:tc>
        <w:tc>
          <w:tcPr>
            <w:tcW w:w="431" w:type="pct"/>
            <w:shd w:val="clear" w:color="000000" w:fill="FFFFFF"/>
            <w:noWrap/>
            <w:vAlign w:val="center"/>
            <w:hideMark/>
          </w:tcPr>
          <w:p w14:paraId="77537106"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145 454</w:t>
            </w:r>
          </w:p>
        </w:tc>
        <w:tc>
          <w:tcPr>
            <w:tcW w:w="505" w:type="pct"/>
            <w:shd w:val="clear" w:color="000000" w:fill="FFFFFF"/>
            <w:noWrap/>
            <w:vAlign w:val="center"/>
            <w:hideMark/>
          </w:tcPr>
          <w:p w14:paraId="5723F6FA"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13103531</w:t>
            </w:r>
          </w:p>
        </w:tc>
        <w:tc>
          <w:tcPr>
            <w:tcW w:w="359" w:type="pct"/>
            <w:noWrap/>
            <w:vAlign w:val="center"/>
            <w:hideMark/>
          </w:tcPr>
          <w:p w14:paraId="19C6C225"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76,91</w:t>
            </w:r>
          </w:p>
        </w:tc>
        <w:tc>
          <w:tcPr>
            <w:tcW w:w="288" w:type="pct"/>
            <w:noWrap/>
            <w:vAlign w:val="center"/>
            <w:hideMark/>
          </w:tcPr>
          <w:p w14:paraId="7912B970"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0,12</w:t>
            </w:r>
          </w:p>
        </w:tc>
        <w:tc>
          <w:tcPr>
            <w:tcW w:w="287" w:type="pct"/>
            <w:noWrap/>
            <w:vAlign w:val="center"/>
            <w:hideMark/>
          </w:tcPr>
          <w:p w14:paraId="5E610023"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0,35</w:t>
            </w:r>
          </w:p>
        </w:tc>
        <w:tc>
          <w:tcPr>
            <w:tcW w:w="288" w:type="pct"/>
            <w:noWrap/>
            <w:vAlign w:val="center"/>
            <w:hideMark/>
          </w:tcPr>
          <w:p w14:paraId="4A4F21B2"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0,25</w:t>
            </w:r>
          </w:p>
        </w:tc>
        <w:tc>
          <w:tcPr>
            <w:tcW w:w="341" w:type="pct"/>
            <w:noWrap/>
            <w:vAlign w:val="center"/>
            <w:hideMark/>
          </w:tcPr>
          <w:p w14:paraId="58CC817B"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22,37</w:t>
            </w:r>
          </w:p>
        </w:tc>
      </w:tr>
      <w:tr w:rsidR="00F00EB0" w:rsidRPr="00F00EB0" w14:paraId="610BF204" w14:textId="77777777" w:rsidTr="00FA1511">
        <w:trPr>
          <w:trHeight w:val="20"/>
        </w:trPr>
        <w:tc>
          <w:tcPr>
            <w:tcW w:w="343" w:type="pct"/>
            <w:vMerge/>
            <w:vAlign w:val="center"/>
            <w:hideMark/>
          </w:tcPr>
          <w:p w14:paraId="0C4FDF1D"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p>
        </w:tc>
        <w:tc>
          <w:tcPr>
            <w:tcW w:w="720" w:type="pct"/>
            <w:shd w:val="clear" w:color="000000" w:fill="FFFFFF"/>
            <w:vAlign w:val="center"/>
            <w:hideMark/>
          </w:tcPr>
          <w:p w14:paraId="6F2F1FA4"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Кредитний ризик</w:t>
            </w:r>
          </w:p>
        </w:tc>
        <w:tc>
          <w:tcPr>
            <w:tcW w:w="575" w:type="pct"/>
            <w:shd w:val="clear" w:color="000000" w:fill="FFFFFF"/>
            <w:noWrap/>
            <w:vAlign w:val="center"/>
            <w:hideMark/>
          </w:tcPr>
          <w:p w14:paraId="7DDDDB0C"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839 591</w:t>
            </w:r>
          </w:p>
        </w:tc>
        <w:tc>
          <w:tcPr>
            <w:tcW w:w="431" w:type="pct"/>
            <w:shd w:val="clear" w:color="000000" w:fill="FFFFFF"/>
            <w:noWrap/>
            <w:vAlign w:val="center"/>
            <w:hideMark/>
          </w:tcPr>
          <w:p w14:paraId="432960F5"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8 688</w:t>
            </w:r>
          </w:p>
        </w:tc>
        <w:tc>
          <w:tcPr>
            <w:tcW w:w="432" w:type="pct"/>
            <w:shd w:val="clear" w:color="000000" w:fill="FFFFFF"/>
            <w:noWrap/>
            <w:vAlign w:val="center"/>
            <w:hideMark/>
          </w:tcPr>
          <w:p w14:paraId="25796BC0"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66 152</w:t>
            </w:r>
          </w:p>
        </w:tc>
        <w:tc>
          <w:tcPr>
            <w:tcW w:w="431" w:type="pct"/>
            <w:shd w:val="clear" w:color="000000" w:fill="FFFFFF"/>
            <w:noWrap/>
            <w:vAlign w:val="center"/>
            <w:hideMark/>
          </w:tcPr>
          <w:p w14:paraId="3E2768EF"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85 518</w:t>
            </w:r>
          </w:p>
        </w:tc>
        <w:tc>
          <w:tcPr>
            <w:tcW w:w="505" w:type="pct"/>
            <w:shd w:val="clear" w:color="000000" w:fill="FFFFFF"/>
            <w:noWrap/>
            <w:vAlign w:val="center"/>
            <w:hideMark/>
          </w:tcPr>
          <w:p w14:paraId="08F17DE8"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12717128</w:t>
            </w:r>
          </w:p>
        </w:tc>
        <w:tc>
          <w:tcPr>
            <w:tcW w:w="359" w:type="pct"/>
            <w:noWrap/>
            <w:vAlign w:val="center"/>
            <w:hideMark/>
          </w:tcPr>
          <w:p w14:paraId="3377E208"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6,12</w:t>
            </w:r>
          </w:p>
        </w:tc>
        <w:tc>
          <w:tcPr>
            <w:tcW w:w="288" w:type="pct"/>
            <w:noWrap/>
            <w:vAlign w:val="center"/>
            <w:hideMark/>
          </w:tcPr>
          <w:p w14:paraId="192721F4"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0,06</w:t>
            </w:r>
          </w:p>
        </w:tc>
        <w:tc>
          <w:tcPr>
            <w:tcW w:w="287" w:type="pct"/>
            <w:noWrap/>
            <w:vAlign w:val="center"/>
            <w:hideMark/>
          </w:tcPr>
          <w:p w14:paraId="0D4E4757"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0,48</w:t>
            </w:r>
          </w:p>
        </w:tc>
        <w:tc>
          <w:tcPr>
            <w:tcW w:w="288" w:type="pct"/>
            <w:noWrap/>
            <w:vAlign w:val="center"/>
            <w:hideMark/>
          </w:tcPr>
          <w:p w14:paraId="0F1382D7"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0,62</w:t>
            </w:r>
          </w:p>
        </w:tc>
        <w:tc>
          <w:tcPr>
            <w:tcW w:w="341" w:type="pct"/>
            <w:noWrap/>
            <w:vAlign w:val="center"/>
            <w:hideMark/>
          </w:tcPr>
          <w:p w14:paraId="7A8F285A"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92,71</w:t>
            </w:r>
          </w:p>
        </w:tc>
      </w:tr>
      <w:tr w:rsidR="00F00EB0" w:rsidRPr="00F00EB0" w14:paraId="1CFB097A" w14:textId="77777777" w:rsidTr="00FA1511">
        <w:trPr>
          <w:trHeight w:val="20"/>
        </w:trPr>
        <w:tc>
          <w:tcPr>
            <w:tcW w:w="343" w:type="pct"/>
            <w:vMerge w:val="restart"/>
            <w:shd w:val="clear" w:color="000000" w:fill="FFFFFF"/>
            <w:vAlign w:val="center"/>
            <w:hideMark/>
          </w:tcPr>
          <w:p w14:paraId="22505DE5"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w:t>
            </w:r>
            <w:r w:rsidRPr="00F00EB0">
              <w:rPr>
                <w:rFonts w:ascii="Times New Roman" w:hAnsi="Times New Roman" w:cs="Times New Roman"/>
                <w:color w:val="000000" w:themeColor="text1"/>
                <w:sz w:val="24"/>
                <w:szCs w:val="24"/>
                <w:lang w:val="uk-UA"/>
              </w:rPr>
              <w:br/>
              <w:t>2022</w:t>
            </w:r>
          </w:p>
        </w:tc>
        <w:tc>
          <w:tcPr>
            <w:tcW w:w="720" w:type="pct"/>
            <w:shd w:val="clear" w:color="000000" w:fill="FFFFFF"/>
            <w:vAlign w:val="center"/>
            <w:hideMark/>
          </w:tcPr>
          <w:p w14:paraId="002ED6E3"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Сума кредитної заборгованості</w:t>
            </w:r>
          </w:p>
        </w:tc>
        <w:tc>
          <w:tcPr>
            <w:tcW w:w="575" w:type="pct"/>
            <w:shd w:val="clear" w:color="000000" w:fill="FFFFFF"/>
            <w:noWrap/>
            <w:vAlign w:val="center"/>
            <w:hideMark/>
          </w:tcPr>
          <w:p w14:paraId="1FF67AE3"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57 752 630</w:t>
            </w:r>
          </w:p>
        </w:tc>
        <w:tc>
          <w:tcPr>
            <w:tcW w:w="431" w:type="pct"/>
            <w:shd w:val="clear" w:color="000000" w:fill="FFFFFF"/>
            <w:noWrap/>
            <w:vAlign w:val="center"/>
            <w:hideMark/>
          </w:tcPr>
          <w:p w14:paraId="4DD527B0"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92 187</w:t>
            </w:r>
          </w:p>
        </w:tc>
        <w:tc>
          <w:tcPr>
            <w:tcW w:w="432" w:type="pct"/>
            <w:shd w:val="clear" w:color="000000" w:fill="FFFFFF"/>
            <w:noWrap/>
            <w:vAlign w:val="center"/>
            <w:hideMark/>
          </w:tcPr>
          <w:p w14:paraId="05606F45"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241 038</w:t>
            </w:r>
          </w:p>
        </w:tc>
        <w:tc>
          <w:tcPr>
            <w:tcW w:w="431" w:type="pct"/>
            <w:shd w:val="clear" w:color="000000" w:fill="FFFFFF"/>
            <w:noWrap/>
            <w:vAlign w:val="center"/>
            <w:hideMark/>
          </w:tcPr>
          <w:p w14:paraId="5F9965DC"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154 555</w:t>
            </w:r>
          </w:p>
        </w:tc>
        <w:tc>
          <w:tcPr>
            <w:tcW w:w="505" w:type="pct"/>
            <w:shd w:val="clear" w:color="000000" w:fill="FFFFFF"/>
            <w:noWrap/>
            <w:vAlign w:val="center"/>
            <w:hideMark/>
          </w:tcPr>
          <w:p w14:paraId="1AE580D1"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9 904 405</w:t>
            </w:r>
          </w:p>
        </w:tc>
        <w:tc>
          <w:tcPr>
            <w:tcW w:w="359" w:type="pct"/>
            <w:noWrap/>
            <w:vAlign w:val="center"/>
            <w:hideMark/>
          </w:tcPr>
          <w:p w14:paraId="718B87DF"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84,75</w:t>
            </w:r>
          </w:p>
        </w:tc>
        <w:tc>
          <w:tcPr>
            <w:tcW w:w="288" w:type="pct"/>
            <w:noWrap/>
            <w:vAlign w:val="center"/>
            <w:hideMark/>
          </w:tcPr>
          <w:p w14:paraId="10E86DD3"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0,14</w:t>
            </w:r>
          </w:p>
        </w:tc>
        <w:tc>
          <w:tcPr>
            <w:tcW w:w="287" w:type="pct"/>
            <w:noWrap/>
            <w:vAlign w:val="center"/>
            <w:hideMark/>
          </w:tcPr>
          <w:p w14:paraId="3FC9FC36"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0,35</w:t>
            </w:r>
          </w:p>
        </w:tc>
        <w:tc>
          <w:tcPr>
            <w:tcW w:w="288" w:type="pct"/>
            <w:noWrap/>
            <w:vAlign w:val="center"/>
            <w:hideMark/>
          </w:tcPr>
          <w:p w14:paraId="42DD852D"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0,23</w:t>
            </w:r>
          </w:p>
        </w:tc>
        <w:tc>
          <w:tcPr>
            <w:tcW w:w="341" w:type="pct"/>
            <w:noWrap/>
            <w:vAlign w:val="center"/>
            <w:hideMark/>
          </w:tcPr>
          <w:p w14:paraId="474AD5DB"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14,53</w:t>
            </w:r>
          </w:p>
        </w:tc>
      </w:tr>
      <w:tr w:rsidR="00F00EB0" w:rsidRPr="00F00EB0" w14:paraId="47ED550D" w14:textId="77777777" w:rsidTr="00FA1511">
        <w:trPr>
          <w:trHeight w:val="20"/>
        </w:trPr>
        <w:tc>
          <w:tcPr>
            <w:tcW w:w="343" w:type="pct"/>
            <w:vMerge/>
            <w:vAlign w:val="center"/>
            <w:hideMark/>
          </w:tcPr>
          <w:p w14:paraId="65A75BC5"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p>
        </w:tc>
        <w:tc>
          <w:tcPr>
            <w:tcW w:w="720" w:type="pct"/>
            <w:shd w:val="clear" w:color="000000" w:fill="FFFFFF"/>
            <w:vAlign w:val="center"/>
            <w:hideMark/>
          </w:tcPr>
          <w:p w14:paraId="60787539"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Кредитний ризик</w:t>
            </w:r>
          </w:p>
        </w:tc>
        <w:tc>
          <w:tcPr>
            <w:tcW w:w="575" w:type="pct"/>
            <w:shd w:val="clear" w:color="000000" w:fill="FFFFFF"/>
            <w:noWrap/>
            <w:vAlign w:val="center"/>
            <w:hideMark/>
          </w:tcPr>
          <w:p w14:paraId="0835F1B0"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1 046 765</w:t>
            </w:r>
          </w:p>
        </w:tc>
        <w:tc>
          <w:tcPr>
            <w:tcW w:w="431" w:type="pct"/>
            <w:shd w:val="clear" w:color="000000" w:fill="FFFFFF"/>
            <w:noWrap/>
            <w:vAlign w:val="center"/>
            <w:hideMark/>
          </w:tcPr>
          <w:p w14:paraId="1885A895"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7 256</w:t>
            </w:r>
          </w:p>
        </w:tc>
        <w:tc>
          <w:tcPr>
            <w:tcW w:w="432" w:type="pct"/>
            <w:shd w:val="clear" w:color="000000" w:fill="FFFFFF"/>
            <w:noWrap/>
            <w:vAlign w:val="center"/>
            <w:hideMark/>
          </w:tcPr>
          <w:p w14:paraId="5AA12615"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77 291</w:t>
            </w:r>
          </w:p>
        </w:tc>
        <w:tc>
          <w:tcPr>
            <w:tcW w:w="431" w:type="pct"/>
            <w:shd w:val="clear" w:color="000000" w:fill="FFFFFF"/>
            <w:noWrap/>
            <w:vAlign w:val="center"/>
            <w:hideMark/>
          </w:tcPr>
          <w:p w14:paraId="733ED82E"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88 281</w:t>
            </w:r>
          </w:p>
        </w:tc>
        <w:tc>
          <w:tcPr>
            <w:tcW w:w="505" w:type="pct"/>
            <w:shd w:val="clear" w:color="000000" w:fill="FFFFFF"/>
            <w:noWrap/>
            <w:vAlign w:val="center"/>
            <w:hideMark/>
          </w:tcPr>
          <w:p w14:paraId="4CF853C6"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9 622 732</w:t>
            </w:r>
          </w:p>
        </w:tc>
        <w:tc>
          <w:tcPr>
            <w:tcW w:w="359" w:type="pct"/>
            <w:noWrap/>
            <w:vAlign w:val="center"/>
            <w:hideMark/>
          </w:tcPr>
          <w:p w14:paraId="6DB29E88"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9,65</w:t>
            </w:r>
          </w:p>
        </w:tc>
        <w:tc>
          <w:tcPr>
            <w:tcW w:w="288" w:type="pct"/>
            <w:noWrap/>
            <w:vAlign w:val="center"/>
            <w:hideMark/>
          </w:tcPr>
          <w:p w14:paraId="7878ABCF"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0,07</w:t>
            </w:r>
          </w:p>
        </w:tc>
        <w:tc>
          <w:tcPr>
            <w:tcW w:w="287" w:type="pct"/>
            <w:noWrap/>
            <w:vAlign w:val="center"/>
            <w:hideMark/>
          </w:tcPr>
          <w:p w14:paraId="48640D53"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0,71</w:t>
            </w:r>
          </w:p>
        </w:tc>
        <w:tc>
          <w:tcPr>
            <w:tcW w:w="288" w:type="pct"/>
            <w:noWrap/>
            <w:vAlign w:val="center"/>
            <w:hideMark/>
          </w:tcPr>
          <w:p w14:paraId="415FFCFF"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0,81</w:t>
            </w:r>
          </w:p>
        </w:tc>
        <w:tc>
          <w:tcPr>
            <w:tcW w:w="341" w:type="pct"/>
            <w:noWrap/>
            <w:vAlign w:val="center"/>
            <w:hideMark/>
          </w:tcPr>
          <w:p w14:paraId="1A79A64B"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88,75</w:t>
            </w:r>
          </w:p>
        </w:tc>
      </w:tr>
      <w:tr w:rsidR="00F00EB0" w:rsidRPr="00F00EB0" w14:paraId="587D7BE5" w14:textId="77777777" w:rsidTr="00FA1511">
        <w:trPr>
          <w:trHeight w:val="20"/>
        </w:trPr>
        <w:tc>
          <w:tcPr>
            <w:tcW w:w="343" w:type="pct"/>
            <w:vMerge w:val="restart"/>
            <w:shd w:val="clear" w:color="000000" w:fill="FFFFFF"/>
            <w:vAlign w:val="center"/>
            <w:hideMark/>
          </w:tcPr>
          <w:p w14:paraId="76E4AA56"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w:t>
            </w:r>
            <w:r w:rsidRPr="00F00EB0">
              <w:rPr>
                <w:rFonts w:ascii="Times New Roman" w:hAnsi="Times New Roman" w:cs="Times New Roman"/>
                <w:color w:val="000000" w:themeColor="text1"/>
                <w:sz w:val="24"/>
                <w:szCs w:val="24"/>
                <w:lang w:val="uk-UA"/>
              </w:rPr>
              <w:br/>
              <w:t>2023</w:t>
            </w:r>
          </w:p>
        </w:tc>
        <w:tc>
          <w:tcPr>
            <w:tcW w:w="720" w:type="pct"/>
            <w:shd w:val="clear" w:color="000000" w:fill="FFFFFF"/>
            <w:vAlign w:val="center"/>
            <w:hideMark/>
          </w:tcPr>
          <w:p w14:paraId="3D67A48C"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Сума кредитної заборгованості</w:t>
            </w:r>
          </w:p>
        </w:tc>
        <w:tc>
          <w:tcPr>
            <w:tcW w:w="575" w:type="pct"/>
            <w:shd w:val="clear" w:color="000000" w:fill="FFFFFF"/>
            <w:noWrap/>
            <w:vAlign w:val="center"/>
            <w:hideMark/>
          </w:tcPr>
          <w:p w14:paraId="4C2059B6"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50 553 058</w:t>
            </w:r>
          </w:p>
        </w:tc>
        <w:tc>
          <w:tcPr>
            <w:tcW w:w="431" w:type="pct"/>
            <w:shd w:val="clear" w:color="000000" w:fill="FFFFFF"/>
            <w:noWrap/>
            <w:vAlign w:val="center"/>
            <w:hideMark/>
          </w:tcPr>
          <w:p w14:paraId="101E8691"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141 112</w:t>
            </w:r>
          </w:p>
        </w:tc>
        <w:tc>
          <w:tcPr>
            <w:tcW w:w="432" w:type="pct"/>
            <w:shd w:val="clear" w:color="000000" w:fill="FFFFFF"/>
            <w:noWrap/>
            <w:vAlign w:val="center"/>
            <w:hideMark/>
          </w:tcPr>
          <w:p w14:paraId="7E1D2E48"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580 382</w:t>
            </w:r>
          </w:p>
        </w:tc>
        <w:tc>
          <w:tcPr>
            <w:tcW w:w="431" w:type="pct"/>
            <w:shd w:val="clear" w:color="000000" w:fill="FFFFFF"/>
            <w:noWrap/>
            <w:vAlign w:val="center"/>
            <w:hideMark/>
          </w:tcPr>
          <w:p w14:paraId="4085768B"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378 479</w:t>
            </w:r>
          </w:p>
        </w:tc>
        <w:tc>
          <w:tcPr>
            <w:tcW w:w="505" w:type="pct"/>
            <w:shd w:val="clear" w:color="000000" w:fill="FFFFFF"/>
            <w:noWrap/>
            <w:vAlign w:val="center"/>
            <w:hideMark/>
          </w:tcPr>
          <w:p w14:paraId="5B218C09"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9373866</w:t>
            </w:r>
          </w:p>
        </w:tc>
        <w:tc>
          <w:tcPr>
            <w:tcW w:w="359" w:type="pct"/>
            <w:noWrap/>
            <w:vAlign w:val="center"/>
            <w:hideMark/>
          </w:tcPr>
          <w:p w14:paraId="3106116F"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82,84</w:t>
            </w:r>
          </w:p>
        </w:tc>
        <w:tc>
          <w:tcPr>
            <w:tcW w:w="288" w:type="pct"/>
            <w:noWrap/>
            <w:vAlign w:val="center"/>
            <w:hideMark/>
          </w:tcPr>
          <w:p w14:paraId="50D792D5"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0,23</w:t>
            </w:r>
          </w:p>
        </w:tc>
        <w:tc>
          <w:tcPr>
            <w:tcW w:w="287" w:type="pct"/>
            <w:noWrap/>
            <w:vAlign w:val="center"/>
            <w:hideMark/>
          </w:tcPr>
          <w:p w14:paraId="7928E877"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0,95</w:t>
            </w:r>
          </w:p>
        </w:tc>
        <w:tc>
          <w:tcPr>
            <w:tcW w:w="288" w:type="pct"/>
            <w:noWrap/>
            <w:vAlign w:val="center"/>
            <w:hideMark/>
          </w:tcPr>
          <w:p w14:paraId="316B1D6F"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0,62</w:t>
            </w:r>
          </w:p>
        </w:tc>
        <w:tc>
          <w:tcPr>
            <w:tcW w:w="341" w:type="pct"/>
            <w:noWrap/>
            <w:vAlign w:val="center"/>
            <w:hideMark/>
          </w:tcPr>
          <w:p w14:paraId="7554FD11"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15,36</w:t>
            </w:r>
          </w:p>
        </w:tc>
      </w:tr>
      <w:tr w:rsidR="00F00EB0" w:rsidRPr="00F00EB0" w14:paraId="6E7B9509" w14:textId="77777777" w:rsidTr="00FA1511">
        <w:trPr>
          <w:trHeight w:val="20"/>
        </w:trPr>
        <w:tc>
          <w:tcPr>
            <w:tcW w:w="343" w:type="pct"/>
            <w:vMerge/>
            <w:vAlign w:val="center"/>
            <w:hideMark/>
          </w:tcPr>
          <w:p w14:paraId="6106F0CF"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p>
        </w:tc>
        <w:tc>
          <w:tcPr>
            <w:tcW w:w="720" w:type="pct"/>
            <w:shd w:val="clear" w:color="000000" w:fill="FFFFFF"/>
            <w:hideMark/>
          </w:tcPr>
          <w:p w14:paraId="62510F43"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Кредитний ризик</w:t>
            </w:r>
          </w:p>
        </w:tc>
        <w:tc>
          <w:tcPr>
            <w:tcW w:w="575" w:type="pct"/>
            <w:shd w:val="clear" w:color="000000" w:fill="FFFFFF"/>
            <w:noWrap/>
            <w:vAlign w:val="center"/>
            <w:hideMark/>
          </w:tcPr>
          <w:p w14:paraId="5AC363EA"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924 338</w:t>
            </w:r>
          </w:p>
        </w:tc>
        <w:tc>
          <w:tcPr>
            <w:tcW w:w="431" w:type="pct"/>
            <w:shd w:val="clear" w:color="000000" w:fill="FFFFFF"/>
            <w:noWrap/>
            <w:vAlign w:val="center"/>
            <w:hideMark/>
          </w:tcPr>
          <w:p w14:paraId="14DCFB66"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13 454</w:t>
            </w:r>
          </w:p>
        </w:tc>
        <w:tc>
          <w:tcPr>
            <w:tcW w:w="432" w:type="pct"/>
            <w:shd w:val="clear" w:color="000000" w:fill="FFFFFF"/>
            <w:noWrap/>
            <w:vAlign w:val="center"/>
            <w:hideMark/>
          </w:tcPr>
          <w:p w14:paraId="7CA54766"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186 134</w:t>
            </w:r>
          </w:p>
        </w:tc>
        <w:tc>
          <w:tcPr>
            <w:tcW w:w="431" w:type="pct"/>
            <w:shd w:val="clear" w:color="000000" w:fill="FFFFFF"/>
            <w:noWrap/>
            <w:vAlign w:val="center"/>
            <w:hideMark/>
          </w:tcPr>
          <w:p w14:paraId="6BB121F7"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232 237</w:t>
            </w:r>
          </w:p>
        </w:tc>
        <w:tc>
          <w:tcPr>
            <w:tcW w:w="505" w:type="pct"/>
            <w:shd w:val="clear" w:color="000000" w:fill="FFFFFF"/>
            <w:noWrap/>
            <w:vAlign w:val="center"/>
            <w:hideMark/>
          </w:tcPr>
          <w:p w14:paraId="05710223" w14:textId="77777777" w:rsidR="00AD1F2D" w:rsidRPr="00F00EB0" w:rsidRDefault="00AD1F2D" w:rsidP="00FA1511">
            <w:pPr>
              <w:spacing w:after="0"/>
              <w:ind w:left="-57" w:right="-57"/>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7786679</w:t>
            </w:r>
          </w:p>
        </w:tc>
        <w:tc>
          <w:tcPr>
            <w:tcW w:w="359" w:type="pct"/>
            <w:noWrap/>
            <w:vAlign w:val="bottom"/>
            <w:hideMark/>
          </w:tcPr>
          <w:p w14:paraId="5B6BA080"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10,11</w:t>
            </w:r>
          </w:p>
        </w:tc>
        <w:tc>
          <w:tcPr>
            <w:tcW w:w="288" w:type="pct"/>
            <w:noWrap/>
            <w:vAlign w:val="bottom"/>
            <w:hideMark/>
          </w:tcPr>
          <w:p w14:paraId="4AF939A6"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0,15</w:t>
            </w:r>
          </w:p>
        </w:tc>
        <w:tc>
          <w:tcPr>
            <w:tcW w:w="287" w:type="pct"/>
            <w:noWrap/>
            <w:vAlign w:val="bottom"/>
            <w:hideMark/>
          </w:tcPr>
          <w:p w14:paraId="56256567"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2,04</w:t>
            </w:r>
          </w:p>
        </w:tc>
        <w:tc>
          <w:tcPr>
            <w:tcW w:w="288" w:type="pct"/>
            <w:noWrap/>
            <w:vAlign w:val="bottom"/>
            <w:hideMark/>
          </w:tcPr>
          <w:p w14:paraId="73B000EC"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2,54</w:t>
            </w:r>
          </w:p>
        </w:tc>
        <w:tc>
          <w:tcPr>
            <w:tcW w:w="341" w:type="pct"/>
            <w:noWrap/>
            <w:vAlign w:val="bottom"/>
            <w:hideMark/>
          </w:tcPr>
          <w:p w14:paraId="42205C23" w14:textId="77777777" w:rsidR="00AD1F2D" w:rsidRPr="00F00EB0" w:rsidRDefault="00AD1F2D" w:rsidP="00FA1511">
            <w:pPr>
              <w:spacing w:after="0"/>
              <w:ind w:left="-57" w:right="-57"/>
              <w:jc w:val="right"/>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85,17</w:t>
            </w:r>
          </w:p>
        </w:tc>
      </w:tr>
    </w:tbl>
    <w:p w14:paraId="5B24E790" w14:textId="77777777" w:rsidR="006B51B9" w:rsidRPr="00F00EB0" w:rsidRDefault="006B51B9" w:rsidP="00AD1F2D">
      <w:pPr>
        <w:suppressAutoHyphens/>
        <w:autoSpaceDN w:val="0"/>
        <w:spacing w:after="0" w:line="360" w:lineRule="auto"/>
        <w:ind w:firstLine="709"/>
        <w:contextualSpacing/>
        <w:jc w:val="both"/>
        <w:textAlignment w:val="baseline"/>
        <w:rPr>
          <w:rFonts w:ascii="Times New Roman" w:hAnsi="Times New Roman" w:cs="Times New Roman"/>
          <w:color w:val="000000" w:themeColor="text1"/>
          <w:kern w:val="3"/>
          <w:sz w:val="28"/>
          <w:szCs w:val="28"/>
          <w:lang w:val="uk-UA" w:eastAsia="zh-CN" w:bidi="hi-IN"/>
        </w:rPr>
      </w:pPr>
    </w:p>
    <w:p w14:paraId="3F18C90A" w14:textId="77777777" w:rsidR="006B51B9" w:rsidRPr="00F00EB0" w:rsidRDefault="006B51B9">
      <w:pPr>
        <w:rPr>
          <w:rFonts w:ascii="Times New Roman" w:hAnsi="Times New Roman" w:cs="Times New Roman"/>
          <w:color w:val="000000" w:themeColor="text1"/>
          <w:kern w:val="3"/>
          <w:sz w:val="28"/>
          <w:szCs w:val="28"/>
          <w:lang w:val="uk-UA" w:eastAsia="zh-CN" w:bidi="hi-IN"/>
        </w:rPr>
      </w:pPr>
      <w:r w:rsidRPr="00F00EB0">
        <w:rPr>
          <w:rFonts w:ascii="Times New Roman" w:hAnsi="Times New Roman" w:cs="Times New Roman"/>
          <w:color w:val="000000" w:themeColor="text1"/>
          <w:kern w:val="3"/>
          <w:sz w:val="28"/>
          <w:szCs w:val="28"/>
          <w:lang w:val="uk-UA" w:eastAsia="zh-CN" w:bidi="hi-IN"/>
        </w:rPr>
        <w:br w:type="page"/>
      </w:r>
    </w:p>
    <w:p w14:paraId="3CCA6EB9" w14:textId="1619DB31" w:rsidR="00AD1F2D" w:rsidRPr="00F00EB0" w:rsidRDefault="00AD1F2D" w:rsidP="00AD1F2D">
      <w:pPr>
        <w:suppressAutoHyphens/>
        <w:autoSpaceDN w:val="0"/>
        <w:spacing w:after="0" w:line="360" w:lineRule="auto"/>
        <w:ind w:firstLine="709"/>
        <w:contextualSpacing/>
        <w:jc w:val="both"/>
        <w:textAlignment w:val="baseline"/>
        <w:rPr>
          <w:rFonts w:ascii="Times New Roman" w:hAnsi="Times New Roman" w:cs="Times New Roman"/>
          <w:color w:val="000000" w:themeColor="text1"/>
          <w:kern w:val="3"/>
          <w:sz w:val="28"/>
          <w:szCs w:val="28"/>
          <w:lang w:val="uk-UA" w:eastAsia="zh-CN" w:bidi="hi-IN"/>
        </w:rPr>
      </w:pPr>
      <w:r w:rsidRPr="00F00EB0">
        <w:rPr>
          <w:rFonts w:ascii="Times New Roman" w:hAnsi="Times New Roman" w:cs="Times New Roman"/>
          <w:color w:val="000000" w:themeColor="text1"/>
          <w:kern w:val="3"/>
          <w:sz w:val="28"/>
          <w:szCs w:val="28"/>
          <w:lang w:val="uk-UA" w:eastAsia="zh-CN" w:bidi="hi-IN"/>
        </w:rPr>
        <w:lastRenderedPageBreak/>
        <w:t>Таблиця </w:t>
      </w:r>
      <w:r w:rsidR="006B51B9" w:rsidRPr="00F00EB0">
        <w:rPr>
          <w:rFonts w:ascii="Times New Roman" w:hAnsi="Times New Roman" w:cs="Times New Roman"/>
          <w:color w:val="000000" w:themeColor="text1"/>
          <w:kern w:val="3"/>
          <w:sz w:val="28"/>
          <w:szCs w:val="28"/>
          <w:lang w:val="uk-UA" w:eastAsia="zh-CN" w:bidi="hi-IN"/>
        </w:rPr>
        <w:t>К.2</w:t>
      </w:r>
      <w:r w:rsidRPr="00F00EB0">
        <w:rPr>
          <w:rFonts w:ascii="Times New Roman" w:hAnsi="Times New Roman" w:cs="Times New Roman"/>
          <w:color w:val="000000" w:themeColor="text1"/>
          <w:kern w:val="3"/>
          <w:sz w:val="28"/>
          <w:szCs w:val="28"/>
          <w:lang w:val="uk-UA" w:eastAsia="zh-CN" w:bidi="hi-IN"/>
        </w:rPr>
        <w:t xml:space="preserve"> – Динаміка показників кредитного ризику портфеля юридичних осіб </w:t>
      </w:r>
      <w:r w:rsidRPr="00F00EB0">
        <w:rPr>
          <w:rFonts w:ascii="Times New Roman" w:hAnsi="Times New Roman" w:cs="Times New Roman"/>
          <w:bCs/>
          <w:color w:val="000000" w:themeColor="text1"/>
          <w:kern w:val="3"/>
          <w:sz w:val="28"/>
          <w:szCs w:val="28"/>
          <w:lang w:val="uk-UA" w:eastAsia="zh-CN" w:bidi="hi-IN"/>
        </w:rPr>
        <w:t xml:space="preserve">АТ КБ «ПриватБанк» </w:t>
      </w:r>
      <w:r w:rsidRPr="00F00EB0">
        <w:rPr>
          <w:rFonts w:ascii="Times New Roman" w:hAnsi="Times New Roman" w:cs="Times New Roman"/>
          <w:color w:val="000000" w:themeColor="text1"/>
          <w:kern w:val="3"/>
          <w:sz w:val="28"/>
          <w:szCs w:val="28"/>
          <w:lang w:val="uk-UA" w:eastAsia="zh-CN" w:bidi="hi-IN"/>
        </w:rPr>
        <w:t>за 2018-2022 рр. [розраховано автором на основі 32-34]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1"/>
        <w:gridCol w:w="1941"/>
        <w:gridCol w:w="870"/>
        <w:gridCol w:w="992"/>
        <w:gridCol w:w="1137"/>
        <w:gridCol w:w="1138"/>
        <w:gridCol w:w="993"/>
        <w:gridCol w:w="993"/>
        <w:gridCol w:w="850"/>
        <w:gridCol w:w="850"/>
        <w:gridCol w:w="993"/>
        <w:gridCol w:w="1173"/>
        <w:gridCol w:w="670"/>
        <w:gridCol w:w="576"/>
        <w:gridCol w:w="663"/>
      </w:tblGrid>
      <w:tr w:rsidR="00F00EB0" w:rsidRPr="00F00EB0" w14:paraId="4EEDED8F" w14:textId="77777777" w:rsidTr="00FA1511">
        <w:trPr>
          <w:trHeight w:val="315"/>
        </w:trPr>
        <w:tc>
          <w:tcPr>
            <w:tcW w:w="250" w:type="pct"/>
            <w:vMerge w:val="restart"/>
            <w:vAlign w:val="center"/>
          </w:tcPr>
          <w:p w14:paraId="3D069197"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Дата</w:t>
            </w:r>
          </w:p>
        </w:tc>
        <w:tc>
          <w:tcPr>
            <w:tcW w:w="669" w:type="pct"/>
            <w:vMerge w:val="restart"/>
            <w:vAlign w:val="center"/>
          </w:tcPr>
          <w:p w14:paraId="400C144A"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Показник</w:t>
            </w:r>
          </w:p>
        </w:tc>
        <w:tc>
          <w:tcPr>
            <w:tcW w:w="3452" w:type="pct"/>
            <w:gridSpan w:val="10"/>
            <w:vAlign w:val="center"/>
          </w:tcPr>
          <w:p w14:paraId="2A732AD5"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Абсолютне значення, в розрізі ймовірності дефолту позичальника, тис. грн</w:t>
            </w:r>
          </w:p>
        </w:tc>
        <w:tc>
          <w:tcPr>
            <w:tcW w:w="630" w:type="pct"/>
            <w:gridSpan w:val="3"/>
            <w:vAlign w:val="center"/>
          </w:tcPr>
          <w:p w14:paraId="1F3EFFF4"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 xml:space="preserve">Питома вага, </w:t>
            </w:r>
            <w:r w:rsidRPr="00F00EB0">
              <w:rPr>
                <w:rFonts w:ascii="Times New Roman" w:hAnsi="Times New Roman" w:cs="Times New Roman"/>
                <w:color w:val="000000" w:themeColor="text1"/>
                <w:sz w:val="24"/>
                <w:szCs w:val="24"/>
                <w:lang w:val="uk-UA"/>
              </w:rPr>
              <w:br/>
              <w:t>в розрізі ймовірності дефолту позичальника, %</w:t>
            </w:r>
          </w:p>
        </w:tc>
      </w:tr>
      <w:tr w:rsidR="00F00EB0" w:rsidRPr="00F00EB0" w14:paraId="3BF632CA" w14:textId="77777777" w:rsidTr="00FA1511">
        <w:trPr>
          <w:trHeight w:val="315"/>
        </w:trPr>
        <w:tc>
          <w:tcPr>
            <w:tcW w:w="250" w:type="pct"/>
            <w:vMerge/>
            <w:vAlign w:val="center"/>
          </w:tcPr>
          <w:p w14:paraId="18BF7073"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p>
        </w:tc>
        <w:tc>
          <w:tcPr>
            <w:tcW w:w="669" w:type="pct"/>
            <w:vMerge/>
            <w:vAlign w:val="center"/>
          </w:tcPr>
          <w:p w14:paraId="0349BC08"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p>
        </w:tc>
        <w:tc>
          <w:tcPr>
            <w:tcW w:w="301" w:type="pct"/>
            <w:vAlign w:val="center"/>
            <w:hideMark/>
          </w:tcPr>
          <w:p w14:paraId="3EBF20A0"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w:t>
            </w:r>
          </w:p>
        </w:tc>
        <w:tc>
          <w:tcPr>
            <w:tcW w:w="343" w:type="pct"/>
            <w:vAlign w:val="center"/>
            <w:hideMark/>
          </w:tcPr>
          <w:p w14:paraId="455369ED"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w:t>
            </w:r>
          </w:p>
        </w:tc>
        <w:tc>
          <w:tcPr>
            <w:tcW w:w="393" w:type="pct"/>
            <w:vAlign w:val="center"/>
            <w:hideMark/>
          </w:tcPr>
          <w:p w14:paraId="2C1384BD"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3</w:t>
            </w:r>
          </w:p>
        </w:tc>
        <w:tc>
          <w:tcPr>
            <w:tcW w:w="393" w:type="pct"/>
            <w:vAlign w:val="center"/>
            <w:hideMark/>
          </w:tcPr>
          <w:p w14:paraId="03D7FFC2"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4</w:t>
            </w:r>
          </w:p>
        </w:tc>
        <w:tc>
          <w:tcPr>
            <w:tcW w:w="343" w:type="pct"/>
            <w:vAlign w:val="center"/>
            <w:hideMark/>
          </w:tcPr>
          <w:p w14:paraId="107B78B1"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5</w:t>
            </w:r>
          </w:p>
        </w:tc>
        <w:tc>
          <w:tcPr>
            <w:tcW w:w="343" w:type="pct"/>
            <w:vAlign w:val="center"/>
            <w:hideMark/>
          </w:tcPr>
          <w:p w14:paraId="6BD1CF27"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6</w:t>
            </w:r>
          </w:p>
        </w:tc>
        <w:tc>
          <w:tcPr>
            <w:tcW w:w="294" w:type="pct"/>
            <w:vAlign w:val="center"/>
            <w:hideMark/>
          </w:tcPr>
          <w:p w14:paraId="6B04F57D"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7</w:t>
            </w:r>
          </w:p>
        </w:tc>
        <w:tc>
          <w:tcPr>
            <w:tcW w:w="294" w:type="pct"/>
            <w:vAlign w:val="center"/>
            <w:hideMark/>
          </w:tcPr>
          <w:p w14:paraId="384AB306"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8</w:t>
            </w:r>
          </w:p>
        </w:tc>
        <w:tc>
          <w:tcPr>
            <w:tcW w:w="343" w:type="pct"/>
            <w:vAlign w:val="center"/>
            <w:hideMark/>
          </w:tcPr>
          <w:p w14:paraId="24C2B556"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9</w:t>
            </w:r>
          </w:p>
        </w:tc>
        <w:tc>
          <w:tcPr>
            <w:tcW w:w="405" w:type="pct"/>
            <w:vAlign w:val="center"/>
            <w:hideMark/>
          </w:tcPr>
          <w:p w14:paraId="5CB37B02"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10</w:t>
            </w:r>
          </w:p>
        </w:tc>
        <w:tc>
          <w:tcPr>
            <w:tcW w:w="232" w:type="pct"/>
            <w:vAlign w:val="center"/>
            <w:hideMark/>
          </w:tcPr>
          <w:p w14:paraId="6C82E29A"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1</w:t>
            </w:r>
          </w:p>
        </w:tc>
        <w:tc>
          <w:tcPr>
            <w:tcW w:w="200" w:type="pct"/>
            <w:noWrap/>
            <w:vAlign w:val="center"/>
            <w:hideMark/>
          </w:tcPr>
          <w:p w14:paraId="743C16D8"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2-8</w:t>
            </w:r>
          </w:p>
        </w:tc>
        <w:tc>
          <w:tcPr>
            <w:tcW w:w="198" w:type="pct"/>
            <w:noWrap/>
            <w:vAlign w:val="center"/>
            <w:hideMark/>
          </w:tcPr>
          <w:p w14:paraId="404541B2"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9-10</w:t>
            </w:r>
          </w:p>
        </w:tc>
      </w:tr>
      <w:tr w:rsidR="00F00EB0" w:rsidRPr="00F00EB0" w14:paraId="414FE1DA" w14:textId="77777777" w:rsidTr="00FA1511">
        <w:trPr>
          <w:trHeight w:val="300"/>
        </w:trPr>
        <w:tc>
          <w:tcPr>
            <w:tcW w:w="250" w:type="pct"/>
            <w:vMerge w:val="restart"/>
            <w:shd w:val="clear" w:color="000000" w:fill="FFFFFF"/>
            <w:vAlign w:val="center"/>
          </w:tcPr>
          <w:p w14:paraId="6F074326"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w:t>
            </w:r>
            <w:r w:rsidRPr="00F00EB0">
              <w:rPr>
                <w:rFonts w:ascii="Times New Roman" w:hAnsi="Times New Roman" w:cs="Times New Roman"/>
                <w:color w:val="000000" w:themeColor="text1"/>
                <w:sz w:val="24"/>
                <w:szCs w:val="24"/>
                <w:lang w:val="uk-UA"/>
              </w:rPr>
              <w:br/>
              <w:t>2019</w:t>
            </w:r>
          </w:p>
        </w:tc>
        <w:tc>
          <w:tcPr>
            <w:tcW w:w="669" w:type="pct"/>
            <w:shd w:val="clear" w:color="000000" w:fill="FFFFFF"/>
            <w:vAlign w:val="center"/>
          </w:tcPr>
          <w:p w14:paraId="04A80BDC"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Сума кредитної заборгованості</w:t>
            </w:r>
          </w:p>
        </w:tc>
        <w:tc>
          <w:tcPr>
            <w:tcW w:w="301" w:type="pct"/>
            <w:shd w:val="clear" w:color="000000" w:fill="FFFFFF"/>
            <w:noWrap/>
            <w:vAlign w:val="center"/>
            <w:hideMark/>
          </w:tcPr>
          <w:p w14:paraId="3DDB9E8F"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1877508</w:t>
            </w:r>
          </w:p>
        </w:tc>
        <w:tc>
          <w:tcPr>
            <w:tcW w:w="343" w:type="pct"/>
            <w:shd w:val="clear" w:color="000000" w:fill="FFFFFF"/>
            <w:noWrap/>
            <w:vAlign w:val="center"/>
            <w:hideMark/>
          </w:tcPr>
          <w:p w14:paraId="2D5EB129"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5652870</w:t>
            </w:r>
          </w:p>
        </w:tc>
        <w:tc>
          <w:tcPr>
            <w:tcW w:w="393" w:type="pct"/>
            <w:shd w:val="clear" w:color="000000" w:fill="FFFFFF"/>
            <w:noWrap/>
            <w:vAlign w:val="center"/>
            <w:hideMark/>
          </w:tcPr>
          <w:p w14:paraId="24BF4A3D"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15589739</w:t>
            </w:r>
          </w:p>
        </w:tc>
        <w:tc>
          <w:tcPr>
            <w:tcW w:w="393" w:type="pct"/>
            <w:shd w:val="clear" w:color="000000" w:fill="FFFFFF"/>
            <w:noWrap/>
            <w:vAlign w:val="center"/>
            <w:hideMark/>
          </w:tcPr>
          <w:p w14:paraId="598FBF8E"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17475917</w:t>
            </w:r>
          </w:p>
        </w:tc>
        <w:tc>
          <w:tcPr>
            <w:tcW w:w="343" w:type="pct"/>
            <w:shd w:val="clear" w:color="000000" w:fill="FFFFFF"/>
            <w:noWrap/>
            <w:vAlign w:val="center"/>
            <w:hideMark/>
          </w:tcPr>
          <w:p w14:paraId="7AB489AB"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6267841</w:t>
            </w:r>
          </w:p>
        </w:tc>
        <w:tc>
          <w:tcPr>
            <w:tcW w:w="343" w:type="pct"/>
            <w:shd w:val="clear" w:color="000000" w:fill="FFFFFF"/>
            <w:noWrap/>
            <w:vAlign w:val="center"/>
            <w:hideMark/>
          </w:tcPr>
          <w:p w14:paraId="7B125237"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5407418</w:t>
            </w:r>
          </w:p>
        </w:tc>
        <w:tc>
          <w:tcPr>
            <w:tcW w:w="294" w:type="pct"/>
            <w:shd w:val="clear" w:color="000000" w:fill="FFFFFF"/>
            <w:noWrap/>
            <w:vAlign w:val="center"/>
            <w:hideMark/>
          </w:tcPr>
          <w:p w14:paraId="08E8F3CE"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1008</w:t>
            </w:r>
          </w:p>
        </w:tc>
        <w:tc>
          <w:tcPr>
            <w:tcW w:w="294" w:type="pct"/>
            <w:shd w:val="clear" w:color="000000" w:fill="FFFFFF"/>
            <w:noWrap/>
            <w:vAlign w:val="center"/>
            <w:hideMark/>
          </w:tcPr>
          <w:p w14:paraId="6BDDE7FF"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402581</w:t>
            </w:r>
          </w:p>
        </w:tc>
        <w:tc>
          <w:tcPr>
            <w:tcW w:w="343" w:type="pct"/>
            <w:shd w:val="clear" w:color="000000" w:fill="FFFFFF"/>
            <w:noWrap/>
            <w:vAlign w:val="center"/>
            <w:hideMark/>
          </w:tcPr>
          <w:p w14:paraId="3B1A0A63"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6216828</w:t>
            </w:r>
          </w:p>
        </w:tc>
        <w:tc>
          <w:tcPr>
            <w:tcW w:w="405" w:type="pct"/>
            <w:shd w:val="clear" w:color="000000" w:fill="FFFFFF"/>
            <w:noWrap/>
            <w:vAlign w:val="center"/>
            <w:hideMark/>
          </w:tcPr>
          <w:p w14:paraId="710D4F67"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54149586</w:t>
            </w:r>
          </w:p>
        </w:tc>
        <w:tc>
          <w:tcPr>
            <w:tcW w:w="232" w:type="pct"/>
            <w:noWrap/>
            <w:vAlign w:val="center"/>
            <w:hideMark/>
          </w:tcPr>
          <w:p w14:paraId="26AC21A6"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1,44</w:t>
            </w:r>
          </w:p>
        </w:tc>
        <w:tc>
          <w:tcPr>
            <w:tcW w:w="200" w:type="pct"/>
            <w:noWrap/>
            <w:vAlign w:val="center"/>
            <w:hideMark/>
          </w:tcPr>
          <w:p w14:paraId="3493A144"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2,21</w:t>
            </w:r>
          </w:p>
        </w:tc>
        <w:tc>
          <w:tcPr>
            <w:tcW w:w="198" w:type="pct"/>
            <w:noWrap/>
            <w:vAlign w:val="center"/>
            <w:hideMark/>
          </w:tcPr>
          <w:p w14:paraId="1E9E7DE1"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96,35</w:t>
            </w:r>
          </w:p>
        </w:tc>
      </w:tr>
      <w:tr w:rsidR="00F00EB0" w:rsidRPr="00F00EB0" w14:paraId="30D0D336" w14:textId="77777777" w:rsidTr="00FA1511">
        <w:trPr>
          <w:trHeight w:val="300"/>
        </w:trPr>
        <w:tc>
          <w:tcPr>
            <w:tcW w:w="250" w:type="pct"/>
            <w:vMerge/>
            <w:shd w:val="clear" w:color="000000" w:fill="FFFFFF"/>
            <w:vAlign w:val="center"/>
          </w:tcPr>
          <w:p w14:paraId="30983C1E"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p>
        </w:tc>
        <w:tc>
          <w:tcPr>
            <w:tcW w:w="669" w:type="pct"/>
            <w:shd w:val="clear" w:color="000000" w:fill="FFFFFF"/>
            <w:vAlign w:val="center"/>
          </w:tcPr>
          <w:p w14:paraId="5B470F28"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Кредитний ризик</w:t>
            </w:r>
          </w:p>
        </w:tc>
        <w:tc>
          <w:tcPr>
            <w:tcW w:w="301" w:type="pct"/>
            <w:shd w:val="clear" w:color="000000" w:fill="FFFFFF"/>
            <w:noWrap/>
            <w:vAlign w:val="center"/>
            <w:hideMark/>
          </w:tcPr>
          <w:p w14:paraId="501D5D94"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6181</w:t>
            </w:r>
          </w:p>
        </w:tc>
        <w:tc>
          <w:tcPr>
            <w:tcW w:w="343" w:type="pct"/>
            <w:shd w:val="clear" w:color="000000" w:fill="FFFFFF"/>
            <w:noWrap/>
            <w:vAlign w:val="center"/>
            <w:hideMark/>
          </w:tcPr>
          <w:p w14:paraId="119BCDC3"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78558</w:t>
            </w:r>
          </w:p>
        </w:tc>
        <w:tc>
          <w:tcPr>
            <w:tcW w:w="393" w:type="pct"/>
            <w:shd w:val="clear" w:color="000000" w:fill="FFFFFF"/>
            <w:noWrap/>
            <w:vAlign w:val="center"/>
            <w:hideMark/>
          </w:tcPr>
          <w:p w14:paraId="213160E6"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433285</w:t>
            </w:r>
          </w:p>
        </w:tc>
        <w:tc>
          <w:tcPr>
            <w:tcW w:w="393" w:type="pct"/>
            <w:shd w:val="clear" w:color="000000" w:fill="FFFFFF"/>
            <w:noWrap/>
            <w:vAlign w:val="center"/>
            <w:hideMark/>
          </w:tcPr>
          <w:p w14:paraId="7E5F0DB9"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529328</w:t>
            </w:r>
          </w:p>
        </w:tc>
        <w:tc>
          <w:tcPr>
            <w:tcW w:w="343" w:type="pct"/>
            <w:shd w:val="clear" w:color="000000" w:fill="FFFFFF"/>
            <w:noWrap/>
            <w:vAlign w:val="center"/>
            <w:hideMark/>
          </w:tcPr>
          <w:p w14:paraId="1F9E7EED"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291539</w:t>
            </w:r>
          </w:p>
        </w:tc>
        <w:tc>
          <w:tcPr>
            <w:tcW w:w="343" w:type="pct"/>
            <w:shd w:val="clear" w:color="000000" w:fill="FFFFFF"/>
            <w:noWrap/>
            <w:vAlign w:val="center"/>
            <w:hideMark/>
          </w:tcPr>
          <w:p w14:paraId="1E78025F"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5084</w:t>
            </w:r>
          </w:p>
        </w:tc>
        <w:tc>
          <w:tcPr>
            <w:tcW w:w="294" w:type="pct"/>
            <w:shd w:val="clear" w:color="000000" w:fill="FFFFFF"/>
            <w:noWrap/>
            <w:vAlign w:val="center"/>
            <w:hideMark/>
          </w:tcPr>
          <w:p w14:paraId="7CFFB9CB"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0</w:t>
            </w:r>
          </w:p>
        </w:tc>
        <w:tc>
          <w:tcPr>
            <w:tcW w:w="294" w:type="pct"/>
            <w:shd w:val="clear" w:color="000000" w:fill="FFFFFF"/>
            <w:noWrap/>
            <w:vAlign w:val="center"/>
            <w:hideMark/>
          </w:tcPr>
          <w:p w14:paraId="7987A54B"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45636</w:t>
            </w:r>
          </w:p>
        </w:tc>
        <w:tc>
          <w:tcPr>
            <w:tcW w:w="343" w:type="pct"/>
            <w:shd w:val="clear" w:color="000000" w:fill="FFFFFF"/>
            <w:noWrap/>
            <w:vAlign w:val="center"/>
            <w:hideMark/>
          </w:tcPr>
          <w:p w14:paraId="63DD1485"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1079331</w:t>
            </w:r>
          </w:p>
        </w:tc>
        <w:tc>
          <w:tcPr>
            <w:tcW w:w="405" w:type="pct"/>
            <w:shd w:val="clear" w:color="000000" w:fill="FFFFFF"/>
            <w:noWrap/>
            <w:vAlign w:val="center"/>
            <w:hideMark/>
          </w:tcPr>
          <w:p w14:paraId="33693046"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38702157</w:t>
            </w:r>
          </w:p>
        </w:tc>
        <w:tc>
          <w:tcPr>
            <w:tcW w:w="232" w:type="pct"/>
            <w:noWrap/>
            <w:vAlign w:val="center"/>
            <w:hideMark/>
          </w:tcPr>
          <w:p w14:paraId="656DADDE"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0,12</w:t>
            </w:r>
          </w:p>
        </w:tc>
        <w:tc>
          <w:tcPr>
            <w:tcW w:w="200" w:type="pct"/>
            <w:noWrap/>
            <w:vAlign w:val="center"/>
            <w:hideMark/>
          </w:tcPr>
          <w:p w14:paraId="3BB3FF95"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0,08</w:t>
            </w:r>
          </w:p>
        </w:tc>
        <w:tc>
          <w:tcPr>
            <w:tcW w:w="198" w:type="pct"/>
            <w:noWrap/>
            <w:vAlign w:val="center"/>
            <w:hideMark/>
          </w:tcPr>
          <w:p w14:paraId="0360BA1E"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99,80</w:t>
            </w:r>
          </w:p>
        </w:tc>
      </w:tr>
      <w:tr w:rsidR="00F00EB0" w:rsidRPr="00F00EB0" w14:paraId="5582EE6A" w14:textId="77777777" w:rsidTr="00FA1511">
        <w:trPr>
          <w:trHeight w:val="300"/>
        </w:trPr>
        <w:tc>
          <w:tcPr>
            <w:tcW w:w="250" w:type="pct"/>
            <w:vMerge w:val="restart"/>
            <w:shd w:val="clear" w:color="000000" w:fill="FFFFFF"/>
            <w:vAlign w:val="center"/>
          </w:tcPr>
          <w:p w14:paraId="56438EF0"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w:t>
            </w:r>
            <w:r w:rsidRPr="00F00EB0">
              <w:rPr>
                <w:rFonts w:ascii="Times New Roman" w:hAnsi="Times New Roman" w:cs="Times New Roman"/>
                <w:color w:val="000000" w:themeColor="text1"/>
                <w:sz w:val="24"/>
                <w:szCs w:val="24"/>
                <w:lang w:val="uk-UA"/>
              </w:rPr>
              <w:br/>
              <w:t>2020</w:t>
            </w:r>
          </w:p>
        </w:tc>
        <w:tc>
          <w:tcPr>
            <w:tcW w:w="669" w:type="pct"/>
            <w:shd w:val="clear" w:color="000000" w:fill="FFFFFF"/>
            <w:vAlign w:val="center"/>
          </w:tcPr>
          <w:p w14:paraId="78CF8299"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Сума кредитної заборгованості</w:t>
            </w:r>
          </w:p>
        </w:tc>
        <w:tc>
          <w:tcPr>
            <w:tcW w:w="301" w:type="pct"/>
            <w:shd w:val="clear" w:color="000000" w:fill="FFFFFF"/>
            <w:noWrap/>
            <w:vAlign w:val="center"/>
            <w:hideMark/>
          </w:tcPr>
          <w:p w14:paraId="4BD2199F"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3216409</w:t>
            </w:r>
          </w:p>
        </w:tc>
        <w:tc>
          <w:tcPr>
            <w:tcW w:w="343" w:type="pct"/>
            <w:shd w:val="clear" w:color="000000" w:fill="FFFFFF"/>
            <w:noWrap/>
            <w:vAlign w:val="center"/>
            <w:hideMark/>
          </w:tcPr>
          <w:p w14:paraId="562DD448"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791665</w:t>
            </w:r>
          </w:p>
        </w:tc>
        <w:tc>
          <w:tcPr>
            <w:tcW w:w="393" w:type="pct"/>
            <w:shd w:val="clear" w:color="000000" w:fill="FFFFFF"/>
            <w:noWrap/>
            <w:vAlign w:val="center"/>
            <w:hideMark/>
          </w:tcPr>
          <w:p w14:paraId="3735C119"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2399272</w:t>
            </w:r>
          </w:p>
        </w:tc>
        <w:tc>
          <w:tcPr>
            <w:tcW w:w="393" w:type="pct"/>
            <w:shd w:val="clear" w:color="000000" w:fill="FFFFFF"/>
            <w:noWrap/>
            <w:vAlign w:val="center"/>
            <w:hideMark/>
          </w:tcPr>
          <w:p w14:paraId="243DA7FD"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907800</w:t>
            </w:r>
          </w:p>
        </w:tc>
        <w:tc>
          <w:tcPr>
            <w:tcW w:w="343" w:type="pct"/>
            <w:shd w:val="clear" w:color="000000" w:fill="FFFFFF"/>
            <w:noWrap/>
            <w:vAlign w:val="center"/>
            <w:hideMark/>
          </w:tcPr>
          <w:p w14:paraId="6C624875"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562940</w:t>
            </w:r>
          </w:p>
        </w:tc>
        <w:tc>
          <w:tcPr>
            <w:tcW w:w="343" w:type="pct"/>
            <w:shd w:val="clear" w:color="000000" w:fill="FFFFFF"/>
            <w:noWrap/>
            <w:vAlign w:val="center"/>
            <w:hideMark/>
          </w:tcPr>
          <w:p w14:paraId="1182AF83"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43119</w:t>
            </w:r>
          </w:p>
        </w:tc>
        <w:tc>
          <w:tcPr>
            <w:tcW w:w="294" w:type="pct"/>
            <w:shd w:val="clear" w:color="000000" w:fill="FFFFFF"/>
            <w:noWrap/>
            <w:vAlign w:val="center"/>
            <w:hideMark/>
          </w:tcPr>
          <w:p w14:paraId="5D93E392"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193903</w:t>
            </w:r>
          </w:p>
        </w:tc>
        <w:tc>
          <w:tcPr>
            <w:tcW w:w="294" w:type="pct"/>
            <w:shd w:val="clear" w:color="000000" w:fill="FFFFFF"/>
            <w:noWrap/>
            <w:vAlign w:val="center"/>
            <w:hideMark/>
          </w:tcPr>
          <w:p w14:paraId="0D8E2D9C"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54875</w:t>
            </w:r>
          </w:p>
        </w:tc>
        <w:tc>
          <w:tcPr>
            <w:tcW w:w="343" w:type="pct"/>
            <w:shd w:val="clear" w:color="000000" w:fill="FFFFFF"/>
            <w:noWrap/>
            <w:vAlign w:val="center"/>
            <w:hideMark/>
          </w:tcPr>
          <w:p w14:paraId="22787DC9"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43188</w:t>
            </w:r>
          </w:p>
        </w:tc>
        <w:tc>
          <w:tcPr>
            <w:tcW w:w="405" w:type="pct"/>
            <w:shd w:val="clear" w:color="000000" w:fill="FFFFFF"/>
            <w:noWrap/>
            <w:vAlign w:val="center"/>
            <w:hideMark/>
          </w:tcPr>
          <w:p w14:paraId="037E3FC5"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215882004</w:t>
            </w:r>
          </w:p>
        </w:tc>
        <w:tc>
          <w:tcPr>
            <w:tcW w:w="232" w:type="pct"/>
            <w:noWrap/>
            <w:vAlign w:val="center"/>
            <w:hideMark/>
          </w:tcPr>
          <w:p w14:paraId="1D612170"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1,95</w:t>
            </w:r>
          </w:p>
        </w:tc>
        <w:tc>
          <w:tcPr>
            <w:tcW w:w="200" w:type="pct"/>
            <w:noWrap/>
            <w:vAlign w:val="center"/>
            <w:hideMark/>
          </w:tcPr>
          <w:p w14:paraId="324C9A5C"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2,53</w:t>
            </w:r>
          </w:p>
        </w:tc>
        <w:tc>
          <w:tcPr>
            <w:tcW w:w="198" w:type="pct"/>
            <w:noWrap/>
            <w:vAlign w:val="center"/>
            <w:hideMark/>
          </w:tcPr>
          <w:p w14:paraId="3FCA78A3"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95,52</w:t>
            </w:r>
          </w:p>
        </w:tc>
      </w:tr>
      <w:tr w:rsidR="00F00EB0" w:rsidRPr="00F00EB0" w14:paraId="2BC0116B" w14:textId="77777777" w:rsidTr="00FA1511">
        <w:trPr>
          <w:trHeight w:val="300"/>
        </w:trPr>
        <w:tc>
          <w:tcPr>
            <w:tcW w:w="250" w:type="pct"/>
            <w:vMerge/>
            <w:shd w:val="clear" w:color="000000" w:fill="FFFFFF"/>
            <w:vAlign w:val="center"/>
          </w:tcPr>
          <w:p w14:paraId="1B013340"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p>
        </w:tc>
        <w:tc>
          <w:tcPr>
            <w:tcW w:w="669" w:type="pct"/>
            <w:shd w:val="clear" w:color="000000" w:fill="FFFFFF"/>
            <w:vAlign w:val="center"/>
          </w:tcPr>
          <w:p w14:paraId="1817D074"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Кредитний ризик</w:t>
            </w:r>
          </w:p>
        </w:tc>
        <w:tc>
          <w:tcPr>
            <w:tcW w:w="301" w:type="pct"/>
            <w:shd w:val="clear" w:color="000000" w:fill="FFFFFF"/>
            <w:noWrap/>
            <w:vAlign w:val="center"/>
            <w:hideMark/>
          </w:tcPr>
          <w:p w14:paraId="64A4C070"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253413</w:t>
            </w:r>
          </w:p>
        </w:tc>
        <w:tc>
          <w:tcPr>
            <w:tcW w:w="343" w:type="pct"/>
            <w:shd w:val="clear" w:color="000000" w:fill="FFFFFF"/>
            <w:noWrap/>
            <w:vAlign w:val="center"/>
            <w:hideMark/>
          </w:tcPr>
          <w:p w14:paraId="1F7781C6"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9669</w:t>
            </w:r>
          </w:p>
        </w:tc>
        <w:tc>
          <w:tcPr>
            <w:tcW w:w="393" w:type="pct"/>
            <w:shd w:val="clear" w:color="000000" w:fill="FFFFFF"/>
            <w:noWrap/>
            <w:vAlign w:val="center"/>
            <w:hideMark/>
          </w:tcPr>
          <w:p w14:paraId="46BA50C9"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109130</w:t>
            </w:r>
          </w:p>
        </w:tc>
        <w:tc>
          <w:tcPr>
            <w:tcW w:w="393" w:type="pct"/>
            <w:shd w:val="clear" w:color="000000" w:fill="FFFFFF"/>
            <w:noWrap/>
            <w:vAlign w:val="center"/>
            <w:hideMark/>
          </w:tcPr>
          <w:p w14:paraId="74BA1046"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15402</w:t>
            </w:r>
          </w:p>
        </w:tc>
        <w:tc>
          <w:tcPr>
            <w:tcW w:w="343" w:type="pct"/>
            <w:shd w:val="clear" w:color="000000" w:fill="FFFFFF"/>
            <w:noWrap/>
            <w:vAlign w:val="center"/>
            <w:hideMark/>
          </w:tcPr>
          <w:p w14:paraId="210F44CB"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18366</w:t>
            </w:r>
          </w:p>
        </w:tc>
        <w:tc>
          <w:tcPr>
            <w:tcW w:w="343" w:type="pct"/>
            <w:shd w:val="clear" w:color="000000" w:fill="FFFFFF"/>
            <w:noWrap/>
            <w:vAlign w:val="center"/>
            <w:hideMark/>
          </w:tcPr>
          <w:p w14:paraId="61CEE0DB"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169</w:t>
            </w:r>
          </w:p>
        </w:tc>
        <w:tc>
          <w:tcPr>
            <w:tcW w:w="294" w:type="pct"/>
            <w:shd w:val="clear" w:color="000000" w:fill="FFFFFF"/>
            <w:noWrap/>
            <w:vAlign w:val="center"/>
            <w:hideMark/>
          </w:tcPr>
          <w:p w14:paraId="58952BD7"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28022</w:t>
            </w:r>
          </w:p>
        </w:tc>
        <w:tc>
          <w:tcPr>
            <w:tcW w:w="294" w:type="pct"/>
            <w:shd w:val="clear" w:color="000000" w:fill="FFFFFF"/>
            <w:noWrap/>
            <w:vAlign w:val="center"/>
            <w:hideMark/>
          </w:tcPr>
          <w:p w14:paraId="6DBFC1BA"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1546</w:t>
            </w:r>
          </w:p>
        </w:tc>
        <w:tc>
          <w:tcPr>
            <w:tcW w:w="343" w:type="pct"/>
            <w:shd w:val="clear" w:color="000000" w:fill="FFFFFF"/>
            <w:noWrap/>
            <w:vAlign w:val="center"/>
            <w:hideMark/>
          </w:tcPr>
          <w:p w14:paraId="7077E89D"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23202</w:t>
            </w:r>
          </w:p>
        </w:tc>
        <w:tc>
          <w:tcPr>
            <w:tcW w:w="405" w:type="pct"/>
            <w:shd w:val="clear" w:color="000000" w:fill="FFFFFF"/>
            <w:noWrap/>
            <w:vAlign w:val="center"/>
            <w:hideMark/>
          </w:tcPr>
          <w:p w14:paraId="4323CC8A"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214613692</w:t>
            </w:r>
          </w:p>
        </w:tc>
        <w:tc>
          <w:tcPr>
            <w:tcW w:w="232" w:type="pct"/>
            <w:noWrap/>
            <w:vAlign w:val="center"/>
            <w:hideMark/>
          </w:tcPr>
          <w:p w14:paraId="4F6AAD90"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0,15</w:t>
            </w:r>
          </w:p>
        </w:tc>
        <w:tc>
          <w:tcPr>
            <w:tcW w:w="200" w:type="pct"/>
            <w:noWrap/>
            <w:vAlign w:val="center"/>
            <w:hideMark/>
          </w:tcPr>
          <w:p w14:paraId="4A914893"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0,11</w:t>
            </w:r>
          </w:p>
        </w:tc>
        <w:tc>
          <w:tcPr>
            <w:tcW w:w="198" w:type="pct"/>
            <w:noWrap/>
            <w:vAlign w:val="center"/>
            <w:hideMark/>
          </w:tcPr>
          <w:p w14:paraId="429A1262"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99,74</w:t>
            </w:r>
          </w:p>
        </w:tc>
      </w:tr>
      <w:tr w:rsidR="00F00EB0" w:rsidRPr="00F00EB0" w14:paraId="7F0CC7C6" w14:textId="77777777" w:rsidTr="00FA1511">
        <w:trPr>
          <w:trHeight w:val="300"/>
        </w:trPr>
        <w:tc>
          <w:tcPr>
            <w:tcW w:w="250" w:type="pct"/>
            <w:vMerge w:val="restart"/>
            <w:shd w:val="clear" w:color="000000" w:fill="FFFFFF"/>
            <w:vAlign w:val="center"/>
          </w:tcPr>
          <w:p w14:paraId="02690B38"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w:t>
            </w:r>
            <w:r w:rsidRPr="00F00EB0">
              <w:rPr>
                <w:rFonts w:ascii="Times New Roman" w:hAnsi="Times New Roman" w:cs="Times New Roman"/>
                <w:color w:val="000000" w:themeColor="text1"/>
                <w:sz w:val="24"/>
                <w:szCs w:val="24"/>
                <w:lang w:val="uk-UA"/>
              </w:rPr>
              <w:br/>
              <w:t>2021</w:t>
            </w:r>
          </w:p>
        </w:tc>
        <w:tc>
          <w:tcPr>
            <w:tcW w:w="669" w:type="pct"/>
            <w:shd w:val="clear" w:color="000000" w:fill="FFFFFF"/>
            <w:vAlign w:val="center"/>
          </w:tcPr>
          <w:p w14:paraId="12E0128D"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Сума кредитної заборгованості</w:t>
            </w:r>
          </w:p>
        </w:tc>
        <w:tc>
          <w:tcPr>
            <w:tcW w:w="301" w:type="pct"/>
            <w:shd w:val="clear" w:color="000000" w:fill="FFFFFF"/>
            <w:noWrap/>
            <w:vAlign w:val="center"/>
            <w:hideMark/>
          </w:tcPr>
          <w:p w14:paraId="39346F56"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4350223</w:t>
            </w:r>
          </w:p>
        </w:tc>
        <w:tc>
          <w:tcPr>
            <w:tcW w:w="343" w:type="pct"/>
            <w:shd w:val="clear" w:color="000000" w:fill="FFFFFF"/>
            <w:noWrap/>
            <w:vAlign w:val="center"/>
            <w:hideMark/>
          </w:tcPr>
          <w:p w14:paraId="2BA004FE"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1614652</w:t>
            </w:r>
          </w:p>
        </w:tc>
        <w:tc>
          <w:tcPr>
            <w:tcW w:w="393" w:type="pct"/>
            <w:shd w:val="clear" w:color="000000" w:fill="FFFFFF"/>
            <w:noWrap/>
            <w:vAlign w:val="center"/>
            <w:hideMark/>
          </w:tcPr>
          <w:p w14:paraId="34EC5A71"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2224892</w:t>
            </w:r>
          </w:p>
        </w:tc>
        <w:tc>
          <w:tcPr>
            <w:tcW w:w="393" w:type="pct"/>
            <w:shd w:val="clear" w:color="000000" w:fill="FFFFFF"/>
            <w:noWrap/>
            <w:vAlign w:val="center"/>
            <w:hideMark/>
          </w:tcPr>
          <w:p w14:paraId="6A56768B"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1184410</w:t>
            </w:r>
          </w:p>
        </w:tc>
        <w:tc>
          <w:tcPr>
            <w:tcW w:w="343" w:type="pct"/>
            <w:shd w:val="clear" w:color="000000" w:fill="FFFFFF"/>
            <w:noWrap/>
            <w:vAlign w:val="center"/>
            <w:hideMark/>
          </w:tcPr>
          <w:p w14:paraId="120E9601"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554708</w:t>
            </w:r>
          </w:p>
        </w:tc>
        <w:tc>
          <w:tcPr>
            <w:tcW w:w="343" w:type="pct"/>
            <w:shd w:val="clear" w:color="000000" w:fill="FFFFFF"/>
            <w:noWrap/>
            <w:vAlign w:val="center"/>
            <w:hideMark/>
          </w:tcPr>
          <w:p w14:paraId="549D603B"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28836</w:t>
            </w:r>
          </w:p>
        </w:tc>
        <w:tc>
          <w:tcPr>
            <w:tcW w:w="294" w:type="pct"/>
            <w:shd w:val="clear" w:color="000000" w:fill="FFFFFF"/>
            <w:noWrap/>
            <w:vAlign w:val="center"/>
            <w:hideMark/>
          </w:tcPr>
          <w:p w14:paraId="3481964B"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32205</w:t>
            </w:r>
          </w:p>
        </w:tc>
        <w:tc>
          <w:tcPr>
            <w:tcW w:w="294" w:type="pct"/>
            <w:shd w:val="clear" w:color="000000" w:fill="FFFFFF"/>
            <w:noWrap/>
            <w:vAlign w:val="center"/>
            <w:hideMark/>
          </w:tcPr>
          <w:p w14:paraId="6A6F936F"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6867</w:t>
            </w:r>
          </w:p>
        </w:tc>
        <w:tc>
          <w:tcPr>
            <w:tcW w:w="343" w:type="pct"/>
            <w:shd w:val="clear" w:color="000000" w:fill="FFFFFF"/>
            <w:noWrap/>
            <w:vAlign w:val="center"/>
            <w:hideMark/>
          </w:tcPr>
          <w:p w14:paraId="55780182"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217920</w:t>
            </w:r>
          </w:p>
        </w:tc>
        <w:tc>
          <w:tcPr>
            <w:tcW w:w="405" w:type="pct"/>
            <w:shd w:val="clear" w:color="000000" w:fill="FFFFFF"/>
            <w:noWrap/>
            <w:vAlign w:val="center"/>
            <w:hideMark/>
          </w:tcPr>
          <w:p w14:paraId="77DEBF8D"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212850775</w:t>
            </w:r>
          </w:p>
        </w:tc>
        <w:tc>
          <w:tcPr>
            <w:tcW w:w="232" w:type="pct"/>
            <w:noWrap/>
            <w:vAlign w:val="center"/>
            <w:hideMark/>
          </w:tcPr>
          <w:p w14:paraId="37677092"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2,36</w:t>
            </w:r>
          </w:p>
        </w:tc>
        <w:tc>
          <w:tcPr>
            <w:tcW w:w="200" w:type="pct"/>
            <w:noWrap/>
            <w:vAlign w:val="center"/>
            <w:hideMark/>
          </w:tcPr>
          <w:p w14:paraId="16565DB2"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3,30</w:t>
            </w:r>
          </w:p>
        </w:tc>
        <w:tc>
          <w:tcPr>
            <w:tcW w:w="198" w:type="pct"/>
            <w:noWrap/>
            <w:vAlign w:val="center"/>
            <w:hideMark/>
          </w:tcPr>
          <w:p w14:paraId="0A55222D"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94,35</w:t>
            </w:r>
          </w:p>
        </w:tc>
      </w:tr>
      <w:tr w:rsidR="00F00EB0" w:rsidRPr="00F00EB0" w14:paraId="441F6A10" w14:textId="77777777" w:rsidTr="00FA1511">
        <w:trPr>
          <w:trHeight w:val="300"/>
        </w:trPr>
        <w:tc>
          <w:tcPr>
            <w:tcW w:w="250" w:type="pct"/>
            <w:vMerge/>
            <w:shd w:val="clear" w:color="000000" w:fill="FFFFFF"/>
            <w:vAlign w:val="center"/>
          </w:tcPr>
          <w:p w14:paraId="2858F64F"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p>
        </w:tc>
        <w:tc>
          <w:tcPr>
            <w:tcW w:w="669" w:type="pct"/>
            <w:shd w:val="clear" w:color="000000" w:fill="FFFFFF"/>
            <w:vAlign w:val="center"/>
          </w:tcPr>
          <w:p w14:paraId="77EE0671"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Кредитний ризик</w:t>
            </w:r>
          </w:p>
        </w:tc>
        <w:tc>
          <w:tcPr>
            <w:tcW w:w="301" w:type="pct"/>
            <w:shd w:val="clear" w:color="000000" w:fill="FFFFFF"/>
            <w:noWrap/>
            <w:vAlign w:val="center"/>
            <w:hideMark/>
          </w:tcPr>
          <w:p w14:paraId="017A23C7"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321678</w:t>
            </w:r>
          </w:p>
        </w:tc>
        <w:tc>
          <w:tcPr>
            <w:tcW w:w="343" w:type="pct"/>
            <w:shd w:val="clear" w:color="000000" w:fill="FFFFFF"/>
            <w:noWrap/>
            <w:vAlign w:val="center"/>
            <w:hideMark/>
          </w:tcPr>
          <w:p w14:paraId="45BB2D2F"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44082</w:t>
            </w:r>
          </w:p>
        </w:tc>
        <w:tc>
          <w:tcPr>
            <w:tcW w:w="393" w:type="pct"/>
            <w:shd w:val="clear" w:color="000000" w:fill="FFFFFF"/>
            <w:noWrap/>
            <w:vAlign w:val="center"/>
            <w:hideMark/>
          </w:tcPr>
          <w:p w14:paraId="38C13E24"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106238</w:t>
            </w:r>
          </w:p>
        </w:tc>
        <w:tc>
          <w:tcPr>
            <w:tcW w:w="393" w:type="pct"/>
            <w:shd w:val="clear" w:color="000000" w:fill="FFFFFF"/>
            <w:noWrap/>
            <w:vAlign w:val="center"/>
            <w:hideMark/>
          </w:tcPr>
          <w:p w14:paraId="6879B6C1"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58770</w:t>
            </w:r>
          </w:p>
        </w:tc>
        <w:tc>
          <w:tcPr>
            <w:tcW w:w="343" w:type="pct"/>
            <w:shd w:val="clear" w:color="000000" w:fill="FFFFFF"/>
            <w:noWrap/>
            <w:vAlign w:val="center"/>
            <w:hideMark/>
          </w:tcPr>
          <w:p w14:paraId="2064F57D"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12987</w:t>
            </w:r>
          </w:p>
        </w:tc>
        <w:tc>
          <w:tcPr>
            <w:tcW w:w="343" w:type="pct"/>
            <w:shd w:val="clear" w:color="000000" w:fill="FFFFFF"/>
            <w:noWrap/>
            <w:vAlign w:val="center"/>
            <w:hideMark/>
          </w:tcPr>
          <w:p w14:paraId="5C2A7B0C"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3090</w:t>
            </w:r>
          </w:p>
        </w:tc>
        <w:tc>
          <w:tcPr>
            <w:tcW w:w="294" w:type="pct"/>
            <w:shd w:val="clear" w:color="000000" w:fill="FFFFFF"/>
            <w:noWrap/>
            <w:vAlign w:val="center"/>
            <w:hideMark/>
          </w:tcPr>
          <w:p w14:paraId="64BF75DD"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1481</w:t>
            </w:r>
          </w:p>
        </w:tc>
        <w:tc>
          <w:tcPr>
            <w:tcW w:w="294" w:type="pct"/>
            <w:shd w:val="clear" w:color="000000" w:fill="FFFFFF"/>
            <w:noWrap/>
            <w:vAlign w:val="center"/>
            <w:hideMark/>
          </w:tcPr>
          <w:p w14:paraId="20199ED1"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1908</w:t>
            </w:r>
          </w:p>
        </w:tc>
        <w:tc>
          <w:tcPr>
            <w:tcW w:w="343" w:type="pct"/>
            <w:shd w:val="clear" w:color="000000" w:fill="FFFFFF"/>
            <w:noWrap/>
            <w:vAlign w:val="center"/>
            <w:hideMark/>
          </w:tcPr>
          <w:p w14:paraId="11EE7140"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66513</w:t>
            </w:r>
          </w:p>
        </w:tc>
        <w:tc>
          <w:tcPr>
            <w:tcW w:w="405" w:type="pct"/>
            <w:shd w:val="clear" w:color="000000" w:fill="FFFFFF"/>
            <w:noWrap/>
            <w:vAlign w:val="center"/>
            <w:hideMark/>
          </w:tcPr>
          <w:p w14:paraId="037B5602"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212813856</w:t>
            </w:r>
          </w:p>
        </w:tc>
        <w:tc>
          <w:tcPr>
            <w:tcW w:w="232" w:type="pct"/>
            <w:noWrap/>
            <w:vAlign w:val="center"/>
            <w:hideMark/>
          </w:tcPr>
          <w:p w14:paraId="2D9F2F38"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0,16</w:t>
            </w:r>
          </w:p>
        </w:tc>
        <w:tc>
          <w:tcPr>
            <w:tcW w:w="200" w:type="pct"/>
            <w:noWrap/>
            <w:vAlign w:val="center"/>
            <w:hideMark/>
          </w:tcPr>
          <w:p w14:paraId="4EE33C6D"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0,11</w:t>
            </w:r>
          </w:p>
        </w:tc>
        <w:tc>
          <w:tcPr>
            <w:tcW w:w="198" w:type="pct"/>
            <w:noWrap/>
            <w:vAlign w:val="center"/>
            <w:hideMark/>
          </w:tcPr>
          <w:p w14:paraId="7E920D91"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99,72</w:t>
            </w:r>
          </w:p>
        </w:tc>
      </w:tr>
      <w:tr w:rsidR="00F00EB0" w:rsidRPr="00F00EB0" w14:paraId="32E6F835" w14:textId="77777777" w:rsidTr="00FA1511">
        <w:trPr>
          <w:trHeight w:val="300"/>
        </w:trPr>
        <w:tc>
          <w:tcPr>
            <w:tcW w:w="250" w:type="pct"/>
            <w:vMerge w:val="restart"/>
            <w:shd w:val="clear" w:color="000000" w:fill="FFFFFF"/>
            <w:vAlign w:val="center"/>
          </w:tcPr>
          <w:p w14:paraId="0434C15B"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w:t>
            </w:r>
            <w:r w:rsidRPr="00F00EB0">
              <w:rPr>
                <w:rFonts w:ascii="Times New Roman" w:hAnsi="Times New Roman" w:cs="Times New Roman"/>
                <w:color w:val="000000" w:themeColor="text1"/>
                <w:sz w:val="24"/>
                <w:szCs w:val="24"/>
                <w:lang w:val="uk-UA"/>
              </w:rPr>
              <w:br/>
              <w:t>2022</w:t>
            </w:r>
          </w:p>
        </w:tc>
        <w:tc>
          <w:tcPr>
            <w:tcW w:w="669" w:type="pct"/>
            <w:shd w:val="clear" w:color="000000" w:fill="FFFFFF"/>
            <w:vAlign w:val="center"/>
          </w:tcPr>
          <w:p w14:paraId="76EA75DB"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Сума кредитної заборгованості</w:t>
            </w:r>
          </w:p>
        </w:tc>
        <w:tc>
          <w:tcPr>
            <w:tcW w:w="301" w:type="pct"/>
            <w:shd w:val="clear" w:color="000000" w:fill="FFFFFF"/>
            <w:noWrap/>
            <w:vAlign w:val="center"/>
            <w:hideMark/>
          </w:tcPr>
          <w:p w14:paraId="1BB83C6F"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4203194</w:t>
            </w:r>
          </w:p>
        </w:tc>
        <w:tc>
          <w:tcPr>
            <w:tcW w:w="343" w:type="pct"/>
            <w:shd w:val="clear" w:color="000000" w:fill="FFFFFF"/>
            <w:noWrap/>
            <w:vAlign w:val="center"/>
            <w:hideMark/>
          </w:tcPr>
          <w:p w14:paraId="05F33B21"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1111458</w:t>
            </w:r>
          </w:p>
        </w:tc>
        <w:tc>
          <w:tcPr>
            <w:tcW w:w="393" w:type="pct"/>
            <w:shd w:val="clear" w:color="000000" w:fill="FFFFFF"/>
            <w:noWrap/>
            <w:vAlign w:val="center"/>
            <w:hideMark/>
          </w:tcPr>
          <w:p w14:paraId="5F301B6E"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2646200</w:t>
            </w:r>
          </w:p>
        </w:tc>
        <w:tc>
          <w:tcPr>
            <w:tcW w:w="393" w:type="pct"/>
            <w:shd w:val="clear" w:color="000000" w:fill="FFFFFF"/>
            <w:noWrap/>
            <w:vAlign w:val="center"/>
            <w:hideMark/>
          </w:tcPr>
          <w:p w14:paraId="53993EE0"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1092210</w:t>
            </w:r>
          </w:p>
        </w:tc>
        <w:tc>
          <w:tcPr>
            <w:tcW w:w="343" w:type="pct"/>
            <w:shd w:val="clear" w:color="000000" w:fill="FFFFFF"/>
            <w:noWrap/>
            <w:vAlign w:val="center"/>
            <w:hideMark/>
          </w:tcPr>
          <w:p w14:paraId="390DF124"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715520</w:t>
            </w:r>
          </w:p>
        </w:tc>
        <w:tc>
          <w:tcPr>
            <w:tcW w:w="343" w:type="pct"/>
            <w:shd w:val="clear" w:color="000000" w:fill="FFFFFF"/>
            <w:noWrap/>
            <w:vAlign w:val="center"/>
            <w:hideMark/>
          </w:tcPr>
          <w:p w14:paraId="66E8BCC8"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287532</w:t>
            </w:r>
          </w:p>
        </w:tc>
        <w:tc>
          <w:tcPr>
            <w:tcW w:w="294" w:type="pct"/>
            <w:shd w:val="clear" w:color="000000" w:fill="FFFFFF"/>
            <w:noWrap/>
            <w:vAlign w:val="center"/>
            <w:hideMark/>
          </w:tcPr>
          <w:p w14:paraId="099F222C"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7326</w:t>
            </w:r>
          </w:p>
        </w:tc>
        <w:tc>
          <w:tcPr>
            <w:tcW w:w="294" w:type="pct"/>
            <w:shd w:val="clear" w:color="000000" w:fill="FFFFFF"/>
            <w:noWrap/>
            <w:vAlign w:val="center"/>
            <w:hideMark/>
          </w:tcPr>
          <w:p w14:paraId="38EE9979"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25062</w:t>
            </w:r>
          </w:p>
        </w:tc>
        <w:tc>
          <w:tcPr>
            <w:tcW w:w="343" w:type="pct"/>
            <w:shd w:val="clear" w:color="000000" w:fill="FFFFFF"/>
            <w:noWrap/>
            <w:vAlign w:val="center"/>
            <w:hideMark/>
          </w:tcPr>
          <w:p w14:paraId="3482863B"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292011</w:t>
            </w:r>
          </w:p>
        </w:tc>
        <w:tc>
          <w:tcPr>
            <w:tcW w:w="405" w:type="pct"/>
            <w:shd w:val="clear" w:color="000000" w:fill="FFFFFF"/>
            <w:noWrap/>
            <w:vAlign w:val="center"/>
            <w:hideMark/>
          </w:tcPr>
          <w:p w14:paraId="0E646605"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168092369</w:t>
            </w:r>
          </w:p>
        </w:tc>
        <w:tc>
          <w:tcPr>
            <w:tcW w:w="232" w:type="pct"/>
            <w:noWrap/>
            <w:vAlign w:val="center"/>
            <w:hideMark/>
          </w:tcPr>
          <w:p w14:paraId="3CAA8676"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3,82</w:t>
            </w:r>
          </w:p>
        </w:tc>
        <w:tc>
          <w:tcPr>
            <w:tcW w:w="200" w:type="pct"/>
            <w:noWrap/>
            <w:vAlign w:val="center"/>
            <w:hideMark/>
          </w:tcPr>
          <w:p w14:paraId="74F542FE"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3,12</w:t>
            </w:r>
          </w:p>
        </w:tc>
        <w:tc>
          <w:tcPr>
            <w:tcW w:w="198" w:type="pct"/>
            <w:noWrap/>
            <w:vAlign w:val="center"/>
            <w:hideMark/>
          </w:tcPr>
          <w:p w14:paraId="0017FA38"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93,06</w:t>
            </w:r>
          </w:p>
        </w:tc>
      </w:tr>
      <w:tr w:rsidR="00F00EB0" w:rsidRPr="00F00EB0" w14:paraId="0CADFC32" w14:textId="77777777" w:rsidTr="00FA1511">
        <w:trPr>
          <w:trHeight w:val="300"/>
        </w:trPr>
        <w:tc>
          <w:tcPr>
            <w:tcW w:w="250" w:type="pct"/>
            <w:vMerge/>
            <w:shd w:val="clear" w:color="000000" w:fill="FFFFFF"/>
            <w:vAlign w:val="center"/>
          </w:tcPr>
          <w:p w14:paraId="61CCD621"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p>
        </w:tc>
        <w:tc>
          <w:tcPr>
            <w:tcW w:w="669" w:type="pct"/>
            <w:shd w:val="clear" w:color="000000" w:fill="FFFFFF"/>
            <w:vAlign w:val="center"/>
          </w:tcPr>
          <w:p w14:paraId="0A3FA568"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Кредитний ризик</w:t>
            </w:r>
          </w:p>
        </w:tc>
        <w:tc>
          <w:tcPr>
            <w:tcW w:w="301" w:type="pct"/>
            <w:shd w:val="clear" w:color="000000" w:fill="FFFFFF"/>
            <w:noWrap/>
            <w:vAlign w:val="center"/>
            <w:hideMark/>
          </w:tcPr>
          <w:p w14:paraId="46B92C18"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274115</w:t>
            </w:r>
          </w:p>
        </w:tc>
        <w:tc>
          <w:tcPr>
            <w:tcW w:w="343" w:type="pct"/>
            <w:shd w:val="clear" w:color="000000" w:fill="FFFFFF"/>
            <w:noWrap/>
            <w:vAlign w:val="center"/>
            <w:hideMark/>
          </w:tcPr>
          <w:p w14:paraId="48DD8017"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10211</w:t>
            </w:r>
          </w:p>
        </w:tc>
        <w:tc>
          <w:tcPr>
            <w:tcW w:w="393" w:type="pct"/>
            <w:shd w:val="clear" w:color="000000" w:fill="FFFFFF"/>
            <w:noWrap/>
            <w:vAlign w:val="center"/>
            <w:hideMark/>
          </w:tcPr>
          <w:p w14:paraId="7487D75B"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136314</w:t>
            </w:r>
          </w:p>
        </w:tc>
        <w:tc>
          <w:tcPr>
            <w:tcW w:w="393" w:type="pct"/>
            <w:shd w:val="clear" w:color="000000" w:fill="FFFFFF"/>
            <w:noWrap/>
            <w:vAlign w:val="center"/>
            <w:hideMark/>
          </w:tcPr>
          <w:p w14:paraId="1A5DB892"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15919</w:t>
            </w:r>
          </w:p>
        </w:tc>
        <w:tc>
          <w:tcPr>
            <w:tcW w:w="343" w:type="pct"/>
            <w:shd w:val="clear" w:color="000000" w:fill="FFFFFF"/>
            <w:noWrap/>
            <w:vAlign w:val="center"/>
            <w:hideMark/>
          </w:tcPr>
          <w:p w14:paraId="187E6BEB"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16021</w:t>
            </w:r>
          </w:p>
        </w:tc>
        <w:tc>
          <w:tcPr>
            <w:tcW w:w="343" w:type="pct"/>
            <w:shd w:val="clear" w:color="000000" w:fill="FFFFFF"/>
            <w:noWrap/>
            <w:vAlign w:val="center"/>
            <w:hideMark/>
          </w:tcPr>
          <w:p w14:paraId="44FED6A9"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7078</w:t>
            </w:r>
          </w:p>
        </w:tc>
        <w:tc>
          <w:tcPr>
            <w:tcW w:w="294" w:type="pct"/>
            <w:shd w:val="clear" w:color="000000" w:fill="FFFFFF"/>
            <w:noWrap/>
            <w:vAlign w:val="center"/>
            <w:hideMark/>
          </w:tcPr>
          <w:p w14:paraId="7F7DE563"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557</w:t>
            </w:r>
          </w:p>
        </w:tc>
        <w:tc>
          <w:tcPr>
            <w:tcW w:w="294" w:type="pct"/>
            <w:shd w:val="clear" w:color="000000" w:fill="FFFFFF"/>
            <w:noWrap/>
            <w:vAlign w:val="center"/>
            <w:hideMark/>
          </w:tcPr>
          <w:p w14:paraId="1BD5F88F"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6197</w:t>
            </w:r>
          </w:p>
        </w:tc>
        <w:tc>
          <w:tcPr>
            <w:tcW w:w="343" w:type="pct"/>
            <w:shd w:val="clear" w:color="000000" w:fill="FFFFFF"/>
            <w:noWrap/>
            <w:vAlign w:val="center"/>
            <w:hideMark/>
          </w:tcPr>
          <w:p w14:paraId="7AAD4782"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88231</w:t>
            </w:r>
          </w:p>
        </w:tc>
        <w:tc>
          <w:tcPr>
            <w:tcW w:w="405" w:type="pct"/>
            <w:shd w:val="clear" w:color="000000" w:fill="FFFFFF"/>
            <w:noWrap/>
            <w:vAlign w:val="center"/>
            <w:hideMark/>
          </w:tcPr>
          <w:p w14:paraId="649D43F4"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168020539</w:t>
            </w:r>
          </w:p>
        </w:tc>
        <w:tc>
          <w:tcPr>
            <w:tcW w:w="232" w:type="pct"/>
            <w:noWrap/>
            <w:vAlign w:val="center"/>
            <w:hideMark/>
          </w:tcPr>
          <w:p w14:paraId="0044E00E"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0,20</w:t>
            </w:r>
          </w:p>
        </w:tc>
        <w:tc>
          <w:tcPr>
            <w:tcW w:w="200" w:type="pct"/>
            <w:noWrap/>
            <w:vAlign w:val="center"/>
            <w:hideMark/>
          </w:tcPr>
          <w:p w14:paraId="6D542897"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0,12</w:t>
            </w:r>
          </w:p>
        </w:tc>
        <w:tc>
          <w:tcPr>
            <w:tcW w:w="198" w:type="pct"/>
            <w:noWrap/>
            <w:vAlign w:val="center"/>
            <w:hideMark/>
          </w:tcPr>
          <w:p w14:paraId="50A608D7"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99,68</w:t>
            </w:r>
          </w:p>
        </w:tc>
      </w:tr>
      <w:tr w:rsidR="00F00EB0" w:rsidRPr="00F00EB0" w14:paraId="75D8740A" w14:textId="77777777" w:rsidTr="00FA1511">
        <w:trPr>
          <w:trHeight w:val="300"/>
        </w:trPr>
        <w:tc>
          <w:tcPr>
            <w:tcW w:w="250" w:type="pct"/>
            <w:vMerge w:val="restart"/>
            <w:shd w:val="clear" w:color="000000" w:fill="FFFFFF"/>
            <w:vAlign w:val="center"/>
          </w:tcPr>
          <w:p w14:paraId="09B0C6B6" w14:textId="77777777" w:rsidR="00AD1F2D" w:rsidRPr="00F00EB0" w:rsidRDefault="00AD1F2D" w:rsidP="006B51B9">
            <w:pPr>
              <w:spacing w:after="0"/>
              <w:ind w:left="-113" w:right="-113"/>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01.01.</w:t>
            </w:r>
            <w:r w:rsidRPr="00F00EB0">
              <w:rPr>
                <w:rFonts w:ascii="Times New Roman" w:hAnsi="Times New Roman" w:cs="Times New Roman"/>
                <w:color w:val="000000" w:themeColor="text1"/>
                <w:sz w:val="24"/>
                <w:szCs w:val="24"/>
                <w:lang w:val="uk-UA"/>
              </w:rPr>
              <w:br/>
              <w:t>2023</w:t>
            </w:r>
          </w:p>
        </w:tc>
        <w:tc>
          <w:tcPr>
            <w:tcW w:w="669" w:type="pct"/>
            <w:shd w:val="clear" w:color="000000" w:fill="FFFFFF"/>
            <w:vAlign w:val="center"/>
          </w:tcPr>
          <w:p w14:paraId="5DC3DE9A"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Сума кредитної заборгованості</w:t>
            </w:r>
          </w:p>
        </w:tc>
        <w:tc>
          <w:tcPr>
            <w:tcW w:w="301" w:type="pct"/>
            <w:shd w:val="clear" w:color="000000" w:fill="FFFFFF"/>
            <w:noWrap/>
            <w:vAlign w:val="center"/>
            <w:hideMark/>
          </w:tcPr>
          <w:p w14:paraId="3E3F9369"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6758084</w:t>
            </w:r>
          </w:p>
        </w:tc>
        <w:tc>
          <w:tcPr>
            <w:tcW w:w="343" w:type="pct"/>
            <w:shd w:val="clear" w:color="000000" w:fill="FFFFFF"/>
            <w:noWrap/>
            <w:vAlign w:val="center"/>
            <w:hideMark/>
          </w:tcPr>
          <w:p w14:paraId="2806F857"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1302850</w:t>
            </w:r>
          </w:p>
        </w:tc>
        <w:tc>
          <w:tcPr>
            <w:tcW w:w="393" w:type="pct"/>
            <w:shd w:val="clear" w:color="000000" w:fill="FFFFFF"/>
            <w:noWrap/>
            <w:vAlign w:val="center"/>
            <w:hideMark/>
          </w:tcPr>
          <w:p w14:paraId="2E71E93D"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3205491</w:t>
            </w:r>
          </w:p>
        </w:tc>
        <w:tc>
          <w:tcPr>
            <w:tcW w:w="393" w:type="pct"/>
            <w:shd w:val="clear" w:color="000000" w:fill="FFFFFF"/>
            <w:noWrap/>
            <w:vAlign w:val="center"/>
            <w:hideMark/>
          </w:tcPr>
          <w:p w14:paraId="630D9583"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813728</w:t>
            </w:r>
          </w:p>
        </w:tc>
        <w:tc>
          <w:tcPr>
            <w:tcW w:w="343" w:type="pct"/>
            <w:shd w:val="clear" w:color="000000" w:fill="FFFFFF"/>
            <w:noWrap/>
            <w:vAlign w:val="center"/>
            <w:hideMark/>
          </w:tcPr>
          <w:p w14:paraId="1B2D9FF4"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153961</w:t>
            </w:r>
          </w:p>
        </w:tc>
        <w:tc>
          <w:tcPr>
            <w:tcW w:w="343" w:type="pct"/>
            <w:shd w:val="clear" w:color="000000" w:fill="FFFFFF"/>
            <w:noWrap/>
            <w:vAlign w:val="center"/>
            <w:hideMark/>
          </w:tcPr>
          <w:p w14:paraId="405E138E"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15519</w:t>
            </w:r>
          </w:p>
        </w:tc>
        <w:tc>
          <w:tcPr>
            <w:tcW w:w="294" w:type="pct"/>
            <w:shd w:val="clear" w:color="000000" w:fill="FFFFFF"/>
            <w:noWrap/>
            <w:vAlign w:val="center"/>
            <w:hideMark/>
          </w:tcPr>
          <w:p w14:paraId="74210619"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15574</w:t>
            </w:r>
          </w:p>
        </w:tc>
        <w:tc>
          <w:tcPr>
            <w:tcW w:w="294" w:type="pct"/>
            <w:shd w:val="clear" w:color="000000" w:fill="FFFFFF"/>
            <w:noWrap/>
            <w:vAlign w:val="center"/>
            <w:hideMark/>
          </w:tcPr>
          <w:p w14:paraId="31F3F348"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18886</w:t>
            </w:r>
          </w:p>
        </w:tc>
        <w:tc>
          <w:tcPr>
            <w:tcW w:w="343" w:type="pct"/>
            <w:shd w:val="clear" w:color="000000" w:fill="FFFFFF"/>
            <w:noWrap/>
            <w:vAlign w:val="center"/>
            <w:hideMark/>
          </w:tcPr>
          <w:p w14:paraId="76C8D0EB"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167094</w:t>
            </w:r>
          </w:p>
        </w:tc>
        <w:tc>
          <w:tcPr>
            <w:tcW w:w="405" w:type="pct"/>
            <w:shd w:val="clear" w:color="000000" w:fill="FFFFFF"/>
            <w:noWrap/>
            <w:vAlign w:val="center"/>
            <w:hideMark/>
          </w:tcPr>
          <w:p w14:paraId="1103B751"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164628979</w:t>
            </w:r>
          </w:p>
        </w:tc>
        <w:tc>
          <w:tcPr>
            <w:tcW w:w="232" w:type="pct"/>
            <w:noWrap/>
            <w:vAlign w:val="center"/>
            <w:hideMark/>
          </w:tcPr>
          <w:p w14:paraId="569C6049"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8,29</w:t>
            </w:r>
          </w:p>
        </w:tc>
        <w:tc>
          <w:tcPr>
            <w:tcW w:w="200" w:type="pct"/>
            <w:noWrap/>
            <w:vAlign w:val="center"/>
            <w:hideMark/>
          </w:tcPr>
          <w:p w14:paraId="4826C3C2"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3,99</w:t>
            </w:r>
          </w:p>
        </w:tc>
        <w:tc>
          <w:tcPr>
            <w:tcW w:w="198" w:type="pct"/>
            <w:noWrap/>
            <w:vAlign w:val="center"/>
            <w:hideMark/>
          </w:tcPr>
          <w:p w14:paraId="1230D141"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87,72</w:t>
            </w:r>
          </w:p>
        </w:tc>
      </w:tr>
      <w:tr w:rsidR="00F00EB0" w:rsidRPr="00F00EB0" w14:paraId="3D0EA92B" w14:textId="77777777" w:rsidTr="00FA1511">
        <w:trPr>
          <w:trHeight w:val="300"/>
        </w:trPr>
        <w:tc>
          <w:tcPr>
            <w:tcW w:w="250" w:type="pct"/>
            <w:vMerge/>
            <w:shd w:val="clear" w:color="000000" w:fill="FFFFFF"/>
            <w:vAlign w:val="center"/>
          </w:tcPr>
          <w:p w14:paraId="0BE8A423" w14:textId="77777777" w:rsidR="00AD1F2D" w:rsidRPr="00F00EB0" w:rsidRDefault="00AD1F2D" w:rsidP="00FA1511">
            <w:pPr>
              <w:spacing w:after="0"/>
              <w:ind w:left="-113" w:right="-113"/>
              <w:rPr>
                <w:rFonts w:ascii="Times New Roman" w:hAnsi="Times New Roman" w:cs="Times New Roman"/>
                <w:color w:val="000000" w:themeColor="text1"/>
                <w:sz w:val="24"/>
                <w:szCs w:val="24"/>
                <w:lang w:val="uk-UA"/>
              </w:rPr>
            </w:pPr>
          </w:p>
        </w:tc>
        <w:tc>
          <w:tcPr>
            <w:tcW w:w="669" w:type="pct"/>
            <w:shd w:val="clear" w:color="000000" w:fill="FFFFFF"/>
            <w:vAlign w:val="center"/>
          </w:tcPr>
          <w:p w14:paraId="76ED99F8" w14:textId="77777777" w:rsidR="00AD1F2D" w:rsidRPr="00F00EB0" w:rsidRDefault="00AD1F2D" w:rsidP="006B51B9">
            <w:pPr>
              <w:spacing w:after="0"/>
              <w:ind w:left="-170" w:right="-170"/>
              <w:jc w:val="center"/>
              <w:rPr>
                <w:rFonts w:ascii="Times New Roman" w:hAnsi="Times New Roman" w:cs="Times New Roman"/>
                <w:color w:val="000000" w:themeColor="text1"/>
                <w:sz w:val="24"/>
                <w:szCs w:val="24"/>
                <w:lang w:val="uk-UA"/>
              </w:rPr>
            </w:pPr>
            <w:r w:rsidRPr="00F00EB0">
              <w:rPr>
                <w:rFonts w:ascii="Times New Roman" w:hAnsi="Times New Roman" w:cs="Times New Roman"/>
                <w:color w:val="000000" w:themeColor="text1"/>
                <w:sz w:val="24"/>
                <w:szCs w:val="24"/>
                <w:lang w:val="uk-UA"/>
              </w:rPr>
              <w:t>Кредитний ризик</w:t>
            </w:r>
          </w:p>
        </w:tc>
        <w:tc>
          <w:tcPr>
            <w:tcW w:w="301" w:type="pct"/>
            <w:shd w:val="clear" w:color="000000" w:fill="FFFFFF"/>
            <w:noWrap/>
            <w:vAlign w:val="center"/>
            <w:hideMark/>
          </w:tcPr>
          <w:p w14:paraId="1438B555"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337581</w:t>
            </w:r>
          </w:p>
        </w:tc>
        <w:tc>
          <w:tcPr>
            <w:tcW w:w="343" w:type="pct"/>
            <w:shd w:val="clear" w:color="000000" w:fill="FFFFFF"/>
            <w:noWrap/>
            <w:vAlign w:val="center"/>
            <w:hideMark/>
          </w:tcPr>
          <w:p w14:paraId="5E9149A1"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15249</w:t>
            </w:r>
          </w:p>
        </w:tc>
        <w:tc>
          <w:tcPr>
            <w:tcW w:w="393" w:type="pct"/>
            <w:shd w:val="clear" w:color="000000" w:fill="FFFFFF"/>
            <w:noWrap/>
            <w:vAlign w:val="center"/>
            <w:hideMark/>
          </w:tcPr>
          <w:p w14:paraId="06C297D5"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157334</w:t>
            </w:r>
          </w:p>
        </w:tc>
        <w:tc>
          <w:tcPr>
            <w:tcW w:w="393" w:type="pct"/>
            <w:shd w:val="clear" w:color="000000" w:fill="FFFFFF"/>
            <w:noWrap/>
            <w:vAlign w:val="center"/>
            <w:hideMark/>
          </w:tcPr>
          <w:p w14:paraId="724780E5"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12037</w:t>
            </w:r>
          </w:p>
        </w:tc>
        <w:tc>
          <w:tcPr>
            <w:tcW w:w="343" w:type="pct"/>
            <w:shd w:val="clear" w:color="000000" w:fill="FFFFFF"/>
            <w:noWrap/>
            <w:vAlign w:val="center"/>
            <w:hideMark/>
          </w:tcPr>
          <w:p w14:paraId="3C28CC13"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6229</w:t>
            </w:r>
          </w:p>
        </w:tc>
        <w:tc>
          <w:tcPr>
            <w:tcW w:w="343" w:type="pct"/>
            <w:shd w:val="clear" w:color="000000" w:fill="FFFFFF"/>
            <w:noWrap/>
            <w:vAlign w:val="center"/>
            <w:hideMark/>
          </w:tcPr>
          <w:p w14:paraId="0429CA8D"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48</w:t>
            </w:r>
          </w:p>
        </w:tc>
        <w:tc>
          <w:tcPr>
            <w:tcW w:w="294" w:type="pct"/>
            <w:shd w:val="clear" w:color="000000" w:fill="FFFFFF"/>
            <w:noWrap/>
            <w:vAlign w:val="center"/>
            <w:hideMark/>
          </w:tcPr>
          <w:p w14:paraId="524C27F0"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87</w:t>
            </w:r>
          </w:p>
        </w:tc>
        <w:tc>
          <w:tcPr>
            <w:tcW w:w="294" w:type="pct"/>
            <w:shd w:val="clear" w:color="000000" w:fill="FFFFFF"/>
            <w:noWrap/>
            <w:vAlign w:val="center"/>
            <w:hideMark/>
          </w:tcPr>
          <w:p w14:paraId="4EA4FC2D"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1 096</w:t>
            </w:r>
          </w:p>
        </w:tc>
        <w:tc>
          <w:tcPr>
            <w:tcW w:w="343" w:type="pct"/>
            <w:shd w:val="clear" w:color="000000" w:fill="FFFFFF"/>
            <w:noWrap/>
            <w:vAlign w:val="center"/>
            <w:hideMark/>
          </w:tcPr>
          <w:p w14:paraId="2A6B29F5"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13445</w:t>
            </w:r>
          </w:p>
        </w:tc>
        <w:tc>
          <w:tcPr>
            <w:tcW w:w="405" w:type="pct"/>
            <w:shd w:val="clear" w:color="000000" w:fill="FFFFFF"/>
            <w:noWrap/>
            <w:vAlign w:val="center"/>
            <w:hideMark/>
          </w:tcPr>
          <w:p w14:paraId="6C356D26"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164592342</w:t>
            </w:r>
          </w:p>
        </w:tc>
        <w:tc>
          <w:tcPr>
            <w:tcW w:w="232" w:type="pct"/>
            <w:noWrap/>
            <w:vAlign w:val="center"/>
            <w:hideMark/>
          </w:tcPr>
          <w:p w14:paraId="58A94024"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0,43</w:t>
            </w:r>
          </w:p>
        </w:tc>
        <w:tc>
          <w:tcPr>
            <w:tcW w:w="200" w:type="pct"/>
            <w:noWrap/>
            <w:vAlign w:val="center"/>
            <w:hideMark/>
          </w:tcPr>
          <w:p w14:paraId="700E904C"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0,21</w:t>
            </w:r>
          </w:p>
        </w:tc>
        <w:tc>
          <w:tcPr>
            <w:tcW w:w="198" w:type="pct"/>
            <w:noWrap/>
            <w:vAlign w:val="center"/>
            <w:hideMark/>
          </w:tcPr>
          <w:p w14:paraId="79C2B109" w14:textId="77777777" w:rsidR="00AD1F2D" w:rsidRPr="00F00EB0" w:rsidRDefault="00AD1F2D" w:rsidP="006B51B9">
            <w:pPr>
              <w:spacing w:after="0"/>
              <w:ind w:left="-170" w:right="-170"/>
              <w:jc w:val="right"/>
              <w:rPr>
                <w:rFonts w:ascii="Times New Roman" w:hAnsi="Times New Roman" w:cs="Times New Roman"/>
                <w:color w:val="000000" w:themeColor="text1"/>
                <w:spacing w:val="-20"/>
                <w:sz w:val="24"/>
                <w:szCs w:val="24"/>
                <w:lang w:val="uk-UA"/>
              </w:rPr>
            </w:pPr>
            <w:r w:rsidRPr="00F00EB0">
              <w:rPr>
                <w:rFonts w:ascii="Times New Roman" w:hAnsi="Times New Roman" w:cs="Times New Roman"/>
                <w:color w:val="000000" w:themeColor="text1"/>
                <w:spacing w:val="-20"/>
                <w:sz w:val="24"/>
                <w:szCs w:val="24"/>
                <w:lang w:val="uk-UA"/>
              </w:rPr>
              <w:t>99,36</w:t>
            </w:r>
          </w:p>
        </w:tc>
      </w:tr>
    </w:tbl>
    <w:p w14:paraId="29E1FF86" w14:textId="33DBD062" w:rsidR="007C0FE5" w:rsidRPr="00F00EB0" w:rsidRDefault="00EB4898" w:rsidP="00EB4898">
      <w:pPr>
        <w:keepNext/>
        <w:suppressAutoHyphens/>
        <w:spacing w:after="0" w:line="360" w:lineRule="auto"/>
        <w:ind w:firstLine="709"/>
        <w:jc w:val="center"/>
        <w:outlineLvl w:val="1"/>
        <w:rPr>
          <w:rFonts w:ascii="Times New Roman" w:eastAsia="Times New Roman" w:hAnsi="Times New Roman" w:cs="Times New Roman"/>
          <w:b/>
          <w:bCs/>
          <w:caps/>
          <w:color w:val="000000" w:themeColor="text1"/>
          <w:sz w:val="28"/>
          <w:szCs w:val="28"/>
          <w:lang w:val="uk-UA" w:eastAsia="ru-RU"/>
        </w:rPr>
      </w:pPr>
      <w:r w:rsidRPr="00F00EB0">
        <w:rPr>
          <w:rFonts w:ascii="Times New Roman" w:hAnsi="Times New Roman" w:cs="Times New Roman"/>
          <w:color w:val="000000" w:themeColor="text1"/>
          <w:lang w:val="uk-UA"/>
        </w:rPr>
        <w:br w:type="page"/>
      </w:r>
      <w:bookmarkStart w:id="32" w:name="_Toc137414320"/>
      <w:r w:rsidRPr="00F00EB0">
        <w:rPr>
          <w:rFonts w:ascii="Times New Roman" w:eastAsia="Times New Roman" w:hAnsi="Times New Roman" w:cs="Times New Roman"/>
          <w:b/>
          <w:bCs/>
          <w:caps/>
          <w:color w:val="000000" w:themeColor="text1"/>
          <w:sz w:val="28"/>
          <w:szCs w:val="28"/>
          <w:lang w:val="uk-UA" w:eastAsia="ru-RU"/>
        </w:rPr>
        <w:lastRenderedPageBreak/>
        <w:t xml:space="preserve">ДОДАТОК </w:t>
      </w:r>
      <w:r w:rsidR="00BA7D05" w:rsidRPr="00F00EB0">
        <w:rPr>
          <w:rFonts w:ascii="Times New Roman" w:eastAsia="Times New Roman" w:hAnsi="Times New Roman" w:cs="Times New Roman"/>
          <w:b/>
          <w:bCs/>
          <w:caps/>
          <w:color w:val="000000" w:themeColor="text1"/>
          <w:sz w:val="28"/>
          <w:szCs w:val="28"/>
          <w:lang w:val="uk-UA" w:eastAsia="ru-RU"/>
        </w:rPr>
        <w:t>Л</w:t>
      </w:r>
      <w:r w:rsidR="007C0FE5" w:rsidRPr="00F00EB0">
        <w:rPr>
          <w:rFonts w:ascii="Times New Roman" w:eastAsia="Times New Roman" w:hAnsi="Times New Roman" w:cs="Times New Roman"/>
          <w:b/>
          <w:bCs/>
          <w:caps/>
          <w:color w:val="000000" w:themeColor="text1"/>
          <w:sz w:val="28"/>
          <w:szCs w:val="28"/>
          <w:lang w:val="uk-UA" w:eastAsia="ru-RU"/>
        </w:rPr>
        <w:br/>
        <w:t>ВИХІДНІ ДАНІ ДЛЯ МОДЕЛІ ФСБ</w:t>
      </w:r>
      <w:bookmarkEnd w:id="32"/>
    </w:p>
    <w:p w14:paraId="0A6813D2" w14:textId="77777777" w:rsidR="00986592" w:rsidRPr="00F00EB0" w:rsidRDefault="00986592" w:rsidP="00986592">
      <w:pPr>
        <w:rPr>
          <w:color w:val="000000" w:themeColor="text1"/>
          <w:lang w:val="uk-UA" w:eastAsia="ru-RU"/>
        </w:rPr>
      </w:pPr>
    </w:p>
    <w:p w14:paraId="38EE88FE" w14:textId="11E8EA72" w:rsidR="007C0FE5" w:rsidRPr="00F00EB0" w:rsidRDefault="00AD5AD2" w:rsidP="00AD5AD2">
      <w:pPr>
        <w:spacing w:after="0" w:line="360" w:lineRule="auto"/>
        <w:ind w:firstLine="709"/>
        <w:rPr>
          <w:rFonts w:ascii="Times New Roman" w:hAnsi="Times New Roman" w:cs="Times New Roman"/>
          <w:color w:val="000000" w:themeColor="text1"/>
          <w:sz w:val="28"/>
          <w:szCs w:val="28"/>
          <w:lang w:val="uk-UA" w:eastAsia="ru-RU"/>
        </w:rPr>
      </w:pPr>
      <w:r w:rsidRPr="00F00EB0">
        <w:rPr>
          <w:rFonts w:ascii="Times New Roman" w:hAnsi="Times New Roman" w:cs="Times New Roman"/>
          <w:color w:val="000000" w:themeColor="text1"/>
          <w:sz w:val="28"/>
          <w:szCs w:val="28"/>
          <w:lang w:val="uk-UA" w:eastAsia="ru-RU"/>
        </w:rPr>
        <w:t>Таблиця Л.1 – Статистичні дані для побудови моделі впливу макрофакторів на ФСБ</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hemeFill="background1"/>
        <w:tblLook w:val="04A0" w:firstRow="1" w:lastRow="0" w:firstColumn="1" w:lastColumn="0" w:noHBand="0" w:noVBand="1"/>
      </w:tblPr>
      <w:tblGrid>
        <w:gridCol w:w="4136"/>
        <w:gridCol w:w="1739"/>
        <w:gridCol w:w="1739"/>
        <w:gridCol w:w="1739"/>
        <w:gridCol w:w="1739"/>
        <w:gridCol w:w="1739"/>
        <w:gridCol w:w="1733"/>
      </w:tblGrid>
      <w:tr w:rsidR="00F00EB0" w:rsidRPr="00F00EB0" w14:paraId="3A1870C0" w14:textId="77777777" w:rsidTr="00AD5AD2">
        <w:trPr>
          <w:trHeight w:val="20"/>
        </w:trPr>
        <w:tc>
          <w:tcPr>
            <w:tcW w:w="1420" w:type="pct"/>
            <w:shd w:val="clear" w:color="auto" w:fill="FFFFFF" w:themeFill="background1"/>
            <w:noWrap/>
            <w:vAlign w:val="bottom"/>
            <w:hideMark/>
          </w:tcPr>
          <w:p w14:paraId="1C628668" w14:textId="0916DA5B" w:rsidR="00AD5AD2" w:rsidRPr="00AD5AD2" w:rsidRDefault="00AD5AD2" w:rsidP="00986592">
            <w:pPr>
              <w:spacing w:after="0" w:line="360" w:lineRule="auto"/>
              <w:jc w:val="center"/>
              <w:rPr>
                <w:rFonts w:ascii="Times New Roman" w:eastAsia="Times New Roman" w:hAnsi="Times New Roman" w:cs="Times New Roman"/>
                <w:color w:val="000000" w:themeColor="text1"/>
                <w:sz w:val="24"/>
                <w:szCs w:val="24"/>
                <w:lang w:val="uk-UA" w:eastAsia="ru-RU"/>
              </w:rPr>
            </w:pPr>
            <w:r w:rsidRPr="00F00EB0">
              <w:rPr>
                <w:rFonts w:ascii="Times New Roman" w:eastAsia="Times New Roman" w:hAnsi="Times New Roman" w:cs="Times New Roman"/>
                <w:color w:val="000000" w:themeColor="text1"/>
                <w:sz w:val="24"/>
                <w:szCs w:val="24"/>
                <w:lang w:val="uk-UA" w:eastAsia="ru-RU"/>
              </w:rPr>
              <w:t>Показник</w:t>
            </w:r>
          </w:p>
        </w:tc>
        <w:tc>
          <w:tcPr>
            <w:tcW w:w="597" w:type="pct"/>
            <w:shd w:val="clear" w:color="auto" w:fill="FFFFFF" w:themeFill="background1"/>
            <w:noWrap/>
            <w:vAlign w:val="bottom"/>
            <w:hideMark/>
          </w:tcPr>
          <w:p w14:paraId="298A78FC" w14:textId="77777777" w:rsidR="00AD5AD2" w:rsidRPr="00AD5AD2" w:rsidRDefault="00AD5AD2" w:rsidP="00986592">
            <w:pPr>
              <w:spacing w:after="0" w:line="360" w:lineRule="auto"/>
              <w:jc w:val="center"/>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01.01.2018</w:t>
            </w:r>
          </w:p>
        </w:tc>
        <w:tc>
          <w:tcPr>
            <w:tcW w:w="597" w:type="pct"/>
            <w:shd w:val="clear" w:color="auto" w:fill="FFFFFF" w:themeFill="background1"/>
            <w:noWrap/>
            <w:vAlign w:val="bottom"/>
            <w:hideMark/>
          </w:tcPr>
          <w:p w14:paraId="40501BB0" w14:textId="77777777" w:rsidR="00AD5AD2" w:rsidRPr="00AD5AD2" w:rsidRDefault="00AD5AD2" w:rsidP="00986592">
            <w:pPr>
              <w:spacing w:after="0" w:line="360" w:lineRule="auto"/>
              <w:jc w:val="center"/>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01.01.2019</w:t>
            </w:r>
          </w:p>
        </w:tc>
        <w:tc>
          <w:tcPr>
            <w:tcW w:w="597" w:type="pct"/>
            <w:shd w:val="clear" w:color="auto" w:fill="FFFFFF" w:themeFill="background1"/>
            <w:noWrap/>
            <w:vAlign w:val="bottom"/>
            <w:hideMark/>
          </w:tcPr>
          <w:p w14:paraId="5C42F4FE" w14:textId="77777777" w:rsidR="00AD5AD2" w:rsidRPr="00AD5AD2" w:rsidRDefault="00AD5AD2" w:rsidP="00986592">
            <w:pPr>
              <w:spacing w:after="0" w:line="360" w:lineRule="auto"/>
              <w:jc w:val="center"/>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01.01.2020</w:t>
            </w:r>
          </w:p>
        </w:tc>
        <w:tc>
          <w:tcPr>
            <w:tcW w:w="597" w:type="pct"/>
            <w:shd w:val="clear" w:color="auto" w:fill="FFFFFF" w:themeFill="background1"/>
            <w:noWrap/>
            <w:vAlign w:val="bottom"/>
            <w:hideMark/>
          </w:tcPr>
          <w:p w14:paraId="0FBDAE1C" w14:textId="77777777" w:rsidR="00AD5AD2" w:rsidRPr="00AD5AD2" w:rsidRDefault="00AD5AD2" w:rsidP="00986592">
            <w:pPr>
              <w:spacing w:after="0" w:line="360" w:lineRule="auto"/>
              <w:jc w:val="center"/>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01.01.2021</w:t>
            </w:r>
          </w:p>
        </w:tc>
        <w:tc>
          <w:tcPr>
            <w:tcW w:w="597" w:type="pct"/>
            <w:shd w:val="clear" w:color="auto" w:fill="FFFFFF" w:themeFill="background1"/>
            <w:noWrap/>
            <w:vAlign w:val="bottom"/>
            <w:hideMark/>
          </w:tcPr>
          <w:p w14:paraId="7ACD28FB" w14:textId="77777777" w:rsidR="00AD5AD2" w:rsidRPr="00AD5AD2" w:rsidRDefault="00AD5AD2" w:rsidP="00986592">
            <w:pPr>
              <w:spacing w:after="0" w:line="360" w:lineRule="auto"/>
              <w:jc w:val="center"/>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01.01.2022</w:t>
            </w:r>
          </w:p>
        </w:tc>
        <w:tc>
          <w:tcPr>
            <w:tcW w:w="595" w:type="pct"/>
            <w:shd w:val="clear" w:color="auto" w:fill="FFFFFF" w:themeFill="background1"/>
            <w:noWrap/>
            <w:vAlign w:val="bottom"/>
            <w:hideMark/>
          </w:tcPr>
          <w:p w14:paraId="2BAA29F5" w14:textId="77777777" w:rsidR="00AD5AD2" w:rsidRPr="00AD5AD2" w:rsidRDefault="00AD5AD2" w:rsidP="00986592">
            <w:pPr>
              <w:spacing w:after="0" w:line="360" w:lineRule="auto"/>
              <w:jc w:val="center"/>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01.01.2023</w:t>
            </w:r>
          </w:p>
        </w:tc>
      </w:tr>
      <w:tr w:rsidR="00F00EB0" w:rsidRPr="00F00EB0" w14:paraId="17B1B7A6" w14:textId="77777777" w:rsidTr="00AD5AD2">
        <w:trPr>
          <w:trHeight w:val="20"/>
        </w:trPr>
        <w:tc>
          <w:tcPr>
            <w:tcW w:w="5000" w:type="pct"/>
            <w:gridSpan w:val="7"/>
            <w:shd w:val="clear" w:color="auto" w:fill="FFFFFF" w:themeFill="background1"/>
            <w:noWrap/>
            <w:vAlign w:val="bottom"/>
          </w:tcPr>
          <w:p w14:paraId="797EFCB5" w14:textId="46BD6F98" w:rsidR="00AD5AD2" w:rsidRPr="00F00EB0" w:rsidRDefault="00AD5AD2" w:rsidP="00986592">
            <w:pPr>
              <w:spacing w:after="0" w:line="360" w:lineRule="auto"/>
              <w:jc w:val="center"/>
              <w:rPr>
                <w:rFonts w:ascii="Times New Roman" w:eastAsia="Times New Roman" w:hAnsi="Times New Roman" w:cs="Times New Roman"/>
                <w:i/>
                <w:iCs/>
                <w:color w:val="000000" w:themeColor="text1"/>
                <w:sz w:val="24"/>
                <w:szCs w:val="24"/>
                <w:lang w:val="uk-UA" w:eastAsia="ru-RU"/>
              </w:rPr>
            </w:pPr>
            <w:r w:rsidRPr="00F00EB0">
              <w:rPr>
                <w:rFonts w:ascii="Times New Roman" w:eastAsia="Times New Roman" w:hAnsi="Times New Roman" w:cs="Times New Roman"/>
                <w:i/>
                <w:iCs/>
                <w:color w:val="000000" w:themeColor="text1"/>
                <w:sz w:val="24"/>
                <w:szCs w:val="24"/>
                <w:lang w:val="uk-UA" w:eastAsia="ru-RU"/>
              </w:rPr>
              <w:t>Вихідні дані</w:t>
            </w:r>
          </w:p>
        </w:tc>
      </w:tr>
      <w:tr w:rsidR="00F00EB0" w:rsidRPr="00F00EB0" w14:paraId="1C8EA630" w14:textId="77777777" w:rsidTr="00AD5AD2">
        <w:trPr>
          <w:trHeight w:val="20"/>
        </w:trPr>
        <w:tc>
          <w:tcPr>
            <w:tcW w:w="1420" w:type="pct"/>
            <w:shd w:val="clear" w:color="auto" w:fill="FFFFFF" w:themeFill="background1"/>
            <w:noWrap/>
            <w:vAlign w:val="bottom"/>
            <w:hideMark/>
          </w:tcPr>
          <w:p w14:paraId="56AA39EF" w14:textId="77777777" w:rsidR="00AD5AD2" w:rsidRPr="00AD5AD2" w:rsidRDefault="00AD5AD2" w:rsidP="00986592">
            <w:pPr>
              <w:spacing w:after="0" w:line="360" w:lineRule="auto"/>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Z-показник (банк)</w:t>
            </w:r>
          </w:p>
        </w:tc>
        <w:tc>
          <w:tcPr>
            <w:tcW w:w="597" w:type="pct"/>
            <w:shd w:val="clear" w:color="auto" w:fill="FFFFFF" w:themeFill="background1"/>
            <w:noWrap/>
            <w:vAlign w:val="bottom"/>
            <w:hideMark/>
          </w:tcPr>
          <w:p w14:paraId="757AFB07"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3,915713</w:t>
            </w:r>
          </w:p>
        </w:tc>
        <w:tc>
          <w:tcPr>
            <w:tcW w:w="597" w:type="pct"/>
            <w:shd w:val="clear" w:color="auto" w:fill="FFFFFF" w:themeFill="background1"/>
            <w:noWrap/>
            <w:vAlign w:val="bottom"/>
            <w:hideMark/>
          </w:tcPr>
          <w:p w14:paraId="09FD36F4"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0,376559</w:t>
            </w:r>
          </w:p>
        </w:tc>
        <w:tc>
          <w:tcPr>
            <w:tcW w:w="597" w:type="pct"/>
            <w:shd w:val="clear" w:color="auto" w:fill="FFFFFF" w:themeFill="background1"/>
            <w:noWrap/>
            <w:vAlign w:val="bottom"/>
            <w:hideMark/>
          </w:tcPr>
          <w:p w14:paraId="5231E869"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20,53589</w:t>
            </w:r>
          </w:p>
        </w:tc>
        <w:tc>
          <w:tcPr>
            <w:tcW w:w="597" w:type="pct"/>
            <w:shd w:val="clear" w:color="auto" w:fill="FFFFFF" w:themeFill="background1"/>
            <w:noWrap/>
            <w:vAlign w:val="bottom"/>
            <w:hideMark/>
          </w:tcPr>
          <w:p w14:paraId="5FADDFB5"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14,95992</w:t>
            </w:r>
          </w:p>
        </w:tc>
        <w:tc>
          <w:tcPr>
            <w:tcW w:w="597" w:type="pct"/>
            <w:shd w:val="clear" w:color="auto" w:fill="FFFFFF" w:themeFill="background1"/>
            <w:noWrap/>
            <w:vAlign w:val="bottom"/>
            <w:hideMark/>
          </w:tcPr>
          <w:p w14:paraId="2C6BFB3F"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20,62299</w:t>
            </w:r>
          </w:p>
        </w:tc>
        <w:tc>
          <w:tcPr>
            <w:tcW w:w="595" w:type="pct"/>
            <w:shd w:val="clear" w:color="auto" w:fill="FFFFFF" w:themeFill="background1"/>
            <w:noWrap/>
            <w:vAlign w:val="bottom"/>
            <w:hideMark/>
          </w:tcPr>
          <w:p w14:paraId="45926738"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15,69177</w:t>
            </w:r>
          </w:p>
        </w:tc>
      </w:tr>
      <w:tr w:rsidR="00F00EB0" w:rsidRPr="00F00EB0" w14:paraId="631ACCEB" w14:textId="77777777" w:rsidTr="00AD5AD2">
        <w:trPr>
          <w:trHeight w:val="20"/>
        </w:trPr>
        <w:tc>
          <w:tcPr>
            <w:tcW w:w="1420" w:type="pct"/>
            <w:shd w:val="clear" w:color="auto" w:fill="FFFFFF" w:themeFill="background1"/>
            <w:noWrap/>
            <w:vAlign w:val="bottom"/>
            <w:hideMark/>
          </w:tcPr>
          <w:p w14:paraId="278A46EC" w14:textId="77777777" w:rsidR="00AD5AD2" w:rsidRPr="00AD5AD2" w:rsidRDefault="00AD5AD2" w:rsidP="00986592">
            <w:pPr>
              <w:spacing w:after="0" w:line="360" w:lineRule="auto"/>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Реальний ВВП, млн грн</w:t>
            </w:r>
          </w:p>
        </w:tc>
        <w:tc>
          <w:tcPr>
            <w:tcW w:w="597" w:type="pct"/>
            <w:shd w:val="clear" w:color="auto" w:fill="FFFFFF" w:themeFill="background1"/>
            <w:noWrap/>
            <w:vAlign w:val="bottom"/>
            <w:hideMark/>
          </w:tcPr>
          <w:p w14:paraId="7AF3B967"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2445587</w:t>
            </w:r>
          </w:p>
        </w:tc>
        <w:tc>
          <w:tcPr>
            <w:tcW w:w="597" w:type="pct"/>
            <w:shd w:val="clear" w:color="auto" w:fill="FFFFFF" w:themeFill="background1"/>
            <w:noWrap/>
            <w:vAlign w:val="bottom"/>
            <w:hideMark/>
          </w:tcPr>
          <w:p w14:paraId="731CB04E"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3083409</w:t>
            </w:r>
          </w:p>
        </w:tc>
        <w:tc>
          <w:tcPr>
            <w:tcW w:w="597" w:type="pct"/>
            <w:shd w:val="clear" w:color="auto" w:fill="FFFFFF" w:themeFill="background1"/>
            <w:noWrap/>
            <w:vAlign w:val="bottom"/>
            <w:hideMark/>
          </w:tcPr>
          <w:p w14:paraId="2EA4A556"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3675728</w:t>
            </w:r>
          </w:p>
        </w:tc>
        <w:tc>
          <w:tcPr>
            <w:tcW w:w="597" w:type="pct"/>
            <w:shd w:val="clear" w:color="auto" w:fill="FFFFFF" w:themeFill="background1"/>
            <w:noWrap/>
            <w:vAlign w:val="bottom"/>
            <w:hideMark/>
          </w:tcPr>
          <w:p w14:paraId="7D679799"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3818456</w:t>
            </w:r>
          </w:p>
        </w:tc>
        <w:tc>
          <w:tcPr>
            <w:tcW w:w="597" w:type="pct"/>
            <w:shd w:val="clear" w:color="auto" w:fill="FFFFFF" w:themeFill="background1"/>
            <w:noWrap/>
            <w:vAlign w:val="bottom"/>
            <w:hideMark/>
          </w:tcPr>
          <w:p w14:paraId="0A2FD41A"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3865780</w:t>
            </w:r>
          </w:p>
        </w:tc>
        <w:tc>
          <w:tcPr>
            <w:tcW w:w="595" w:type="pct"/>
            <w:shd w:val="clear" w:color="auto" w:fill="FFFFFF" w:themeFill="background1"/>
            <w:noWrap/>
            <w:vAlign w:val="bottom"/>
            <w:hideMark/>
          </w:tcPr>
          <w:p w14:paraId="67E8A550"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3865780</w:t>
            </w:r>
          </w:p>
        </w:tc>
      </w:tr>
      <w:tr w:rsidR="00F00EB0" w:rsidRPr="00F00EB0" w14:paraId="08937DF0" w14:textId="77777777" w:rsidTr="00AD5AD2">
        <w:trPr>
          <w:trHeight w:val="20"/>
        </w:trPr>
        <w:tc>
          <w:tcPr>
            <w:tcW w:w="1420" w:type="pct"/>
            <w:shd w:val="clear" w:color="auto" w:fill="FFFFFF" w:themeFill="background1"/>
            <w:noWrap/>
            <w:vAlign w:val="bottom"/>
          </w:tcPr>
          <w:p w14:paraId="77DD6F7D" w14:textId="6E6372AF" w:rsidR="00AD5AD2" w:rsidRPr="00F00EB0" w:rsidRDefault="00AD5AD2" w:rsidP="00986592">
            <w:pPr>
              <w:spacing w:after="0" w:line="360" w:lineRule="auto"/>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Базовий індекс інфляції, %</w:t>
            </w:r>
          </w:p>
        </w:tc>
        <w:tc>
          <w:tcPr>
            <w:tcW w:w="597" w:type="pct"/>
            <w:shd w:val="clear" w:color="auto" w:fill="FFFFFF" w:themeFill="background1"/>
            <w:noWrap/>
            <w:vAlign w:val="bottom"/>
          </w:tcPr>
          <w:p w14:paraId="10E6B545" w14:textId="565D460C" w:rsidR="00AD5AD2" w:rsidRPr="00F00EB0"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126,6</w:t>
            </w:r>
          </w:p>
        </w:tc>
        <w:tc>
          <w:tcPr>
            <w:tcW w:w="597" w:type="pct"/>
            <w:shd w:val="clear" w:color="auto" w:fill="FFFFFF" w:themeFill="background1"/>
            <w:noWrap/>
            <w:vAlign w:val="bottom"/>
          </w:tcPr>
          <w:p w14:paraId="7DC4D55B" w14:textId="53552608" w:rsidR="00AD5AD2" w:rsidRPr="00F00EB0"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110</w:t>
            </w:r>
          </w:p>
        </w:tc>
        <w:tc>
          <w:tcPr>
            <w:tcW w:w="597" w:type="pct"/>
            <w:shd w:val="clear" w:color="auto" w:fill="FFFFFF" w:themeFill="background1"/>
            <w:noWrap/>
            <w:vAlign w:val="bottom"/>
          </w:tcPr>
          <w:p w14:paraId="0339F43B" w14:textId="04A0DB6C" w:rsidR="00AD5AD2" w:rsidRPr="00F00EB0"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105</w:t>
            </w:r>
          </w:p>
        </w:tc>
        <w:tc>
          <w:tcPr>
            <w:tcW w:w="597" w:type="pct"/>
            <w:shd w:val="clear" w:color="auto" w:fill="FFFFFF" w:themeFill="background1"/>
            <w:noWrap/>
            <w:vAlign w:val="bottom"/>
          </w:tcPr>
          <w:p w14:paraId="615B2BC3" w14:textId="2A0E81E5" w:rsidR="00AD5AD2" w:rsidRPr="00F00EB0"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104,1</w:t>
            </w:r>
          </w:p>
        </w:tc>
        <w:tc>
          <w:tcPr>
            <w:tcW w:w="597" w:type="pct"/>
            <w:shd w:val="clear" w:color="auto" w:fill="FFFFFF" w:themeFill="background1"/>
            <w:noWrap/>
            <w:vAlign w:val="bottom"/>
          </w:tcPr>
          <w:p w14:paraId="01AAB7C1" w14:textId="099A08DC" w:rsidR="00AD5AD2" w:rsidRPr="00F00EB0"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109,8</w:t>
            </w:r>
          </w:p>
        </w:tc>
        <w:tc>
          <w:tcPr>
            <w:tcW w:w="595" w:type="pct"/>
            <w:shd w:val="clear" w:color="auto" w:fill="FFFFFF" w:themeFill="background1"/>
            <w:noWrap/>
            <w:vAlign w:val="bottom"/>
          </w:tcPr>
          <w:p w14:paraId="0D581E6A" w14:textId="75528B27" w:rsidR="00AD5AD2" w:rsidRPr="00F00EB0"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113,7</w:t>
            </w:r>
          </w:p>
        </w:tc>
      </w:tr>
      <w:tr w:rsidR="00F00EB0" w:rsidRPr="00F00EB0" w14:paraId="3FB88057" w14:textId="77777777" w:rsidTr="00AD5AD2">
        <w:trPr>
          <w:trHeight w:val="20"/>
        </w:trPr>
        <w:tc>
          <w:tcPr>
            <w:tcW w:w="1420" w:type="pct"/>
            <w:shd w:val="clear" w:color="auto" w:fill="FFFFFF" w:themeFill="background1"/>
            <w:vAlign w:val="bottom"/>
            <w:hideMark/>
          </w:tcPr>
          <w:p w14:paraId="16FCDF3B" w14:textId="77777777" w:rsidR="00AD5AD2" w:rsidRPr="00AD5AD2" w:rsidRDefault="00AD5AD2" w:rsidP="00986592">
            <w:pPr>
              <w:spacing w:after="0" w:line="360" w:lineRule="auto"/>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Курс долара США до грн</w:t>
            </w:r>
          </w:p>
        </w:tc>
        <w:tc>
          <w:tcPr>
            <w:tcW w:w="597" w:type="pct"/>
            <w:shd w:val="clear" w:color="auto" w:fill="FFFFFF" w:themeFill="background1"/>
            <w:noWrap/>
            <w:vAlign w:val="bottom"/>
            <w:hideMark/>
          </w:tcPr>
          <w:p w14:paraId="445C21EB"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26,6</w:t>
            </w:r>
          </w:p>
        </w:tc>
        <w:tc>
          <w:tcPr>
            <w:tcW w:w="597" w:type="pct"/>
            <w:shd w:val="clear" w:color="auto" w:fill="FFFFFF" w:themeFill="background1"/>
            <w:noWrap/>
            <w:vAlign w:val="bottom"/>
            <w:hideMark/>
          </w:tcPr>
          <w:p w14:paraId="1D8E096B"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27,2</w:t>
            </w:r>
          </w:p>
        </w:tc>
        <w:tc>
          <w:tcPr>
            <w:tcW w:w="597" w:type="pct"/>
            <w:shd w:val="clear" w:color="auto" w:fill="FFFFFF" w:themeFill="background1"/>
            <w:noWrap/>
            <w:vAlign w:val="bottom"/>
            <w:hideMark/>
          </w:tcPr>
          <w:p w14:paraId="6D0C0790"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28,86</w:t>
            </w:r>
          </w:p>
        </w:tc>
        <w:tc>
          <w:tcPr>
            <w:tcW w:w="597" w:type="pct"/>
            <w:shd w:val="clear" w:color="auto" w:fill="FFFFFF" w:themeFill="background1"/>
            <w:noWrap/>
            <w:vAlign w:val="bottom"/>
            <w:hideMark/>
          </w:tcPr>
          <w:p w14:paraId="018B1A46"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26,96</w:t>
            </w:r>
          </w:p>
        </w:tc>
        <w:tc>
          <w:tcPr>
            <w:tcW w:w="597" w:type="pct"/>
            <w:shd w:val="clear" w:color="auto" w:fill="FFFFFF" w:themeFill="background1"/>
            <w:noWrap/>
            <w:vAlign w:val="bottom"/>
            <w:hideMark/>
          </w:tcPr>
          <w:p w14:paraId="507BA5C1"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27,29</w:t>
            </w:r>
          </w:p>
        </w:tc>
        <w:tc>
          <w:tcPr>
            <w:tcW w:w="595" w:type="pct"/>
            <w:shd w:val="clear" w:color="auto" w:fill="FFFFFF" w:themeFill="background1"/>
            <w:noWrap/>
            <w:vAlign w:val="bottom"/>
            <w:hideMark/>
          </w:tcPr>
          <w:p w14:paraId="3292AB0B"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32,34</w:t>
            </w:r>
          </w:p>
        </w:tc>
      </w:tr>
      <w:tr w:rsidR="00F00EB0" w:rsidRPr="00F00EB0" w14:paraId="00D2DDAE" w14:textId="77777777" w:rsidTr="00AD5AD2">
        <w:trPr>
          <w:trHeight w:val="20"/>
        </w:trPr>
        <w:tc>
          <w:tcPr>
            <w:tcW w:w="5000" w:type="pct"/>
            <w:gridSpan w:val="7"/>
            <w:shd w:val="clear" w:color="auto" w:fill="FFFFFF" w:themeFill="background1"/>
            <w:noWrap/>
            <w:vAlign w:val="bottom"/>
            <w:hideMark/>
          </w:tcPr>
          <w:p w14:paraId="2DDFE14C" w14:textId="1D60D0DF" w:rsidR="00AD5AD2" w:rsidRPr="00AD5AD2" w:rsidRDefault="00AD5AD2" w:rsidP="00986592">
            <w:pPr>
              <w:spacing w:after="0" w:line="360" w:lineRule="auto"/>
              <w:jc w:val="center"/>
              <w:rPr>
                <w:rFonts w:ascii="Times New Roman" w:eastAsia="Times New Roman" w:hAnsi="Times New Roman" w:cs="Times New Roman"/>
                <w:i/>
                <w:iCs/>
                <w:color w:val="000000" w:themeColor="text1"/>
                <w:sz w:val="24"/>
                <w:szCs w:val="24"/>
                <w:lang w:val="uk-UA" w:eastAsia="ru-RU"/>
              </w:rPr>
            </w:pPr>
            <w:r w:rsidRPr="00F00EB0">
              <w:rPr>
                <w:rFonts w:ascii="Times New Roman" w:eastAsia="Times New Roman" w:hAnsi="Times New Roman" w:cs="Times New Roman"/>
                <w:i/>
                <w:iCs/>
                <w:color w:val="000000" w:themeColor="text1"/>
                <w:sz w:val="24"/>
                <w:szCs w:val="24"/>
                <w:lang w:val="uk-UA" w:eastAsia="ru-RU"/>
              </w:rPr>
              <w:t xml:space="preserve">Дані після нормалізації </w:t>
            </w:r>
          </w:p>
        </w:tc>
      </w:tr>
      <w:tr w:rsidR="00F00EB0" w:rsidRPr="00F00EB0" w14:paraId="3579896F" w14:textId="77777777" w:rsidTr="00AD5AD2">
        <w:trPr>
          <w:trHeight w:val="20"/>
        </w:trPr>
        <w:tc>
          <w:tcPr>
            <w:tcW w:w="1420" w:type="pct"/>
            <w:shd w:val="clear" w:color="auto" w:fill="FFFFFF" w:themeFill="background1"/>
            <w:vAlign w:val="bottom"/>
            <w:hideMark/>
          </w:tcPr>
          <w:p w14:paraId="348F111D" w14:textId="77777777" w:rsidR="00AD5AD2" w:rsidRPr="00AD5AD2" w:rsidRDefault="00AD5AD2" w:rsidP="00986592">
            <w:pPr>
              <w:spacing w:after="0" w:line="360" w:lineRule="auto"/>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Z-показник (банк)</w:t>
            </w:r>
          </w:p>
        </w:tc>
        <w:tc>
          <w:tcPr>
            <w:tcW w:w="597" w:type="pct"/>
            <w:shd w:val="clear" w:color="auto" w:fill="FFFFFF" w:themeFill="background1"/>
            <w:noWrap/>
            <w:vAlign w:val="bottom"/>
            <w:hideMark/>
          </w:tcPr>
          <w:p w14:paraId="0C46B57D"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3,915713</w:t>
            </w:r>
          </w:p>
        </w:tc>
        <w:tc>
          <w:tcPr>
            <w:tcW w:w="597" w:type="pct"/>
            <w:shd w:val="clear" w:color="auto" w:fill="FFFFFF" w:themeFill="background1"/>
            <w:noWrap/>
            <w:vAlign w:val="bottom"/>
            <w:hideMark/>
          </w:tcPr>
          <w:p w14:paraId="0FAD3A14"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0,376559</w:t>
            </w:r>
          </w:p>
        </w:tc>
        <w:tc>
          <w:tcPr>
            <w:tcW w:w="597" w:type="pct"/>
            <w:shd w:val="clear" w:color="auto" w:fill="FFFFFF" w:themeFill="background1"/>
            <w:noWrap/>
            <w:vAlign w:val="bottom"/>
            <w:hideMark/>
          </w:tcPr>
          <w:p w14:paraId="0399D78D"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20,53589</w:t>
            </w:r>
          </w:p>
        </w:tc>
        <w:tc>
          <w:tcPr>
            <w:tcW w:w="597" w:type="pct"/>
            <w:shd w:val="clear" w:color="auto" w:fill="FFFFFF" w:themeFill="background1"/>
            <w:noWrap/>
            <w:vAlign w:val="bottom"/>
            <w:hideMark/>
          </w:tcPr>
          <w:p w14:paraId="3FEEFE3C"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14,95992</w:t>
            </w:r>
          </w:p>
        </w:tc>
        <w:tc>
          <w:tcPr>
            <w:tcW w:w="597" w:type="pct"/>
            <w:shd w:val="clear" w:color="auto" w:fill="FFFFFF" w:themeFill="background1"/>
            <w:noWrap/>
            <w:vAlign w:val="bottom"/>
            <w:hideMark/>
          </w:tcPr>
          <w:p w14:paraId="4E9C1E9C"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20,62299</w:t>
            </w:r>
          </w:p>
        </w:tc>
        <w:tc>
          <w:tcPr>
            <w:tcW w:w="595" w:type="pct"/>
            <w:shd w:val="clear" w:color="auto" w:fill="FFFFFF" w:themeFill="background1"/>
            <w:noWrap/>
            <w:vAlign w:val="bottom"/>
            <w:hideMark/>
          </w:tcPr>
          <w:p w14:paraId="564F2634"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15,69177</w:t>
            </w:r>
          </w:p>
        </w:tc>
      </w:tr>
      <w:tr w:rsidR="00F00EB0" w:rsidRPr="00F00EB0" w14:paraId="023C14C7" w14:textId="77777777" w:rsidTr="00AD5AD2">
        <w:trPr>
          <w:trHeight w:val="20"/>
        </w:trPr>
        <w:tc>
          <w:tcPr>
            <w:tcW w:w="1420" w:type="pct"/>
            <w:shd w:val="clear" w:color="auto" w:fill="FFFFFF" w:themeFill="background1"/>
            <w:vAlign w:val="bottom"/>
            <w:hideMark/>
          </w:tcPr>
          <w:p w14:paraId="129A3A6C" w14:textId="77777777" w:rsidR="00AD5AD2" w:rsidRPr="00AD5AD2" w:rsidRDefault="00AD5AD2" w:rsidP="00986592">
            <w:pPr>
              <w:spacing w:after="0" w:line="360" w:lineRule="auto"/>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Реальний ВВП, млн грн</w:t>
            </w:r>
          </w:p>
        </w:tc>
        <w:tc>
          <w:tcPr>
            <w:tcW w:w="597" w:type="pct"/>
            <w:shd w:val="clear" w:color="auto" w:fill="FFFFFF" w:themeFill="background1"/>
            <w:noWrap/>
            <w:vAlign w:val="bottom"/>
            <w:hideMark/>
          </w:tcPr>
          <w:p w14:paraId="7EA27EB0"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-2,18867</w:t>
            </w:r>
          </w:p>
        </w:tc>
        <w:tc>
          <w:tcPr>
            <w:tcW w:w="597" w:type="pct"/>
            <w:shd w:val="clear" w:color="auto" w:fill="FFFFFF" w:themeFill="background1"/>
            <w:noWrap/>
            <w:vAlign w:val="bottom"/>
            <w:hideMark/>
          </w:tcPr>
          <w:p w14:paraId="3AE31F2C"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-0,81133</w:t>
            </w:r>
          </w:p>
        </w:tc>
        <w:tc>
          <w:tcPr>
            <w:tcW w:w="597" w:type="pct"/>
            <w:shd w:val="clear" w:color="auto" w:fill="FFFFFF" w:themeFill="background1"/>
            <w:noWrap/>
            <w:vAlign w:val="bottom"/>
            <w:hideMark/>
          </w:tcPr>
          <w:p w14:paraId="362FB0EE"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0,467744</w:t>
            </w:r>
          </w:p>
        </w:tc>
        <w:tc>
          <w:tcPr>
            <w:tcW w:w="597" w:type="pct"/>
            <w:shd w:val="clear" w:color="auto" w:fill="FFFFFF" w:themeFill="background1"/>
            <w:noWrap/>
            <w:vAlign w:val="bottom"/>
            <w:hideMark/>
          </w:tcPr>
          <w:p w14:paraId="5EA35B0C"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0,775956</w:t>
            </w:r>
          </w:p>
        </w:tc>
        <w:tc>
          <w:tcPr>
            <w:tcW w:w="597" w:type="pct"/>
            <w:shd w:val="clear" w:color="auto" w:fill="FFFFFF" w:themeFill="background1"/>
            <w:noWrap/>
            <w:vAlign w:val="bottom"/>
            <w:hideMark/>
          </w:tcPr>
          <w:p w14:paraId="3BE8CB3A"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0,87815</w:t>
            </w:r>
          </w:p>
        </w:tc>
        <w:tc>
          <w:tcPr>
            <w:tcW w:w="595" w:type="pct"/>
            <w:shd w:val="clear" w:color="auto" w:fill="FFFFFF" w:themeFill="background1"/>
            <w:noWrap/>
            <w:vAlign w:val="bottom"/>
            <w:hideMark/>
          </w:tcPr>
          <w:p w14:paraId="6CC9512D"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0,87815</w:t>
            </w:r>
          </w:p>
        </w:tc>
      </w:tr>
      <w:tr w:rsidR="00F00EB0" w:rsidRPr="00F00EB0" w14:paraId="0A66D538" w14:textId="77777777" w:rsidTr="00AD5AD2">
        <w:trPr>
          <w:trHeight w:val="20"/>
        </w:trPr>
        <w:tc>
          <w:tcPr>
            <w:tcW w:w="1420" w:type="pct"/>
            <w:shd w:val="clear" w:color="auto" w:fill="FFFFFF" w:themeFill="background1"/>
            <w:vAlign w:val="bottom"/>
            <w:hideMark/>
          </w:tcPr>
          <w:p w14:paraId="55F5B949" w14:textId="77777777" w:rsidR="00AD5AD2" w:rsidRPr="00AD5AD2" w:rsidRDefault="00AD5AD2" w:rsidP="00986592">
            <w:pPr>
              <w:spacing w:after="0" w:line="360" w:lineRule="auto"/>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Базовий індекс інфляції, %</w:t>
            </w:r>
          </w:p>
        </w:tc>
        <w:tc>
          <w:tcPr>
            <w:tcW w:w="597" w:type="pct"/>
            <w:shd w:val="clear" w:color="auto" w:fill="FFFFFF" w:themeFill="background1"/>
            <w:noWrap/>
            <w:vAlign w:val="bottom"/>
            <w:hideMark/>
          </w:tcPr>
          <w:p w14:paraId="683E809B"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126,6</w:t>
            </w:r>
          </w:p>
        </w:tc>
        <w:tc>
          <w:tcPr>
            <w:tcW w:w="597" w:type="pct"/>
            <w:shd w:val="clear" w:color="auto" w:fill="FFFFFF" w:themeFill="background1"/>
            <w:noWrap/>
            <w:vAlign w:val="bottom"/>
            <w:hideMark/>
          </w:tcPr>
          <w:p w14:paraId="40D8A023"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110</w:t>
            </w:r>
          </w:p>
        </w:tc>
        <w:tc>
          <w:tcPr>
            <w:tcW w:w="597" w:type="pct"/>
            <w:shd w:val="clear" w:color="auto" w:fill="FFFFFF" w:themeFill="background1"/>
            <w:noWrap/>
            <w:vAlign w:val="bottom"/>
            <w:hideMark/>
          </w:tcPr>
          <w:p w14:paraId="518432C9"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105</w:t>
            </w:r>
          </w:p>
        </w:tc>
        <w:tc>
          <w:tcPr>
            <w:tcW w:w="597" w:type="pct"/>
            <w:shd w:val="clear" w:color="auto" w:fill="FFFFFF" w:themeFill="background1"/>
            <w:noWrap/>
            <w:vAlign w:val="bottom"/>
            <w:hideMark/>
          </w:tcPr>
          <w:p w14:paraId="579D1B37"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104,1</w:t>
            </w:r>
          </w:p>
        </w:tc>
        <w:tc>
          <w:tcPr>
            <w:tcW w:w="597" w:type="pct"/>
            <w:shd w:val="clear" w:color="auto" w:fill="FFFFFF" w:themeFill="background1"/>
            <w:noWrap/>
            <w:vAlign w:val="bottom"/>
            <w:hideMark/>
          </w:tcPr>
          <w:p w14:paraId="4129F0C9"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109,8</w:t>
            </w:r>
          </w:p>
        </w:tc>
        <w:tc>
          <w:tcPr>
            <w:tcW w:w="595" w:type="pct"/>
            <w:shd w:val="clear" w:color="auto" w:fill="FFFFFF" w:themeFill="background1"/>
            <w:noWrap/>
            <w:vAlign w:val="bottom"/>
            <w:hideMark/>
          </w:tcPr>
          <w:p w14:paraId="010726C4"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113,7</w:t>
            </w:r>
          </w:p>
        </w:tc>
      </w:tr>
      <w:tr w:rsidR="00F00EB0" w:rsidRPr="00F00EB0" w14:paraId="0FF3E8FD" w14:textId="77777777" w:rsidTr="00AD5AD2">
        <w:trPr>
          <w:trHeight w:val="20"/>
        </w:trPr>
        <w:tc>
          <w:tcPr>
            <w:tcW w:w="1420" w:type="pct"/>
            <w:shd w:val="clear" w:color="auto" w:fill="FFFFFF" w:themeFill="background1"/>
            <w:vAlign w:val="bottom"/>
            <w:hideMark/>
          </w:tcPr>
          <w:p w14:paraId="260E78AC" w14:textId="77777777" w:rsidR="00AD5AD2" w:rsidRPr="00AD5AD2" w:rsidRDefault="00AD5AD2" w:rsidP="00986592">
            <w:pPr>
              <w:spacing w:after="0" w:line="360" w:lineRule="auto"/>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Курс долара США до грн</w:t>
            </w:r>
          </w:p>
        </w:tc>
        <w:tc>
          <w:tcPr>
            <w:tcW w:w="597" w:type="pct"/>
            <w:shd w:val="clear" w:color="auto" w:fill="FFFFFF" w:themeFill="background1"/>
            <w:noWrap/>
            <w:vAlign w:val="bottom"/>
            <w:hideMark/>
          </w:tcPr>
          <w:p w14:paraId="4A3EDC20"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-0,0619</w:t>
            </w:r>
          </w:p>
        </w:tc>
        <w:tc>
          <w:tcPr>
            <w:tcW w:w="597" w:type="pct"/>
            <w:shd w:val="clear" w:color="auto" w:fill="FFFFFF" w:themeFill="background1"/>
            <w:noWrap/>
            <w:vAlign w:val="bottom"/>
            <w:hideMark/>
          </w:tcPr>
          <w:p w14:paraId="688F8583"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-0,0388</w:t>
            </w:r>
          </w:p>
        </w:tc>
        <w:tc>
          <w:tcPr>
            <w:tcW w:w="597" w:type="pct"/>
            <w:shd w:val="clear" w:color="auto" w:fill="FFFFFF" w:themeFill="background1"/>
            <w:noWrap/>
            <w:vAlign w:val="bottom"/>
            <w:hideMark/>
          </w:tcPr>
          <w:p w14:paraId="6501D87E"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0,025109</w:t>
            </w:r>
          </w:p>
        </w:tc>
        <w:tc>
          <w:tcPr>
            <w:tcW w:w="597" w:type="pct"/>
            <w:shd w:val="clear" w:color="auto" w:fill="FFFFFF" w:themeFill="background1"/>
            <w:noWrap/>
            <w:vAlign w:val="bottom"/>
            <w:hideMark/>
          </w:tcPr>
          <w:p w14:paraId="12DB34D0"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-0,05</w:t>
            </w:r>
          </w:p>
        </w:tc>
        <w:tc>
          <w:tcPr>
            <w:tcW w:w="597" w:type="pct"/>
            <w:shd w:val="clear" w:color="auto" w:fill="FFFFFF" w:themeFill="background1"/>
            <w:noWrap/>
            <w:vAlign w:val="bottom"/>
            <w:hideMark/>
          </w:tcPr>
          <w:p w14:paraId="7E85DDA2"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-0,04</w:t>
            </w:r>
          </w:p>
        </w:tc>
        <w:tc>
          <w:tcPr>
            <w:tcW w:w="595" w:type="pct"/>
            <w:shd w:val="clear" w:color="auto" w:fill="FFFFFF" w:themeFill="background1"/>
            <w:noWrap/>
            <w:vAlign w:val="bottom"/>
            <w:hideMark/>
          </w:tcPr>
          <w:p w14:paraId="70949A64" w14:textId="77777777" w:rsidR="00AD5AD2" w:rsidRPr="00AD5AD2" w:rsidRDefault="00AD5AD2" w:rsidP="00986592">
            <w:pPr>
              <w:spacing w:after="0" w:line="360" w:lineRule="auto"/>
              <w:jc w:val="right"/>
              <w:rPr>
                <w:rFonts w:ascii="Times New Roman" w:eastAsia="Times New Roman" w:hAnsi="Times New Roman" w:cs="Times New Roman"/>
                <w:color w:val="000000" w:themeColor="text1"/>
                <w:sz w:val="24"/>
                <w:szCs w:val="24"/>
                <w:lang w:val="uk-UA" w:eastAsia="ru-RU"/>
              </w:rPr>
            </w:pPr>
            <w:r w:rsidRPr="00AD5AD2">
              <w:rPr>
                <w:rFonts w:ascii="Times New Roman" w:eastAsia="Times New Roman" w:hAnsi="Times New Roman" w:cs="Times New Roman"/>
                <w:color w:val="000000" w:themeColor="text1"/>
                <w:sz w:val="24"/>
                <w:szCs w:val="24"/>
                <w:lang w:val="uk-UA" w:eastAsia="ru-RU"/>
              </w:rPr>
              <w:t>0,16</w:t>
            </w:r>
          </w:p>
        </w:tc>
      </w:tr>
    </w:tbl>
    <w:p w14:paraId="361DF7F4" w14:textId="77777777" w:rsidR="007C0FE5" w:rsidRPr="00F00EB0" w:rsidRDefault="007C0FE5" w:rsidP="00AD5AD2">
      <w:pPr>
        <w:rPr>
          <w:color w:val="000000" w:themeColor="text1"/>
          <w:lang w:val="uk-UA" w:eastAsia="ru-RU"/>
        </w:rPr>
      </w:pPr>
    </w:p>
    <w:p w14:paraId="5F9E67CB" w14:textId="0B9A6B0C" w:rsidR="00ED03A4" w:rsidRPr="00F00EB0" w:rsidRDefault="00ED03A4">
      <w:pPr>
        <w:rPr>
          <w:rFonts w:ascii="Times New Roman" w:eastAsia="Times New Roman" w:hAnsi="Times New Roman" w:cs="Times New Roman"/>
          <w:b/>
          <w:bCs/>
          <w:caps/>
          <w:color w:val="000000" w:themeColor="text1"/>
          <w:sz w:val="28"/>
          <w:szCs w:val="28"/>
          <w:lang w:val="uk-UA" w:eastAsia="ru-RU"/>
        </w:rPr>
      </w:pPr>
    </w:p>
    <w:sectPr w:rsidR="00ED03A4" w:rsidRPr="00F00EB0" w:rsidSect="00AD1F2D">
      <w:headerReference w:type="default" r:id="rId115"/>
      <w:footerReference w:type="default" r:id="rId116"/>
      <w:endnotePr>
        <w:numFmt w:val="decimal"/>
      </w:endnotePr>
      <w:pgSz w:w="16838" w:h="11906" w:orient="landscape"/>
      <w:pgMar w:top="1418" w:right="1134" w:bottom="56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1526D7" w14:textId="77777777" w:rsidR="00E36248" w:rsidRDefault="00E36248" w:rsidP="00386FDD">
      <w:pPr>
        <w:spacing w:after="0" w:line="240" w:lineRule="auto"/>
      </w:pPr>
      <w:r>
        <w:separator/>
      </w:r>
    </w:p>
  </w:endnote>
  <w:endnote w:type="continuationSeparator" w:id="0">
    <w:p w14:paraId="1734C7C7" w14:textId="77777777" w:rsidR="00E36248" w:rsidRDefault="00E36248" w:rsidP="00386F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Book Antiqua">
    <w:panose1 w:val="02040602050305030304"/>
    <w:charset w:val="CC"/>
    <w:family w:val="roman"/>
    <w:pitch w:val="variable"/>
    <w:sig w:usb0="00000287" w:usb1="00000000" w:usb2="00000000" w:usb3="00000000" w:csb0="0000009F" w:csb1="00000000"/>
  </w:font>
  <w:font w:name="TTAC2o00">
    <w:panose1 w:val="00000000000000000000"/>
    <w:charset w:val="CC"/>
    <w:family w:val="auto"/>
    <w:notTrueType/>
    <w:pitch w:val="default"/>
    <w:sig w:usb0="00000201" w:usb1="00000000" w:usb2="00000000" w:usb3="00000000" w:csb0="00000004" w:csb1="00000000"/>
  </w:font>
  <w:font w:name="Dotum">
    <w:altName w:val="돋움"/>
    <w:panose1 w:val="020B0600000101010101"/>
    <w:charset w:val="81"/>
    <w:family w:val="swiss"/>
    <w:pitch w:val="variable"/>
    <w:sig w:usb0="B00002AF" w:usb1="69D77CFB" w:usb2="00000030" w:usb3="00000000" w:csb0="0008009F" w:csb1="00000000"/>
  </w:font>
  <w:font w:name="WenQuanYi Micro Hei">
    <w:altName w:val="Times New Roman"/>
    <w:charset w:val="00"/>
    <w:family w:val="auto"/>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333200" w14:textId="7FFFAC88" w:rsidR="00E14FB2" w:rsidRDefault="00E14FB2">
    <w:pPr>
      <w:pStyle w:val="af9"/>
      <w:jc w:val="right"/>
    </w:pPr>
  </w:p>
  <w:p w14:paraId="3D9AF74A" w14:textId="77777777" w:rsidR="00A206EC" w:rsidRDefault="00A206EC">
    <w:pPr>
      <w:pStyle w:val="af6"/>
      <w:spacing w:line="14" w:lineRule="auto"/>
      <w:rPr>
        <w:sz w:val="2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8026514"/>
      <w:docPartObj>
        <w:docPartGallery w:val="Page Numbers (Bottom of Page)"/>
        <w:docPartUnique/>
      </w:docPartObj>
    </w:sdtPr>
    <w:sdtEndPr/>
    <w:sdtContent>
      <w:p w14:paraId="410148AC" w14:textId="77777777" w:rsidR="00E36519" w:rsidRDefault="00E36519">
        <w:pPr>
          <w:pStyle w:val="af9"/>
          <w:jc w:val="right"/>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53"/>
        </w:tblGrid>
        <w:tr w:rsidR="00E36519" w14:paraId="2CDAF448" w14:textId="77777777" w:rsidTr="001D41C5">
          <w:trPr>
            <w:cantSplit/>
            <w:trHeight w:hRule="exact" w:val="436"/>
          </w:trPr>
          <w:tc>
            <w:tcPr>
              <w:tcW w:w="15069" w:type="dxa"/>
              <w:textDirection w:val="tbRl"/>
            </w:tcPr>
            <w:p w14:paraId="698EF85D" w14:textId="2691E015" w:rsidR="00E36519" w:rsidRPr="00E36519" w:rsidRDefault="00E36519" w:rsidP="00E36519">
              <w:pPr>
                <w:pStyle w:val="af9"/>
                <w:ind w:left="113" w:right="113"/>
                <w:jc w:val="right"/>
                <w:rPr>
                  <w:rFonts w:ascii="Times New Roman" w:hAnsi="Times New Roman" w:cs="Times New Roman"/>
                  <w:sz w:val="24"/>
                  <w:szCs w:val="24"/>
                </w:rPr>
              </w:pPr>
              <w:r w:rsidRPr="00E36519">
                <w:rPr>
                  <w:rFonts w:ascii="Times New Roman" w:hAnsi="Times New Roman" w:cs="Times New Roman"/>
                  <w:sz w:val="24"/>
                  <w:szCs w:val="24"/>
                </w:rPr>
                <w:fldChar w:fldCharType="begin"/>
              </w:r>
              <w:r w:rsidRPr="00E36519">
                <w:rPr>
                  <w:rFonts w:ascii="Times New Roman" w:hAnsi="Times New Roman" w:cs="Times New Roman"/>
                  <w:sz w:val="24"/>
                  <w:szCs w:val="24"/>
                </w:rPr>
                <w:instrText>PAGE   \* MERGEFORMAT</w:instrText>
              </w:r>
              <w:r w:rsidRPr="00E36519">
                <w:rPr>
                  <w:rFonts w:ascii="Times New Roman" w:hAnsi="Times New Roman" w:cs="Times New Roman"/>
                  <w:sz w:val="24"/>
                  <w:szCs w:val="24"/>
                </w:rPr>
                <w:fldChar w:fldCharType="separate"/>
              </w:r>
              <w:r w:rsidR="00D62B5C">
                <w:rPr>
                  <w:rFonts w:ascii="Times New Roman" w:hAnsi="Times New Roman" w:cs="Times New Roman"/>
                  <w:noProof/>
                  <w:sz w:val="24"/>
                  <w:szCs w:val="24"/>
                </w:rPr>
                <w:t>10</w:t>
              </w:r>
              <w:r w:rsidRPr="00E36519">
                <w:rPr>
                  <w:rFonts w:ascii="Times New Roman" w:hAnsi="Times New Roman" w:cs="Times New Roman"/>
                  <w:sz w:val="24"/>
                  <w:szCs w:val="24"/>
                </w:rPr>
                <w:fldChar w:fldCharType="end"/>
              </w:r>
            </w:p>
          </w:tc>
        </w:tr>
      </w:tbl>
      <w:p w14:paraId="19FC03CD" w14:textId="54F057EF" w:rsidR="00E36519" w:rsidRDefault="00E36248">
        <w:pPr>
          <w:pStyle w:val="af9"/>
          <w:jc w:val="right"/>
        </w:pP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6F160" w14:textId="77777777" w:rsidR="009515BC" w:rsidRPr="00A103C7" w:rsidRDefault="009515BC" w:rsidP="00A103C7">
    <w:pPr>
      <w:pStyle w:val="af9"/>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330A39" w14:textId="77777777" w:rsidR="009515BC" w:rsidRPr="00332B5D" w:rsidRDefault="009515BC" w:rsidP="00332B5D">
    <w:pPr>
      <w:pStyle w:val="af9"/>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3FB6" w14:textId="77777777" w:rsidR="00AD1F2D" w:rsidRDefault="00AD1F2D" w:rsidP="007B571F">
    <w:pPr>
      <w:pStyle w:val="af9"/>
      <w:ind w:right="360"/>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14570"/>
    </w:tblGrid>
    <w:tr w:rsidR="00AD1F2D" w14:paraId="63B61802" w14:textId="77777777" w:rsidTr="00197B06">
      <w:trPr>
        <w:cantSplit/>
        <w:trHeight w:val="1134"/>
      </w:trPr>
      <w:tc>
        <w:tcPr>
          <w:tcW w:w="14786" w:type="dxa"/>
          <w:shd w:val="clear" w:color="auto" w:fill="auto"/>
          <w:textDirection w:val="tbRl"/>
        </w:tcPr>
        <w:p w14:paraId="00B511FC" w14:textId="0E95E2A5" w:rsidR="00AD1F2D" w:rsidRPr="007C0FE5" w:rsidRDefault="00AD1F2D" w:rsidP="00197B06">
          <w:pPr>
            <w:pStyle w:val="af9"/>
            <w:ind w:left="113" w:right="113"/>
            <w:jc w:val="right"/>
            <w:rPr>
              <w:rFonts w:ascii="Times New Roman" w:hAnsi="Times New Roman" w:cs="Times New Roman"/>
              <w:sz w:val="24"/>
              <w:szCs w:val="24"/>
            </w:rPr>
          </w:pPr>
          <w:r w:rsidRPr="007C0FE5">
            <w:rPr>
              <w:rFonts w:ascii="Times New Roman" w:hAnsi="Times New Roman" w:cs="Times New Roman"/>
              <w:sz w:val="24"/>
              <w:szCs w:val="24"/>
            </w:rPr>
            <w:fldChar w:fldCharType="begin"/>
          </w:r>
          <w:r w:rsidRPr="007C0FE5">
            <w:rPr>
              <w:rFonts w:ascii="Times New Roman" w:hAnsi="Times New Roman" w:cs="Times New Roman"/>
              <w:sz w:val="24"/>
              <w:szCs w:val="24"/>
            </w:rPr>
            <w:instrText>PAGE   \* MERGEFORMAT</w:instrText>
          </w:r>
          <w:r w:rsidRPr="007C0FE5">
            <w:rPr>
              <w:rFonts w:ascii="Times New Roman" w:hAnsi="Times New Roman" w:cs="Times New Roman"/>
              <w:sz w:val="24"/>
              <w:szCs w:val="24"/>
            </w:rPr>
            <w:fldChar w:fldCharType="separate"/>
          </w:r>
          <w:r w:rsidR="00D62B5C">
            <w:rPr>
              <w:rFonts w:ascii="Times New Roman" w:hAnsi="Times New Roman" w:cs="Times New Roman"/>
              <w:noProof/>
              <w:sz w:val="24"/>
              <w:szCs w:val="24"/>
            </w:rPr>
            <w:t>81</w:t>
          </w:r>
          <w:r w:rsidRPr="007C0FE5">
            <w:rPr>
              <w:rFonts w:ascii="Times New Roman" w:hAnsi="Times New Roman" w:cs="Times New Roman"/>
              <w:sz w:val="24"/>
              <w:szCs w:val="24"/>
            </w:rPr>
            <w:fldChar w:fldCharType="end"/>
          </w:r>
        </w:p>
        <w:p w14:paraId="3D7F9CFB" w14:textId="77777777" w:rsidR="00AD1F2D" w:rsidRDefault="00AD1F2D" w:rsidP="00197B06">
          <w:pPr>
            <w:pStyle w:val="af9"/>
            <w:ind w:left="113" w:right="113"/>
            <w:jc w:val="right"/>
          </w:pPr>
        </w:p>
      </w:tc>
    </w:tr>
  </w:tbl>
  <w:p w14:paraId="5BC3ED53" w14:textId="77777777" w:rsidR="00AD1F2D" w:rsidRDefault="00AD1F2D" w:rsidP="007B571F">
    <w:pPr>
      <w:pStyle w:val="af9"/>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11326B" w14:textId="77777777" w:rsidR="00E36248" w:rsidRDefault="00E36248" w:rsidP="00386FDD">
      <w:pPr>
        <w:spacing w:after="0" w:line="240" w:lineRule="auto"/>
      </w:pPr>
      <w:r>
        <w:separator/>
      </w:r>
    </w:p>
  </w:footnote>
  <w:footnote w:type="continuationSeparator" w:id="0">
    <w:p w14:paraId="4462F660" w14:textId="77777777" w:rsidR="00E36248" w:rsidRDefault="00E36248" w:rsidP="00386F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F4FD4" w14:textId="79ABA45C" w:rsidR="00A206EC" w:rsidRPr="001975B7" w:rsidRDefault="00A206EC" w:rsidP="001975B7">
    <w:pPr>
      <w:pStyle w:val="af4"/>
      <w:jc w:val="right"/>
      <w:rPr>
        <w:rFonts w:ascii="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37456"/>
      <w:docPartObj>
        <w:docPartGallery w:val="Page Numbers (Top of Page)"/>
        <w:docPartUnique/>
      </w:docPartObj>
    </w:sdtPr>
    <w:sdtEndPr>
      <w:rPr>
        <w:rFonts w:ascii="Times New Roman" w:hAnsi="Times New Roman" w:cs="Times New Roman"/>
        <w:sz w:val="24"/>
      </w:rPr>
    </w:sdtEndPr>
    <w:sdtContent>
      <w:p w14:paraId="201E325F" w14:textId="3BDDA3A0" w:rsidR="009C6463" w:rsidRPr="00325B5A" w:rsidRDefault="009C6463">
        <w:pPr>
          <w:pStyle w:val="af4"/>
          <w:jc w:val="right"/>
          <w:rPr>
            <w:rFonts w:ascii="Times New Roman" w:hAnsi="Times New Roman" w:cs="Times New Roman"/>
            <w:sz w:val="24"/>
          </w:rPr>
        </w:pPr>
        <w:r w:rsidRPr="00325B5A">
          <w:rPr>
            <w:rFonts w:ascii="Times New Roman" w:hAnsi="Times New Roman" w:cs="Times New Roman"/>
            <w:sz w:val="24"/>
          </w:rPr>
          <w:fldChar w:fldCharType="begin"/>
        </w:r>
        <w:r w:rsidRPr="00325B5A">
          <w:rPr>
            <w:rFonts w:ascii="Times New Roman" w:hAnsi="Times New Roman" w:cs="Times New Roman"/>
            <w:sz w:val="24"/>
          </w:rPr>
          <w:instrText xml:space="preserve"> PAGE   \* MERGEFORMAT </w:instrText>
        </w:r>
        <w:r w:rsidRPr="00325B5A">
          <w:rPr>
            <w:rFonts w:ascii="Times New Roman" w:hAnsi="Times New Roman" w:cs="Times New Roman"/>
            <w:sz w:val="24"/>
          </w:rPr>
          <w:fldChar w:fldCharType="separate"/>
        </w:r>
        <w:r w:rsidR="00D62B5C">
          <w:rPr>
            <w:rFonts w:ascii="Times New Roman" w:hAnsi="Times New Roman" w:cs="Times New Roman"/>
            <w:noProof/>
            <w:sz w:val="24"/>
          </w:rPr>
          <w:t>9</w:t>
        </w:r>
        <w:r w:rsidRPr="00325B5A">
          <w:rPr>
            <w:rFonts w:ascii="Times New Roman" w:hAnsi="Times New Roman" w:cs="Times New Roman"/>
            <w:sz w:val="24"/>
          </w:rPr>
          <w:fldChar w:fldCharType="end"/>
        </w:r>
      </w:p>
    </w:sdtContent>
  </w:sdt>
  <w:p w14:paraId="417F254D" w14:textId="77777777" w:rsidR="009C6463" w:rsidRDefault="009C6463">
    <w:pPr>
      <w:pStyle w:val="af4"/>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6CA1D1" w14:textId="0B1D3047" w:rsidR="002927DC" w:rsidRPr="00142E7F" w:rsidRDefault="002927DC" w:rsidP="00142E7F">
    <w:pPr>
      <w:pStyle w:val="af4"/>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335481"/>
      <w:docPartObj>
        <w:docPartGallery w:val="Page Numbers (Top of Page)"/>
        <w:docPartUnique/>
      </w:docPartObj>
    </w:sdtPr>
    <w:sdtEndPr>
      <w:rPr>
        <w:rFonts w:ascii="Times New Roman" w:hAnsi="Times New Roman" w:cs="Times New Roman"/>
        <w:sz w:val="24"/>
        <w:szCs w:val="24"/>
      </w:rPr>
    </w:sdtEndPr>
    <w:sdtContent>
      <w:p w14:paraId="5BB76BF8" w14:textId="3D93A42D" w:rsidR="009515BC" w:rsidRPr="00A206EC" w:rsidRDefault="009515BC" w:rsidP="00A206EC">
        <w:pPr>
          <w:pStyle w:val="af4"/>
          <w:jc w:val="right"/>
          <w:rPr>
            <w:rFonts w:ascii="Times New Roman" w:hAnsi="Times New Roman" w:cs="Times New Roman"/>
            <w:sz w:val="24"/>
            <w:szCs w:val="24"/>
          </w:rPr>
        </w:pPr>
        <w:r w:rsidRPr="00A206EC">
          <w:rPr>
            <w:rFonts w:ascii="Times New Roman" w:hAnsi="Times New Roman" w:cs="Times New Roman"/>
            <w:sz w:val="24"/>
            <w:szCs w:val="24"/>
          </w:rPr>
          <w:fldChar w:fldCharType="begin"/>
        </w:r>
        <w:r w:rsidRPr="00A206EC">
          <w:rPr>
            <w:rFonts w:ascii="Times New Roman" w:hAnsi="Times New Roman" w:cs="Times New Roman"/>
            <w:sz w:val="24"/>
            <w:szCs w:val="24"/>
          </w:rPr>
          <w:instrText>PAGE   \* MERGEFORMAT</w:instrText>
        </w:r>
        <w:r w:rsidRPr="00A206EC">
          <w:rPr>
            <w:rFonts w:ascii="Times New Roman" w:hAnsi="Times New Roman" w:cs="Times New Roman"/>
            <w:sz w:val="24"/>
            <w:szCs w:val="24"/>
          </w:rPr>
          <w:fldChar w:fldCharType="separate"/>
        </w:r>
        <w:r w:rsidR="00D62B5C">
          <w:rPr>
            <w:rFonts w:ascii="Times New Roman" w:hAnsi="Times New Roman" w:cs="Times New Roman"/>
            <w:noProof/>
            <w:sz w:val="24"/>
            <w:szCs w:val="24"/>
          </w:rPr>
          <w:t>18</w:t>
        </w:r>
        <w:r w:rsidRPr="00A206EC">
          <w:rPr>
            <w:rFonts w:ascii="Times New Roman" w:hAnsi="Times New Roman" w:cs="Times New Roman"/>
            <w:sz w:val="24"/>
            <w:szCs w:val="24"/>
          </w:rPr>
          <w:fldChar w:fldCharType="end"/>
        </w:r>
      </w:p>
    </w:sdtContent>
  </w:sdt>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A553B6" w14:textId="77777777" w:rsidR="009515BC" w:rsidRPr="00A206EC" w:rsidRDefault="009515BC" w:rsidP="00A206EC">
    <w:pPr>
      <w:pStyle w:val="af4"/>
      <w:jc w:val="right"/>
      <w:rPr>
        <w:rFonts w:ascii="Times New Roman" w:hAnsi="Times New Roman" w:cs="Times New Roman"/>
        <w:sz w:val="24"/>
        <w:szCs w:val="24"/>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1129990"/>
      <w:docPartObj>
        <w:docPartGallery w:val="Page Numbers (Top of Page)"/>
        <w:docPartUnique/>
      </w:docPartObj>
    </w:sdtPr>
    <w:sdtEndPr>
      <w:rPr>
        <w:rFonts w:ascii="Times New Roman" w:hAnsi="Times New Roman" w:cs="Times New Roman"/>
        <w:sz w:val="24"/>
        <w:szCs w:val="24"/>
      </w:rPr>
    </w:sdtEndPr>
    <w:sdtContent>
      <w:p w14:paraId="484B6174" w14:textId="38BF3DBF" w:rsidR="006A3CEA" w:rsidRPr="003C1952" w:rsidRDefault="006A3CEA" w:rsidP="00FB117B">
        <w:pPr>
          <w:pStyle w:val="af4"/>
          <w:jc w:val="right"/>
          <w:rPr>
            <w:rFonts w:ascii="Times New Roman" w:hAnsi="Times New Roman" w:cs="Times New Roman"/>
            <w:sz w:val="24"/>
            <w:szCs w:val="24"/>
          </w:rPr>
        </w:pPr>
        <w:r>
          <w:rPr>
            <w:rFonts w:ascii="Times New Roman" w:hAnsi="Times New Roman" w:cs="Times New Roman"/>
            <w:sz w:val="24"/>
            <w:szCs w:val="24"/>
            <w:lang w:val="uk-UA"/>
          </w:rPr>
          <w:t xml:space="preserve"> </w:t>
        </w:r>
      </w:p>
    </w:sdtContent>
  </w:sdt>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7CBD0C" w14:textId="4F485172" w:rsidR="00AD1F2D" w:rsidRDefault="00AD1F2D" w:rsidP="006A6E75">
    <w:pPr>
      <w:pStyle w:val="af4"/>
      <w:framePr w:wrap="auto" w:vAnchor="text" w:hAnchor="margin" w:xAlign="right" w:y="1"/>
      <w:rPr>
        <w:rStyle w:val="afc"/>
      </w:rPr>
    </w:pPr>
    <w:r>
      <w:rPr>
        <w:rStyle w:val="afc"/>
      </w:rPr>
      <w:fldChar w:fldCharType="begin"/>
    </w:r>
    <w:r>
      <w:rPr>
        <w:rStyle w:val="afc"/>
      </w:rPr>
      <w:instrText xml:space="preserve">PAGE  </w:instrText>
    </w:r>
    <w:r>
      <w:rPr>
        <w:rStyle w:val="afc"/>
      </w:rPr>
      <w:fldChar w:fldCharType="separate"/>
    </w:r>
    <w:r w:rsidR="00D62B5C">
      <w:rPr>
        <w:rStyle w:val="afc"/>
        <w:noProof/>
      </w:rPr>
      <w:t>78</w:t>
    </w:r>
    <w:r>
      <w:rPr>
        <w:rStyle w:val="afc"/>
      </w:rPr>
      <w:fldChar w:fldCharType="end"/>
    </w:r>
  </w:p>
  <w:p w14:paraId="2A6D5AD0" w14:textId="77777777" w:rsidR="00AD1F2D" w:rsidRDefault="00AD1F2D" w:rsidP="00A07EEC">
    <w:pPr>
      <w:pStyle w:val="af4"/>
      <w:ind w:right="360"/>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4A82F0" w14:textId="77777777" w:rsidR="00AD1F2D" w:rsidRPr="00197B06" w:rsidRDefault="00AD1F2D" w:rsidP="00197B06">
    <w:pPr>
      <w:pStyle w:val="af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BE822FAA"/>
    <w:lvl w:ilvl="0">
      <w:start w:val="1"/>
      <w:numFmt w:val="bullet"/>
      <w:pStyle w:val="3"/>
      <w:lvlText w:val=""/>
      <w:lvlJc w:val="left"/>
      <w:pPr>
        <w:tabs>
          <w:tab w:val="num" w:pos="360"/>
        </w:tabs>
        <w:ind w:left="360" w:hanging="360"/>
      </w:pPr>
      <w:rPr>
        <w:rFonts w:ascii="Symbol" w:hAnsi="Symbol" w:hint="default"/>
      </w:rPr>
    </w:lvl>
  </w:abstractNum>
  <w:abstractNum w:abstractNumId="1" w15:restartNumberingAfterBreak="0">
    <w:nsid w:val="09C750D6"/>
    <w:multiLevelType w:val="hybridMultilevel"/>
    <w:tmpl w:val="C6961C1E"/>
    <w:lvl w:ilvl="0" w:tplc="FE1862CE">
      <w:start w:val="1"/>
      <w:numFmt w:val="bullet"/>
      <w:lvlText w:val="•"/>
      <w:lvlJc w:val="left"/>
      <w:pPr>
        <w:tabs>
          <w:tab w:val="num" w:pos="720"/>
        </w:tabs>
        <w:ind w:left="720" w:hanging="360"/>
      </w:pPr>
      <w:rPr>
        <w:rFonts w:ascii="Times New Roman" w:hAnsi="Times New Roman" w:hint="default"/>
      </w:rPr>
    </w:lvl>
    <w:lvl w:ilvl="1" w:tplc="FBCC6096" w:tentative="1">
      <w:start w:val="1"/>
      <w:numFmt w:val="bullet"/>
      <w:lvlText w:val="•"/>
      <w:lvlJc w:val="left"/>
      <w:pPr>
        <w:tabs>
          <w:tab w:val="num" w:pos="1440"/>
        </w:tabs>
        <w:ind w:left="1440" w:hanging="360"/>
      </w:pPr>
      <w:rPr>
        <w:rFonts w:ascii="Times New Roman" w:hAnsi="Times New Roman" w:hint="default"/>
      </w:rPr>
    </w:lvl>
    <w:lvl w:ilvl="2" w:tplc="AF500544" w:tentative="1">
      <w:start w:val="1"/>
      <w:numFmt w:val="bullet"/>
      <w:lvlText w:val="•"/>
      <w:lvlJc w:val="left"/>
      <w:pPr>
        <w:tabs>
          <w:tab w:val="num" w:pos="2160"/>
        </w:tabs>
        <w:ind w:left="2160" w:hanging="360"/>
      </w:pPr>
      <w:rPr>
        <w:rFonts w:ascii="Times New Roman" w:hAnsi="Times New Roman" w:hint="default"/>
      </w:rPr>
    </w:lvl>
    <w:lvl w:ilvl="3" w:tplc="644670E2" w:tentative="1">
      <w:start w:val="1"/>
      <w:numFmt w:val="bullet"/>
      <w:lvlText w:val="•"/>
      <w:lvlJc w:val="left"/>
      <w:pPr>
        <w:tabs>
          <w:tab w:val="num" w:pos="2880"/>
        </w:tabs>
        <w:ind w:left="2880" w:hanging="360"/>
      </w:pPr>
      <w:rPr>
        <w:rFonts w:ascii="Times New Roman" w:hAnsi="Times New Roman" w:hint="default"/>
      </w:rPr>
    </w:lvl>
    <w:lvl w:ilvl="4" w:tplc="F45652CA" w:tentative="1">
      <w:start w:val="1"/>
      <w:numFmt w:val="bullet"/>
      <w:lvlText w:val="•"/>
      <w:lvlJc w:val="left"/>
      <w:pPr>
        <w:tabs>
          <w:tab w:val="num" w:pos="3600"/>
        </w:tabs>
        <w:ind w:left="3600" w:hanging="360"/>
      </w:pPr>
      <w:rPr>
        <w:rFonts w:ascii="Times New Roman" w:hAnsi="Times New Roman" w:hint="default"/>
      </w:rPr>
    </w:lvl>
    <w:lvl w:ilvl="5" w:tplc="6D4804EC" w:tentative="1">
      <w:start w:val="1"/>
      <w:numFmt w:val="bullet"/>
      <w:lvlText w:val="•"/>
      <w:lvlJc w:val="left"/>
      <w:pPr>
        <w:tabs>
          <w:tab w:val="num" w:pos="4320"/>
        </w:tabs>
        <w:ind w:left="4320" w:hanging="360"/>
      </w:pPr>
      <w:rPr>
        <w:rFonts w:ascii="Times New Roman" w:hAnsi="Times New Roman" w:hint="default"/>
      </w:rPr>
    </w:lvl>
    <w:lvl w:ilvl="6" w:tplc="3F20224C" w:tentative="1">
      <w:start w:val="1"/>
      <w:numFmt w:val="bullet"/>
      <w:lvlText w:val="•"/>
      <w:lvlJc w:val="left"/>
      <w:pPr>
        <w:tabs>
          <w:tab w:val="num" w:pos="5040"/>
        </w:tabs>
        <w:ind w:left="5040" w:hanging="360"/>
      </w:pPr>
      <w:rPr>
        <w:rFonts w:ascii="Times New Roman" w:hAnsi="Times New Roman" w:hint="default"/>
      </w:rPr>
    </w:lvl>
    <w:lvl w:ilvl="7" w:tplc="359AC69A" w:tentative="1">
      <w:start w:val="1"/>
      <w:numFmt w:val="bullet"/>
      <w:lvlText w:val="•"/>
      <w:lvlJc w:val="left"/>
      <w:pPr>
        <w:tabs>
          <w:tab w:val="num" w:pos="5760"/>
        </w:tabs>
        <w:ind w:left="5760" w:hanging="360"/>
      </w:pPr>
      <w:rPr>
        <w:rFonts w:ascii="Times New Roman" w:hAnsi="Times New Roman" w:hint="default"/>
      </w:rPr>
    </w:lvl>
    <w:lvl w:ilvl="8" w:tplc="8CB47A6E"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ECD7385"/>
    <w:multiLevelType w:val="hybridMultilevel"/>
    <w:tmpl w:val="EE6EB19C"/>
    <w:lvl w:ilvl="0" w:tplc="FFFFFFFF">
      <w:numFmt w:val="bullet"/>
      <w:lvlText w:val="-"/>
      <w:lvlJc w:val="left"/>
      <w:pPr>
        <w:tabs>
          <w:tab w:val="num" w:pos="680"/>
        </w:tabs>
        <w:ind w:left="680" w:hanging="360"/>
      </w:pPr>
      <w:rPr>
        <w:rFonts w:ascii="Times New Roman" w:eastAsia="Times New Roman" w:hAnsi="Times New Roman" w:cs="Times New Roman"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 w15:restartNumberingAfterBreak="0">
    <w:nsid w:val="181C2D87"/>
    <w:multiLevelType w:val="hybridMultilevel"/>
    <w:tmpl w:val="7AD818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805769F"/>
    <w:multiLevelType w:val="hybridMultilevel"/>
    <w:tmpl w:val="11C88610"/>
    <w:lvl w:ilvl="0" w:tplc="052CECA6">
      <w:numFmt w:val="bullet"/>
      <w:pStyle w:val="a"/>
      <w:lvlText w:val="-"/>
      <w:lvlJc w:val="left"/>
      <w:pPr>
        <w:ind w:left="928"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84A4830"/>
    <w:multiLevelType w:val="hybridMultilevel"/>
    <w:tmpl w:val="5D3A0A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8BB4574"/>
    <w:multiLevelType w:val="hybridMultilevel"/>
    <w:tmpl w:val="7DB054F6"/>
    <w:lvl w:ilvl="0" w:tplc="0422000D">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7" w15:restartNumberingAfterBreak="0">
    <w:nsid w:val="2AA528BA"/>
    <w:multiLevelType w:val="hybridMultilevel"/>
    <w:tmpl w:val="65E46216"/>
    <w:lvl w:ilvl="0" w:tplc="0422000B">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8" w15:restartNumberingAfterBreak="0">
    <w:nsid w:val="2CF9020E"/>
    <w:multiLevelType w:val="hybridMultilevel"/>
    <w:tmpl w:val="81FE84DC"/>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9" w15:restartNumberingAfterBreak="0">
    <w:nsid w:val="366C1D11"/>
    <w:multiLevelType w:val="multilevel"/>
    <w:tmpl w:val="94FE3CCA"/>
    <w:lvl w:ilvl="0">
      <w:start w:val="1"/>
      <w:numFmt w:val="bullet"/>
      <w:lvlText w:val=""/>
      <w:lvlJc w:val="left"/>
      <w:pPr>
        <w:ind w:left="450" w:hanging="450"/>
      </w:pPr>
      <w:rPr>
        <w:rFonts w:ascii="Wingdings" w:hAnsi="Wingding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3BB95AA9"/>
    <w:multiLevelType w:val="hybridMultilevel"/>
    <w:tmpl w:val="86FE489A"/>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1" w15:restartNumberingAfterBreak="0">
    <w:nsid w:val="4118747C"/>
    <w:multiLevelType w:val="hybridMultilevel"/>
    <w:tmpl w:val="F50C78BA"/>
    <w:lvl w:ilvl="0" w:tplc="EB50E4D0">
      <w:start w:val="4"/>
      <w:numFmt w:val="bullet"/>
      <w:lvlText w:val="-"/>
      <w:lvlJc w:val="left"/>
      <w:pPr>
        <w:ind w:left="1428" w:hanging="360"/>
      </w:pPr>
      <w:rPr>
        <w:rFonts w:ascii="Times New Roman" w:eastAsia="SimSu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15:restartNumberingAfterBreak="0">
    <w:nsid w:val="44BD53C3"/>
    <w:multiLevelType w:val="hybridMultilevel"/>
    <w:tmpl w:val="729AE424"/>
    <w:lvl w:ilvl="0" w:tplc="EB50E4D0">
      <w:start w:val="4"/>
      <w:numFmt w:val="bullet"/>
      <w:lvlText w:val="-"/>
      <w:lvlJc w:val="left"/>
      <w:pPr>
        <w:ind w:left="720" w:hanging="360"/>
      </w:pPr>
      <w:rPr>
        <w:rFonts w:ascii="Times New Roman" w:eastAsia="SimSu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5FD375F"/>
    <w:multiLevelType w:val="hybridMultilevel"/>
    <w:tmpl w:val="F374655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4" w15:restartNumberingAfterBreak="0">
    <w:nsid w:val="473A4557"/>
    <w:multiLevelType w:val="hybridMultilevel"/>
    <w:tmpl w:val="D366897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815153E"/>
    <w:multiLevelType w:val="multilevel"/>
    <w:tmpl w:val="47D890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9690334"/>
    <w:multiLevelType w:val="singleLevel"/>
    <w:tmpl w:val="D2885A4C"/>
    <w:lvl w:ilvl="0">
      <w:start w:val="1"/>
      <w:numFmt w:val="decimal"/>
      <w:pStyle w:val="1"/>
      <w:lvlText w:val="%1)"/>
      <w:lvlJc w:val="left"/>
      <w:pPr>
        <w:tabs>
          <w:tab w:val="num" w:pos="360"/>
        </w:tabs>
        <w:ind w:left="360" w:hanging="360"/>
      </w:pPr>
      <w:rPr>
        <w:rFonts w:cs="Times New Roman"/>
      </w:rPr>
    </w:lvl>
  </w:abstractNum>
  <w:abstractNum w:abstractNumId="17" w15:restartNumberingAfterBreak="0">
    <w:nsid w:val="4C841985"/>
    <w:multiLevelType w:val="multilevel"/>
    <w:tmpl w:val="89F8640A"/>
    <w:lvl w:ilvl="0">
      <w:start w:val="1"/>
      <w:numFmt w:val="bullet"/>
      <w:lvlText w:val=""/>
      <w:lvlJc w:val="left"/>
      <w:pPr>
        <w:ind w:left="450" w:hanging="450"/>
      </w:pPr>
      <w:rPr>
        <w:rFonts w:ascii="Wingdings" w:hAnsi="Wingding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15:restartNumberingAfterBreak="0">
    <w:nsid w:val="55752A4F"/>
    <w:multiLevelType w:val="hybridMultilevel"/>
    <w:tmpl w:val="EAF43626"/>
    <w:lvl w:ilvl="0" w:tplc="15C0AAC4">
      <w:start w:val="1"/>
      <w:numFmt w:val="decimal"/>
      <w:pStyle w:val="a0"/>
      <w:lvlText w:val="%1."/>
      <w:lvlJc w:val="left"/>
      <w:pPr>
        <w:tabs>
          <w:tab w:val="num" w:pos="360"/>
        </w:tabs>
        <w:ind w:left="357" w:hanging="357"/>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9" w15:restartNumberingAfterBreak="0">
    <w:nsid w:val="57D26851"/>
    <w:multiLevelType w:val="hybridMultilevel"/>
    <w:tmpl w:val="82346B2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5D0315E5"/>
    <w:multiLevelType w:val="hybridMultilevel"/>
    <w:tmpl w:val="3054936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60915953"/>
    <w:multiLevelType w:val="hybridMultilevel"/>
    <w:tmpl w:val="224E86A6"/>
    <w:lvl w:ilvl="0" w:tplc="CFF2F00C">
      <w:start w:val="1"/>
      <w:numFmt w:val="bullet"/>
      <w:lvlText w:val="­"/>
      <w:lvlJc w:val="left"/>
      <w:pPr>
        <w:ind w:left="1429" w:hanging="360"/>
      </w:pPr>
      <w:rPr>
        <w:rFonts w:ascii="Agency FB" w:hAnsi="Agency FB"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68750F4F"/>
    <w:multiLevelType w:val="hybridMultilevel"/>
    <w:tmpl w:val="3D38EF06"/>
    <w:lvl w:ilvl="0" w:tplc="3A38DDA0">
      <w:start w:val="1"/>
      <w:numFmt w:val="decimal"/>
      <w:lvlText w:val="%1."/>
      <w:lvlJc w:val="left"/>
      <w:pPr>
        <w:tabs>
          <w:tab w:val="num" w:pos="851"/>
        </w:tabs>
        <w:ind w:left="-567" w:firstLine="709"/>
      </w:pPr>
    </w:lvl>
    <w:lvl w:ilvl="1" w:tplc="04190019">
      <w:start w:val="1"/>
      <w:numFmt w:val="lowerLetter"/>
      <w:lvlText w:val="%2."/>
      <w:lvlJc w:val="left"/>
      <w:pPr>
        <w:tabs>
          <w:tab w:val="num" w:pos="873"/>
        </w:tabs>
        <w:ind w:left="873" w:hanging="360"/>
      </w:pPr>
    </w:lvl>
    <w:lvl w:ilvl="2" w:tplc="0419001B">
      <w:start w:val="1"/>
      <w:numFmt w:val="lowerRoman"/>
      <w:lvlText w:val="%3."/>
      <w:lvlJc w:val="right"/>
      <w:pPr>
        <w:tabs>
          <w:tab w:val="num" w:pos="1593"/>
        </w:tabs>
        <w:ind w:left="1593" w:hanging="180"/>
      </w:pPr>
    </w:lvl>
    <w:lvl w:ilvl="3" w:tplc="0419000F">
      <w:start w:val="1"/>
      <w:numFmt w:val="decimal"/>
      <w:lvlText w:val="%4."/>
      <w:lvlJc w:val="left"/>
      <w:pPr>
        <w:tabs>
          <w:tab w:val="num" w:pos="2313"/>
        </w:tabs>
        <w:ind w:left="2313" w:hanging="360"/>
      </w:pPr>
    </w:lvl>
    <w:lvl w:ilvl="4" w:tplc="04190019">
      <w:start w:val="1"/>
      <w:numFmt w:val="lowerLetter"/>
      <w:lvlText w:val="%5."/>
      <w:lvlJc w:val="left"/>
      <w:pPr>
        <w:tabs>
          <w:tab w:val="num" w:pos="3033"/>
        </w:tabs>
        <w:ind w:left="3033" w:hanging="360"/>
      </w:pPr>
    </w:lvl>
    <w:lvl w:ilvl="5" w:tplc="0419001B">
      <w:start w:val="1"/>
      <w:numFmt w:val="lowerRoman"/>
      <w:lvlText w:val="%6."/>
      <w:lvlJc w:val="right"/>
      <w:pPr>
        <w:tabs>
          <w:tab w:val="num" w:pos="3753"/>
        </w:tabs>
        <w:ind w:left="3753" w:hanging="180"/>
      </w:pPr>
    </w:lvl>
    <w:lvl w:ilvl="6" w:tplc="0419000F">
      <w:start w:val="1"/>
      <w:numFmt w:val="decimal"/>
      <w:lvlText w:val="%7."/>
      <w:lvlJc w:val="left"/>
      <w:pPr>
        <w:tabs>
          <w:tab w:val="num" w:pos="4473"/>
        </w:tabs>
        <w:ind w:left="4473" w:hanging="360"/>
      </w:pPr>
    </w:lvl>
    <w:lvl w:ilvl="7" w:tplc="04190019">
      <w:start w:val="1"/>
      <w:numFmt w:val="lowerLetter"/>
      <w:lvlText w:val="%8."/>
      <w:lvlJc w:val="left"/>
      <w:pPr>
        <w:tabs>
          <w:tab w:val="num" w:pos="5193"/>
        </w:tabs>
        <w:ind w:left="5193" w:hanging="360"/>
      </w:pPr>
    </w:lvl>
    <w:lvl w:ilvl="8" w:tplc="0419001B">
      <w:start w:val="1"/>
      <w:numFmt w:val="lowerRoman"/>
      <w:lvlText w:val="%9."/>
      <w:lvlJc w:val="right"/>
      <w:pPr>
        <w:tabs>
          <w:tab w:val="num" w:pos="5913"/>
        </w:tabs>
        <w:ind w:left="5913" w:hanging="180"/>
      </w:pPr>
    </w:lvl>
  </w:abstractNum>
  <w:abstractNum w:abstractNumId="23" w15:restartNumberingAfterBreak="0">
    <w:nsid w:val="6A7D0CA8"/>
    <w:multiLevelType w:val="hybridMultilevel"/>
    <w:tmpl w:val="8EF0080C"/>
    <w:lvl w:ilvl="0" w:tplc="04190019">
      <w:start w:val="3"/>
      <w:numFmt w:val="bullet"/>
      <w:pStyle w:val="a1"/>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6A953071"/>
    <w:multiLevelType w:val="hybridMultilevel"/>
    <w:tmpl w:val="2BA0EBC0"/>
    <w:lvl w:ilvl="0" w:tplc="2ACC339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6B1F5A14"/>
    <w:multiLevelType w:val="hybridMultilevel"/>
    <w:tmpl w:val="7E6206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75AC2C15"/>
    <w:multiLevelType w:val="hybridMultilevel"/>
    <w:tmpl w:val="C3FC1546"/>
    <w:lvl w:ilvl="0" w:tplc="300497EA">
      <w:start w:val="1"/>
      <w:numFmt w:val="bullet"/>
      <w:lvlText w:val="-"/>
      <w:lvlJc w:val="left"/>
      <w:pPr>
        <w:ind w:left="36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77A0129D"/>
    <w:multiLevelType w:val="hybridMultilevel"/>
    <w:tmpl w:val="FAD68E2C"/>
    <w:lvl w:ilvl="0" w:tplc="E3A01D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C324C99"/>
    <w:multiLevelType w:val="hybridMultilevel"/>
    <w:tmpl w:val="90BC1D70"/>
    <w:lvl w:ilvl="0" w:tplc="0422000D">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9" w15:restartNumberingAfterBreak="0">
    <w:nsid w:val="7C535C00"/>
    <w:multiLevelType w:val="hybridMultilevel"/>
    <w:tmpl w:val="82EC248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7"/>
  </w:num>
  <w:num w:numId="2">
    <w:abstractNumId w:val="25"/>
  </w:num>
  <w:num w:numId="3">
    <w:abstractNumId w:val="10"/>
  </w:num>
  <w:num w:numId="4">
    <w:abstractNumId w:val="28"/>
  </w:num>
  <w:num w:numId="5">
    <w:abstractNumId w:val="9"/>
  </w:num>
  <w:num w:numId="6">
    <w:abstractNumId w:val="6"/>
  </w:num>
  <w:num w:numId="7">
    <w:abstractNumId w:val="17"/>
  </w:num>
  <w:num w:numId="8">
    <w:abstractNumId w:val="8"/>
  </w:num>
  <w:num w:numId="9">
    <w:abstractNumId w:val="26"/>
  </w:num>
  <w:num w:numId="10">
    <w:abstractNumId w:val="4"/>
  </w:num>
  <w:num w:numId="11">
    <w:abstractNumId w:val="23"/>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8"/>
  </w:num>
  <w:num w:numId="15">
    <w:abstractNumId w:val="16"/>
  </w:num>
  <w:num w:numId="16">
    <w:abstractNumId w:val="0"/>
  </w:num>
  <w:num w:numId="17">
    <w:abstractNumId w:val="12"/>
  </w:num>
  <w:num w:numId="18">
    <w:abstractNumId w:val="14"/>
  </w:num>
  <w:num w:numId="19">
    <w:abstractNumId w:val="21"/>
  </w:num>
  <w:num w:numId="20">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 w:numId="23">
    <w:abstractNumId w:val="3"/>
  </w:num>
  <w:num w:numId="24">
    <w:abstractNumId w:val="29"/>
  </w:num>
  <w:num w:numId="25">
    <w:abstractNumId w:val="15"/>
  </w:num>
  <w:num w:numId="2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num>
  <w:num w:numId="28">
    <w:abstractNumId w:val="5"/>
  </w:num>
  <w:num w:numId="29">
    <w:abstractNumId w:val="19"/>
  </w:num>
  <w:num w:numId="30">
    <w:abstractNumId w:val="24"/>
  </w:num>
  <w:num w:numId="31">
    <w:abstractNumId w:val="2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771"/>
    <w:rsid w:val="00002116"/>
    <w:rsid w:val="00002C32"/>
    <w:rsid w:val="00002D53"/>
    <w:rsid w:val="00002FB8"/>
    <w:rsid w:val="000033CC"/>
    <w:rsid w:val="00005414"/>
    <w:rsid w:val="00006620"/>
    <w:rsid w:val="000128CF"/>
    <w:rsid w:val="00013F70"/>
    <w:rsid w:val="00020BEE"/>
    <w:rsid w:val="000216D9"/>
    <w:rsid w:val="00021EFC"/>
    <w:rsid w:val="0002614C"/>
    <w:rsid w:val="00026DEF"/>
    <w:rsid w:val="00030B76"/>
    <w:rsid w:val="00030CB5"/>
    <w:rsid w:val="00031BDB"/>
    <w:rsid w:val="00032FF7"/>
    <w:rsid w:val="00035505"/>
    <w:rsid w:val="0004026B"/>
    <w:rsid w:val="000424EF"/>
    <w:rsid w:val="00042CAE"/>
    <w:rsid w:val="00043E41"/>
    <w:rsid w:val="000450A2"/>
    <w:rsid w:val="00046169"/>
    <w:rsid w:val="00053DE1"/>
    <w:rsid w:val="000542ED"/>
    <w:rsid w:val="00054F2C"/>
    <w:rsid w:val="00057D96"/>
    <w:rsid w:val="0006022B"/>
    <w:rsid w:val="00060C8F"/>
    <w:rsid w:val="00061A18"/>
    <w:rsid w:val="000665FA"/>
    <w:rsid w:val="00070451"/>
    <w:rsid w:val="00071DD0"/>
    <w:rsid w:val="00072A3D"/>
    <w:rsid w:val="00074040"/>
    <w:rsid w:val="00076425"/>
    <w:rsid w:val="00076822"/>
    <w:rsid w:val="00077F93"/>
    <w:rsid w:val="000815B3"/>
    <w:rsid w:val="0008345B"/>
    <w:rsid w:val="0008733D"/>
    <w:rsid w:val="0008785B"/>
    <w:rsid w:val="000902A7"/>
    <w:rsid w:val="00095A4B"/>
    <w:rsid w:val="00096453"/>
    <w:rsid w:val="000A01B4"/>
    <w:rsid w:val="000A24D7"/>
    <w:rsid w:val="000A5D57"/>
    <w:rsid w:val="000A6572"/>
    <w:rsid w:val="000A7379"/>
    <w:rsid w:val="000B1304"/>
    <w:rsid w:val="000B1B13"/>
    <w:rsid w:val="000B3D69"/>
    <w:rsid w:val="000B4264"/>
    <w:rsid w:val="000B4BA9"/>
    <w:rsid w:val="000B6B61"/>
    <w:rsid w:val="000B7592"/>
    <w:rsid w:val="000B7DAE"/>
    <w:rsid w:val="000C0334"/>
    <w:rsid w:val="000C19FA"/>
    <w:rsid w:val="000C285B"/>
    <w:rsid w:val="000C4E21"/>
    <w:rsid w:val="000C4F4B"/>
    <w:rsid w:val="000C50DF"/>
    <w:rsid w:val="000C5172"/>
    <w:rsid w:val="000C6280"/>
    <w:rsid w:val="000C68D8"/>
    <w:rsid w:val="000D2AF3"/>
    <w:rsid w:val="000D537A"/>
    <w:rsid w:val="000D6628"/>
    <w:rsid w:val="000D78AB"/>
    <w:rsid w:val="000E4EBC"/>
    <w:rsid w:val="000E50D0"/>
    <w:rsid w:val="000E55A3"/>
    <w:rsid w:val="000E76F0"/>
    <w:rsid w:val="000F4785"/>
    <w:rsid w:val="000F4E04"/>
    <w:rsid w:val="000F508F"/>
    <w:rsid w:val="000F606D"/>
    <w:rsid w:val="000F60BB"/>
    <w:rsid w:val="000F7D87"/>
    <w:rsid w:val="000F7DB1"/>
    <w:rsid w:val="00102FC2"/>
    <w:rsid w:val="001037E6"/>
    <w:rsid w:val="0010712C"/>
    <w:rsid w:val="00107970"/>
    <w:rsid w:val="0011051D"/>
    <w:rsid w:val="00110CFC"/>
    <w:rsid w:val="00111465"/>
    <w:rsid w:val="0011393E"/>
    <w:rsid w:val="00113C8C"/>
    <w:rsid w:val="00114D0E"/>
    <w:rsid w:val="00116B74"/>
    <w:rsid w:val="001210EE"/>
    <w:rsid w:val="0012292B"/>
    <w:rsid w:val="001236BB"/>
    <w:rsid w:val="0012482E"/>
    <w:rsid w:val="001252FB"/>
    <w:rsid w:val="00125694"/>
    <w:rsid w:val="00125B7B"/>
    <w:rsid w:val="00130255"/>
    <w:rsid w:val="0013049B"/>
    <w:rsid w:val="00131DE5"/>
    <w:rsid w:val="00132E59"/>
    <w:rsid w:val="0013627F"/>
    <w:rsid w:val="00136B67"/>
    <w:rsid w:val="00137648"/>
    <w:rsid w:val="001416CC"/>
    <w:rsid w:val="00142D8F"/>
    <w:rsid w:val="00142E7F"/>
    <w:rsid w:val="001433C4"/>
    <w:rsid w:val="00144A9A"/>
    <w:rsid w:val="0014701C"/>
    <w:rsid w:val="00150A63"/>
    <w:rsid w:val="00155FB9"/>
    <w:rsid w:val="00156570"/>
    <w:rsid w:val="00156B7B"/>
    <w:rsid w:val="0016290E"/>
    <w:rsid w:val="001629A2"/>
    <w:rsid w:val="00162BA9"/>
    <w:rsid w:val="00163C9E"/>
    <w:rsid w:val="00165DC1"/>
    <w:rsid w:val="001664D0"/>
    <w:rsid w:val="0016749F"/>
    <w:rsid w:val="0017068C"/>
    <w:rsid w:val="00170DDA"/>
    <w:rsid w:val="0017309C"/>
    <w:rsid w:val="00173B53"/>
    <w:rsid w:val="00173C02"/>
    <w:rsid w:val="00173FD7"/>
    <w:rsid w:val="001745EF"/>
    <w:rsid w:val="00174C7A"/>
    <w:rsid w:val="00175307"/>
    <w:rsid w:val="00175C30"/>
    <w:rsid w:val="001818B4"/>
    <w:rsid w:val="00183E0F"/>
    <w:rsid w:val="00183E4D"/>
    <w:rsid w:val="001849EC"/>
    <w:rsid w:val="00190F52"/>
    <w:rsid w:val="00191432"/>
    <w:rsid w:val="0019680B"/>
    <w:rsid w:val="00196D6D"/>
    <w:rsid w:val="001975B7"/>
    <w:rsid w:val="001A0BD2"/>
    <w:rsid w:val="001A3309"/>
    <w:rsid w:val="001A3EB1"/>
    <w:rsid w:val="001A4F9A"/>
    <w:rsid w:val="001A5318"/>
    <w:rsid w:val="001A7A88"/>
    <w:rsid w:val="001B02BB"/>
    <w:rsid w:val="001B4D7E"/>
    <w:rsid w:val="001B5166"/>
    <w:rsid w:val="001B722F"/>
    <w:rsid w:val="001C044A"/>
    <w:rsid w:val="001D08B4"/>
    <w:rsid w:val="001D41C5"/>
    <w:rsid w:val="001D4F2E"/>
    <w:rsid w:val="001D5205"/>
    <w:rsid w:val="001D5274"/>
    <w:rsid w:val="001D7A79"/>
    <w:rsid w:val="001D7C38"/>
    <w:rsid w:val="001E10C6"/>
    <w:rsid w:val="001E21E9"/>
    <w:rsid w:val="001E56D4"/>
    <w:rsid w:val="001F1EE1"/>
    <w:rsid w:val="001F2EC7"/>
    <w:rsid w:val="001F3C6C"/>
    <w:rsid w:val="001F48EE"/>
    <w:rsid w:val="001F558D"/>
    <w:rsid w:val="001F618E"/>
    <w:rsid w:val="001F6853"/>
    <w:rsid w:val="0020006B"/>
    <w:rsid w:val="002066AB"/>
    <w:rsid w:val="002069CC"/>
    <w:rsid w:val="00207432"/>
    <w:rsid w:val="0021213F"/>
    <w:rsid w:val="002126CD"/>
    <w:rsid w:val="0021357D"/>
    <w:rsid w:val="00217608"/>
    <w:rsid w:val="0022088E"/>
    <w:rsid w:val="0022259C"/>
    <w:rsid w:val="002325AF"/>
    <w:rsid w:val="002334AB"/>
    <w:rsid w:val="0023595A"/>
    <w:rsid w:val="0023629D"/>
    <w:rsid w:val="00236FA7"/>
    <w:rsid w:val="00237230"/>
    <w:rsid w:val="002441E6"/>
    <w:rsid w:val="00245757"/>
    <w:rsid w:val="00250110"/>
    <w:rsid w:val="002543B3"/>
    <w:rsid w:val="00254DB0"/>
    <w:rsid w:val="00260441"/>
    <w:rsid w:val="00261A8B"/>
    <w:rsid w:val="0026275F"/>
    <w:rsid w:val="00262EEE"/>
    <w:rsid w:val="00264D29"/>
    <w:rsid w:val="00265764"/>
    <w:rsid w:val="00277687"/>
    <w:rsid w:val="00280952"/>
    <w:rsid w:val="002820CC"/>
    <w:rsid w:val="00283ABF"/>
    <w:rsid w:val="00284038"/>
    <w:rsid w:val="00284228"/>
    <w:rsid w:val="0028539A"/>
    <w:rsid w:val="002856CC"/>
    <w:rsid w:val="002876BF"/>
    <w:rsid w:val="002927DC"/>
    <w:rsid w:val="00293841"/>
    <w:rsid w:val="00295CB4"/>
    <w:rsid w:val="0029678F"/>
    <w:rsid w:val="00296B21"/>
    <w:rsid w:val="00296FDF"/>
    <w:rsid w:val="002A0349"/>
    <w:rsid w:val="002A0874"/>
    <w:rsid w:val="002A10B8"/>
    <w:rsid w:val="002A2A86"/>
    <w:rsid w:val="002A2AD4"/>
    <w:rsid w:val="002A3332"/>
    <w:rsid w:val="002A4044"/>
    <w:rsid w:val="002A54F8"/>
    <w:rsid w:val="002A5E0C"/>
    <w:rsid w:val="002A6B06"/>
    <w:rsid w:val="002A6F8C"/>
    <w:rsid w:val="002A7585"/>
    <w:rsid w:val="002B2518"/>
    <w:rsid w:val="002B5CC7"/>
    <w:rsid w:val="002B6103"/>
    <w:rsid w:val="002B76B4"/>
    <w:rsid w:val="002C2A12"/>
    <w:rsid w:val="002C4DCE"/>
    <w:rsid w:val="002C56BF"/>
    <w:rsid w:val="002D0300"/>
    <w:rsid w:val="002D1591"/>
    <w:rsid w:val="002D1D67"/>
    <w:rsid w:val="002D1ECB"/>
    <w:rsid w:val="002D32C4"/>
    <w:rsid w:val="002D3AFE"/>
    <w:rsid w:val="002D4974"/>
    <w:rsid w:val="002D4ED5"/>
    <w:rsid w:val="002D6F22"/>
    <w:rsid w:val="002D7908"/>
    <w:rsid w:val="002E10E8"/>
    <w:rsid w:val="002E420E"/>
    <w:rsid w:val="002F1CDA"/>
    <w:rsid w:val="002F2975"/>
    <w:rsid w:val="002F41D5"/>
    <w:rsid w:val="002F5E1D"/>
    <w:rsid w:val="002F6EC2"/>
    <w:rsid w:val="00302003"/>
    <w:rsid w:val="00302F1B"/>
    <w:rsid w:val="0030546D"/>
    <w:rsid w:val="00305F77"/>
    <w:rsid w:val="003060EB"/>
    <w:rsid w:val="00306C83"/>
    <w:rsid w:val="00312CC5"/>
    <w:rsid w:val="003132CC"/>
    <w:rsid w:val="003159E7"/>
    <w:rsid w:val="003211E5"/>
    <w:rsid w:val="0032339E"/>
    <w:rsid w:val="00323813"/>
    <w:rsid w:val="0032408E"/>
    <w:rsid w:val="00324B2B"/>
    <w:rsid w:val="00325C24"/>
    <w:rsid w:val="00327E93"/>
    <w:rsid w:val="003315E5"/>
    <w:rsid w:val="00331843"/>
    <w:rsid w:val="00332B5D"/>
    <w:rsid w:val="00337505"/>
    <w:rsid w:val="003407DF"/>
    <w:rsid w:val="003421DD"/>
    <w:rsid w:val="00344068"/>
    <w:rsid w:val="0034739C"/>
    <w:rsid w:val="00350B4A"/>
    <w:rsid w:val="003517E8"/>
    <w:rsid w:val="00352E72"/>
    <w:rsid w:val="00353C73"/>
    <w:rsid w:val="003569DA"/>
    <w:rsid w:val="00356AD1"/>
    <w:rsid w:val="0035749D"/>
    <w:rsid w:val="003622CE"/>
    <w:rsid w:val="00363F3A"/>
    <w:rsid w:val="00365CEE"/>
    <w:rsid w:val="00366428"/>
    <w:rsid w:val="00366849"/>
    <w:rsid w:val="003677B6"/>
    <w:rsid w:val="00370539"/>
    <w:rsid w:val="00371936"/>
    <w:rsid w:val="00374534"/>
    <w:rsid w:val="0038126A"/>
    <w:rsid w:val="00386FDD"/>
    <w:rsid w:val="0038787F"/>
    <w:rsid w:val="003904F7"/>
    <w:rsid w:val="003937CF"/>
    <w:rsid w:val="00393BDE"/>
    <w:rsid w:val="00393D1C"/>
    <w:rsid w:val="003A041F"/>
    <w:rsid w:val="003A0504"/>
    <w:rsid w:val="003A1681"/>
    <w:rsid w:val="003A22B8"/>
    <w:rsid w:val="003A7B07"/>
    <w:rsid w:val="003A7E04"/>
    <w:rsid w:val="003A7F50"/>
    <w:rsid w:val="003B09D6"/>
    <w:rsid w:val="003B2597"/>
    <w:rsid w:val="003B4F4C"/>
    <w:rsid w:val="003B7D3E"/>
    <w:rsid w:val="003C0C00"/>
    <w:rsid w:val="003C1952"/>
    <w:rsid w:val="003C1CB9"/>
    <w:rsid w:val="003C35F7"/>
    <w:rsid w:val="003C38E9"/>
    <w:rsid w:val="003C6267"/>
    <w:rsid w:val="003C6A9F"/>
    <w:rsid w:val="003C71B0"/>
    <w:rsid w:val="003C79FE"/>
    <w:rsid w:val="003D214F"/>
    <w:rsid w:val="003D319D"/>
    <w:rsid w:val="003D3AFD"/>
    <w:rsid w:val="003D40B0"/>
    <w:rsid w:val="003D5FB4"/>
    <w:rsid w:val="003D637E"/>
    <w:rsid w:val="003E14F9"/>
    <w:rsid w:val="003E42F3"/>
    <w:rsid w:val="003E5886"/>
    <w:rsid w:val="003F2B25"/>
    <w:rsid w:val="0040091E"/>
    <w:rsid w:val="00401537"/>
    <w:rsid w:val="0040261A"/>
    <w:rsid w:val="00402B0A"/>
    <w:rsid w:val="00404155"/>
    <w:rsid w:val="00404583"/>
    <w:rsid w:val="00404762"/>
    <w:rsid w:val="004057F4"/>
    <w:rsid w:val="00405E02"/>
    <w:rsid w:val="004065E8"/>
    <w:rsid w:val="004115FA"/>
    <w:rsid w:val="00414316"/>
    <w:rsid w:val="00414700"/>
    <w:rsid w:val="004148F4"/>
    <w:rsid w:val="00423A30"/>
    <w:rsid w:val="004247F9"/>
    <w:rsid w:val="00425404"/>
    <w:rsid w:val="00425947"/>
    <w:rsid w:val="00430E84"/>
    <w:rsid w:val="00435BFE"/>
    <w:rsid w:val="00437471"/>
    <w:rsid w:val="004402ED"/>
    <w:rsid w:val="00442FF5"/>
    <w:rsid w:val="0044302D"/>
    <w:rsid w:val="0044365F"/>
    <w:rsid w:val="00443D71"/>
    <w:rsid w:val="00444858"/>
    <w:rsid w:val="00444C5A"/>
    <w:rsid w:val="004459CE"/>
    <w:rsid w:val="004504A8"/>
    <w:rsid w:val="00450BF2"/>
    <w:rsid w:val="00450D51"/>
    <w:rsid w:val="00451B5E"/>
    <w:rsid w:val="00451CF7"/>
    <w:rsid w:val="00455ADF"/>
    <w:rsid w:val="004576E0"/>
    <w:rsid w:val="00460A22"/>
    <w:rsid w:val="00462625"/>
    <w:rsid w:val="0046513B"/>
    <w:rsid w:val="00465ED0"/>
    <w:rsid w:val="00466D2C"/>
    <w:rsid w:val="004728DD"/>
    <w:rsid w:val="00472E0D"/>
    <w:rsid w:val="0047503B"/>
    <w:rsid w:val="004754FB"/>
    <w:rsid w:val="00475944"/>
    <w:rsid w:val="00475A3F"/>
    <w:rsid w:val="00476E95"/>
    <w:rsid w:val="0047725B"/>
    <w:rsid w:val="0048083B"/>
    <w:rsid w:val="00480B26"/>
    <w:rsid w:val="00482B19"/>
    <w:rsid w:val="0049064C"/>
    <w:rsid w:val="00491BFE"/>
    <w:rsid w:val="00493A28"/>
    <w:rsid w:val="00494C6B"/>
    <w:rsid w:val="004953B9"/>
    <w:rsid w:val="00495E01"/>
    <w:rsid w:val="00496353"/>
    <w:rsid w:val="004A2464"/>
    <w:rsid w:val="004A62AC"/>
    <w:rsid w:val="004B54F1"/>
    <w:rsid w:val="004B687B"/>
    <w:rsid w:val="004C1A7F"/>
    <w:rsid w:val="004C1D2A"/>
    <w:rsid w:val="004C34BD"/>
    <w:rsid w:val="004C6D9B"/>
    <w:rsid w:val="004C75C0"/>
    <w:rsid w:val="004D23FA"/>
    <w:rsid w:val="004D428D"/>
    <w:rsid w:val="004D59E0"/>
    <w:rsid w:val="004D5C2B"/>
    <w:rsid w:val="004D60A5"/>
    <w:rsid w:val="004D6678"/>
    <w:rsid w:val="004D6D73"/>
    <w:rsid w:val="004D6E80"/>
    <w:rsid w:val="004D7539"/>
    <w:rsid w:val="004E22AE"/>
    <w:rsid w:val="004E22DB"/>
    <w:rsid w:val="004E2641"/>
    <w:rsid w:val="004E2935"/>
    <w:rsid w:val="004E3970"/>
    <w:rsid w:val="004E411F"/>
    <w:rsid w:val="004E6646"/>
    <w:rsid w:val="004E740E"/>
    <w:rsid w:val="004F0AC5"/>
    <w:rsid w:val="004F10B1"/>
    <w:rsid w:val="004F376B"/>
    <w:rsid w:val="004F408E"/>
    <w:rsid w:val="004F4AE4"/>
    <w:rsid w:val="004F6B56"/>
    <w:rsid w:val="004F6D4C"/>
    <w:rsid w:val="005063D8"/>
    <w:rsid w:val="005068B2"/>
    <w:rsid w:val="00507F42"/>
    <w:rsid w:val="00510588"/>
    <w:rsid w:val="00510C14"/>
    <w:rsid w:val="00512107"/>
    <w:rsid w:val="0051212D"/>
    <w:rsid w:val="005173C1"/>
    <w:rsid w:val="00523ED2"/>
    <w:rsid w:val="005244CC"/>
    <w:rsid w:val="00525628"/>
    <w:rsid w:val="005274E6"/>
    <w:rsid w:val="00527F46"/>
    <w:rsid w:val="0053065F"/>
    <w:rsid w:val="0053204D"/>
    <w:rsid w:val="00532D59"/>
    <w:rsid w:val="00536259"/>
    <w:rsid w:val="00536C4D"/>
    <w:rsid w:val="0054315A"/>
    <w:rsid w:val="00543548"/>
    <w:rsid w:val="00543BBF"/>
    <w:rsid w:val="00543DB4"/>
    <w:rsid w:val="00545710"/>
    <w:rsid w:val="005460A8"/>
    <w:rsid w:val="0054626B"/>
    <w:rsid w:val="005467B1"/>
    <w:rsid w:val="00550250"/>
    <w:rsid w:val="005507BC"/>
    <w:rsid w:val="00551B9F"/>
    <w:rsid w:val="00551FFB"/>
    <w:rsid w:val="00552AE7"/>
    <w:rsid w:val="00553392"/>
    <w:rsid w:val="005540FE"/>
    <w:rsid w:val="005548D3"/>
    <w:rsid w:val="00560C45"/>
    <w:rsid w:val="00562976"/>
    <w:rsid w:val="00562EBC"/>
    <w:rsid w:val="00564547"/>
    <w:rsid w:val="005652C9"/>
    <w:rsid w:val="005669AC"/>
    <w:rsid w:val="00567CAD"/>
    <w:rsid w:val="00570A5A"/>
    <w:rsid w:val="00570CAB"/>
    <w:rsid w:val="00572040"/>
    <w:rsid w:val="00573D1E"/>
    <w:rsid w:val="005742ED"/>
    <w:rsid w:val="005744BD"/>
    <w:rsid w:val="00575ADF"/>
    <w:rsid w:val="005824A0"/>
    <w:rsid w:val="00584A47"/>
    <w:rsid w:val="00585711"/>
    <w:rsid w:val="00585B85"/>
    <w:rsid w:val="00586065"/>
    <w:rsid w:val="0059358E"/>
    <w:rsid w:val="005948D2"/>
    <w:rsid w:val="00594D49"/>
    <w:rsid w:val="005954DD"/>
    <w:rsid w:val="00595EFB"/>
    <w:rsid w:val="0059612C"/>
    <w:rsid w:val="005965AD"/>
    <w:rsid w:val="005A033B"/>
    <w:rsid w:val="005A139C"/>
    <w:rsid w:val="005A62FF"/>
    <w:rsid w:val="005B0217"/>
    <w:rsid w:val="005B28FE"/>
    <w:rsid w:val="005B3D76"/>
    <w:rsid w:val="005B4A61"/>
    <w:rsid w:val="005B4CEA"/>
    <w:rsid w:val="005C064B"/>
    <w:rsid w:val="005C21FE"/>
    <w:rsid w:val="005C48FA"/>
    <w:rsid w:val="005C50AD"/>
    <w:rsid w:val="005C58DF"/>
    <w:rsid w:val="005C5C27"/>
    <w:rsid w:val="005C6516"/>
    <w:rsid w:val="005C72A3"/>
    <w:rsid w:val="005D05DB"/>
    <w:rsid w:val="005D09E6"/>
    <w:rsid w:val="005D0B22"/>
    <w:rsid w:val="005D115B"/>
    <w:rsid w:val="005D1B58"/>
    <w:rsid w:val="005D2EFE"/>
    <w:rsid w:val="005D7CF7"/>
    <w:rsid w:val="005E1C58"/>
    <w:rsid w:val="005E1E69"/>
    <w:rsid w:val="005E21A3"/>
    <w:rsid w:val="005E4A20"/>
    <w:rsid w:val="005E6300"/>
    <w:rsid w:val="005E77CD"/>
    <w:rsid w:val="005F0053"/>
    <w:rsid w:val="005F29CF"/>
    <w:rsid w:val="005F2E77"/>
    <w:rsid w:val="005F415F"/>
    <w:rsid w:val="005F6204"/>
    <w:rsid w:val="005F6FCB"/>
    <w:rsid w:val="005F7C28"/>
    <w:rsid w:val="006021A9"/>
    <w:rsid w:val="0060382D"/>
    <w:rsid w:val="006058C0"/>
    <w:rsid w:val="006070F2"/>
    <w:rsid w:val="00610B9D"/>
    <w:rsid w:val="00612D4D"/>
    <w:rsid w:val="00622E6F"/>
    <w:rsid w:val="006240DF"/>
    <w:rsid w:val="00624922"/>
    <w:rsid w:val="006259E4"/>
    <w:rsid w:val="00625C44"/>
    <w:rsid w:val="006261F9"/>
    <w:rsid w:val="00626218"/>
    <w:rsid w:val="00633129"/>
    <w:rsid w:val="006335E3"/>
    <w:rsid w:val="006349B1"/>
    <w:rsid w:val="006416D6"/>
    <w:rsid w:val="006417D5"/>
    <w:rsid w:val="006427A1"/>
    <w:rsid w:val="00642AC5"/>
    <w:rsid w:val="0064364D"/>
    <w:rsid w:val="00643691"/>
    <w:rsid w:val="00645466"/>
    <w:rsid w:val="00651864"/>
    <w:rsid w:val="00654018"/>
    <w:rsid w:val="00655ABA"/>
    <w:rsid w:val="0065673A"/>
    <w:rsid w:val="0066109D"/>
    <w:rsid w:val="00661875"/>
    <w:rsid w:val="00665500"/>
    <w:rsid w:val="00665D86"/>
    <w:rsid w:val="006675D9"/>
    <w:rsid w:val="0067091B"/>
    <w:rsid w:val="00676EFC"/>
    <w:rsid w:val="006820B0"/>
    <w:rsid w:val="006834AB"/>
    <w:rsid w:val="00683D2C"/>
    <w:rsid w:val="006860CA"/>
    <w:rsid w:val="00687E9D"/>
    <w:rsid w:val="00691459"/>
    <w:rsid w:val="00691D88"/>
    <w:rsid w:val="006922A1"/>
    <w:rsid w:val="006955CA"/>
    <w:rsid w:val="00696026"/>
    <w:rsid w:val="006A02E7"/>
    <w:rsid w:val="006A075F"/>
    <w:rsid w:val="006A160B"/>
    <w:rsid w:val="006A389F"/>
    <w:rsid w:val="006A3CEA"/>
    <w:rsid w:val="006A464E"/>
    <w:rsid w:val="006A6095"/>
    <w:rsid w:val="006A75E5"/>
    <w:rsid w:val="006B145C"/>
    <w:rsid w:val="006B51B9"/>
    <w:rsid w:val="006B6EAD"/>
    <w:rsid w:val="006C1622"/>
    <w:rsid w:val="006C294A"/>
    <w:rsid w:val="006C467D"/>
    <w:rsid w:val="006C7CA4"/>
    <w:rsid w:val="006D0F3B"/>
    <w:rsid w:val="006D164B"/>
    <w:rsid w:val="006D2DFE"/>
    <w:rsid w:val="006D3559"/>
    <w:rsid w:val="006D3B25"/>
    <w:rsid w:val="006D5682"/>
    <w:rsid w:val="006D5ED1"/>
    <w:rsid w:val="006D656D"/>
    <w:rsid w:val="006E0650"/>
    <w:rsid w:val="006E0747"/>
    <w:rsid w:val="006E7A49"/>
    <w:rsid w:val="006F111F"/>
    <w:rsid w:val="006F217A"/>
    <w:rsid w:val="006F3541"/>
    <w:rsid w:val="006F3A9D"/>
    <w:rsid w:val="007014CD"/>
    <w:rsid w:val="00704095"/>
    <w:rsid w:val="007048E9"/>
    <w:rsid w:val="00705CF2"/>
    <w:rsid w:val="00706D56"/>
    <w:rsid w:val="0071530C"/>
    <w:rsid w:val="00717DB6"/>
    <w:rsid w:val="00720FC8"/>
    <w:rsid w:val="00724102"/>
    <w:rsid w:val="0072416F"/>
    <w:rsid w:val="00730DE1"/>
    <w:rsid w:val="00732465"/>
    <w:rsid w:val="00734448"/>
    <w:rsid w:val="0073675B"/>
    <w:rsid w:val="00740FA8"/>
    <w:rsid w:val="00741F44"/>
    <w:rsid w:val="00743AD5"/>
    <w:rsid w:val="00745C53"/>
    <w:rsid w:val="0075683E"/>
    <w:rsid w:val="00760247"/>
    <w:rsid w:val="007607F6"/>
    <w:rsid w:val="00761D43"/>
    <w:rsid w:val="0076207B"/>
    <w:rsid w:val="007662A7"/>
    <w:rsid w:val="007679AE"/>
    <w:rsid w:val="0077091F"/>
    <w:rsid w:val="007711D5"/>
    <w:rsid w:val="007754C3"/>
    <w:rsid w:val="007756C3"/>
    <w:rsid w:val="00776D87"/>
    <w:rsid w:val="00777503"/>
    <w:rsid w:val="00777D44"/>
    <w:rsid w:val="007810EB"/>
    <w:rsid w:val="0078246B"/>
    <w:rsid w:val="0078322A"/>
    <w:rsid w:val="0078482E"/>
    <w:rsid w:val="0078612A"/>
    <w:rsid w:val="00787C8D"/>
    <w:rsid w:val="0079552F"/>
    <w:rsid w:val="00796B0C"/>
    <w:rsid w:val="007A06ED"/>
    <w:rsid w:val="007A14CE"/>
    <w:rsid w:val="007A260A"/>
    <w:rsid w:val="007A263F"/>
    <w:rsid w:val="007B083B"/>
    <w:rsid w:val="007B32CD"/>
    <w:rsid w:val="007B4F2D"/>
    <w:rsid w:val="007B5B99"/>
    <w:rsid w:val="007B6912"/>
    <w:rsid w:val="007B7726"/>
    <w:rsid w:val="007C0341"/>
    <w:rsid w:val="007C0FE5"/>
    <w:rsid w:val="007C21A2"/>
    <w:rsid w:val="007C3155"/>
    <w:rsid w:val="007C355A"/>
    <w:rsid w:val="007C5F59"/>
    <w:rsid w:val="007C7CAB"/>
    <w:rsid w:val="007D252D"/>
    <w:rsid w:val="007D4896"/>
    <w:rsid w:val="007D5141"/>
    <w:rsid w:val="007E0F18"/>
    <w:rsid w:val="007E1039"/>
    <w:rsid w:val="007E15AF"/>
    <w:rsid w:val="007E294F"/>
    <w:rsid w:val="007E3ACC"/>
    <w:rsid w:val="007E4B70"/>
    <w:rsid w:val="007E52A6"/>
    <w:rsid w:val="007E54A8"/>
    <w:rsid w:val="007E7674"/>
    <w:rsid w:val="007F004F"/>
    <w:rsid w:val="007F0B18"/>
    <w:rsid w:val="007F13B7"/>
    <w:rsid w:val="007F2A34"/>
    <w:rsid w:val="007F4357"/>
    <w:rsid w:val="007F739C"/>
    <w:rsid w:val="007F773E"/>
    <w:rsid w:val="00800BF1"/>
    <w:rsid w:val="00802CB9"/>
    <w:rsid w:val="008060C2"/>
    <w:rsid w:val="0080622D"/>
    <w:rsid w:val="00810652"/>
    <w:rsid w:val="008127A2"/>
    <w:rsid w:val="00813771"/>
    <w:rsid w:val="00814558"/>
    <w:rsid w:val="008151B0"/>
    <w:rsid w:val="00820706"/>
    <w:rsid w:val="00821E1A"/>
    <w:rsid w:val="0082289E"/>
    <w:rsid w:val="00822F64"/>
    <w:rsid w:val="0082338F"/>
    <w:rsid w:val="008241E8"/>
    <w:rsid w:val="00824951"/>
    <w:rsid w:val="008254F3"/>
    <w:rsid w:val="0082650C"/>
    <w:rsid w:val="00827D58"/>
    <w:rsid w:val="0083025B"/>
    <w:rsid w:val="00832D04"/>
    <w:rsid w:val="008403DC"/>
    <w:rsid w:val="00840F43"/>
    <w:rsid w:val="008412AD"/>
    <w:rsid w:val="00846B7A"/>
    <w:rsid w:val="008511A9"/>
    <w:rsid w:val="0085306B"/>
    <w:rsid w:val="0085347E"/>
    <w:rsid w:val="00853C20"/>
    <w:rsid w:val="00854F31"/>
    <w:rsid w:val="00857B2A"/>
    <w:rsid w:val="00860B3C"/>
    <w:rsid w:val="00861977"/>
    <w:rsid w:val="00861C7D"/>
    <w:rsid w:val="00863105"/>
    <w:rsid w:val="00863E4F"/>
    <w:rsid w:val="0086412F"/>
    <w:rsid w:val="00865A53"/>
    <w:rsid w:val="008662BD"/>
    <w:rsid w:val="00866D1D"/>
    <w:rsid w:val="00867512"/>
    <w:rsid w:val="00867A0F"/>
    <w:rsid w:val="008725BE"/>
    <w:rsid w:val="00873182"/>
    <w:rsid w:val="00876C68"/>
    <w:rsid w:val="0088014A"/>
    <w:rsid w:val="00880F29"/>
    <w:rsid w:val="00882AB8"/>
    <w:rsid w:val="00887B2B"/>
    <w:rsid w:val="00887D5D"/>
    <w:rsid w:val="00891A54"/>
    <w:rsid w:val="008A000F"/>
    <w:rsid w:val="008A0F85"/>
    <w:rsid w:val="008A25F3"/>
    <w:rsid w:val="008A576A"/>
    <w:rsid w:val="008A59FB"/>
    <w:rsid w:val="008A66C8"/>
    <w:rsid w:val="008B1670"/>
    <w:rsid w:val="008B201C"/>
    <w:rsid w:val="008C08FC"/>
    <w:rsid w:val="008C3580"/>
    <w:rsid w:val="008C3AA1"/>
    <w:rsid w:val="008C457D"/>
    <w:rsid w:val="008C4844"/>
    <w:rsid w:val="008D2013"/>
    <w:rsid w:val="008D432E"/>
    <w:rsid w:val="008D44B8"/>
    <w:rsid w:val="008D57CA"/>
    <w:rsid w:val="008D6E9E"/>
    <w:rsid w:val="008E2344"/>
    <w:rsid w:val="008F0940"/>
    <w:rsid w:val="008F153C"/>
    <w:rsid w:val="008F6A7D"/>
    <w:rsid w:val="008F7ED1"/>
    <w:rsid w:val="009000F9"/>
    <w:rsid w:val="00903678"/>
    <w:rsid w:val="009067C1"/>
    <w:rsid w:val="009173CE"/>
    <w:rsid w:val="00917E7E"/>
    <w:rsid w:val="009206A7"/>
    <w:rsid w:val="00921B94"/>
    <w:rsid w:val="00922332"/>
    <w:rsid w:val="00922CB6"/>
    <w:rsid w:val="00922E0A"/>
    <w:rsid w:val="009242A0"/>
    <w:rsid w:val="009251AA"/>
    <w:rsid w:val="00930FE9"/>
    <w:rsid w:val="00932308"/>
    <w:rsid w:val="00936706"/>
    <w:rsid w:val="009376F9"/>
    <w:rsid w:val="00937B61"/>
    <w:rsid w:val="00940D08"/>
    <w:rsid w:val="00942463"/>
    <w:rsid w:val="009428A6"/>
    <w:rsid w:val="00942B2F"/>
    <w:rsid w:val="0094325D"/>
    <w:rsid w:val="0094420C"/>
    <w:rsid w:val="00945C0B"/>
    <w:rsid w:val="009471DF"/>
    <w:rsid w:val="00950F80"/>
    <w:rsid w:val="0095132D"/>
    <w:rsid w:val="009515BC"/>
    <w:rsid w:val="00952E2E"/>
    <w:rsid w:val="00952F5F"/>
    <w:rsid w:val="00957002"/>
    <w:rsid w:val="009575E2"/>
    <w:rsid w:val="00962C92"/>
    <w:rsid w:val="009655F9"/>
    <w:rsid w:val="00967457"/>
    <w:rsid w:val="00967F8B"/>
    <w:rsid w:val="00970810"/>
    <w:rsid w:val="00970830"/>
    <w:rsid w:val="00970C3B"/>
    <w:rsid w:val="009723D7"/>
    <w:rsid w:val="00972A01"/>
    <w:rsid w:val="0097341A"/>
    <w:rsid w:val="00976993"/>
    <w:rsid w:val="00977FCB"/>
    <w:rsid w:val="009810B4"/>
    <w:rsid w:val="009812FF"/>
    <w:rsid w:val="0098163E"/>
    <w:rsid w:val="00981BC3"/>
    <w:rsid w:val="009835FC"/>
    <w:rsid w:val="00983ED6"/>
    <w:rsid w:val="00984B3C"/>
    <w:rsid w:val="00985CE4"/>
    <w:rsid w:val="009860E5"/>
    <w:rsid w:val="00986592"/>
    <w:rsid w:val="00986F49"/>
    <w:rsid w:val="00987F32"/>
    <w:rsid w:val="00993070"/>
    <w:rsid w:val="0099414D"/>
    <w:rsid w:val="009976B4"/>
    <w:rsid w:val="009A08C1"/>
    <w:rsid w:val="009A246D"/>
    <w:rsid w:val="009A49E3"/>
    <w:rsid w:val="009A5C61"/>
    <w:rsid w:val="009A7BCF"/>
    <w:rsid w:val="009B1475"/>
    <w:rsid w:val="009B28A2"/>
    <w:rsid w:val="009B40FE"/>
    <w:rsid w:val="009B4A2B"/>
    <w:rsid w:val="009B5D07"/>
    <w:rsid w:val="009C0E34"/>
    <w:rsid w:val="009C39EC"/>
    <w:rsid w:val="009C4ECC"/>
    <w:rsid w:val="009C52C5"/>
    <w:rsid w:val="009C5946"/>
    <w:rsid w:val="009C6173"/>
    <w:rsid w:val="009C6463"/>
    <w:rsid w:val="009C68E4"/>
    <w:rsid w:val="009C6EC8"/>
    <w:rsid w:val="009C7AF2"/>
    <w:rsid w:val="009D24AD"/>
    <w:rsid w:val="009D3CF0"/>
    <w:rsid w:val="009D5761"/>
    <w:rsid w:val="009D70B1"/>
    <w:rsid w:val="009D75C9"/>
    <w:rsid w:val="009D77BB"/>
    <w:rsid w:val="009E01C6"/>
    <w:rsid w:val="009E2B2F"/>
    <w:rsid w:val="009E363F"/>
    <w:rsid w:val="009E5686"/>
    <w:rsid w:val="009F087F"/>
    <w:rsid w:val="009F144B"/>
    <w:rsid w:val="009F31EE"/>
    <w:rsid w:val="009F5535"/>
    <w:rsid w:val="009F6321"/>
    <w:rsid w:val="009F641D"/>
    <w:rsid w:val="009F6FB2"/>
    <w:rsid w:val="00A04ABA"/>
    <w:rsid w:val="00A04AC2"/>
    <w:rsid w:val="00A05204"/>
    <w:rsid w:val="00A06C5E"/>
    <w:rsid w:val="00A07A61"/>
    <w:rsid w:val="00A07D4C"/>
    <w:rsid w:val="00A103C7"/>
    <w:rsid w:val="00A11610"/>
    <w:rsid w:val="00A1199B"/>
    <w:rsid w:val="00A12AD4"/>
    <w:rsid w:val="00A134B1"/>
    <w:rsid w:val="00A1565C"/>
    <w:rsid w:val="00A156F5"/>
    <w:rsid w:val="00A173E1"/>
    <w:rsid w:val="00A17AB0"/>
    <w:rsid w:val="00A20445"/>
    <w:rsid w:val="00A206EC"/>
    <w:rsid w:val="00A218A1"/>
    <w:rsid w:val="00A21C9F"/>
    <w:rsid w:val="00A223AB"/>
    <w:rsid w:val="00A238AC"/>
    <w:rsid w:val="00A23A8F"/>
    <w:rsid w:val="00A2488C"/>
    <w:rsid w:val="00A27F4B"/>
    <w:rsid w:val="00A34B61"/>
    <w:rsid w:val="00A40019"/>
    <w:rsid w:val="00A4157B"/>
    <w:rsid w:val="00A45766"/>
    <w:rsid w:val="00A45E12"/>
    <w:rsid w:val="00A50A86"/>
    <w:rsid w:val="00A578A0"/>
    <w:rsid w:val="00A57ECA"/>
    <w:rsid w:val="00A619C4"/>
    <w:rsid w:val="00A62A36"/>
    <w:rsid w:val="00A723CF"/>
    <w:rsid w:val="00A72F2F"/>
    <w:rsid w:val="00A74493"/>
    <w:rsid w:val="00A75393"/>
    <w:rsid w:val="00A75457"/>
    <w:rsid w:val="00A80BE0"/>
    <w:rsid w:val="00A82923"/>
    <w:rsid w:val="00A84D0F"/>
    <w:rsid w:val="00A86AB6"/>
    <w:rsid w:val="00A86E34"/>
    <w:rsid w:val="00A909F4"/>
    <w:rsid w:val="00A9128A"/>
    <w:rsid w:val="00A92E59"/>
    <w:rsid w:val="00A95E66"/>
    <w:rsid w:val="00A962C3"/>
    <w:rsid w:val="00AA157B"/>
    <w:rsid w:val="00AA3F18"/>
    <w:rsid w:val="00AA4876"/>
    <w:rsid w:val="00AA7FC6"/>
    <w:rsid w:val="00AB0258"/>
    <w:rsid w:val="00AB04BD"/>
    <w:rsid w:val="00AB0619"/>
    <w:rsid w:val="00AB0DC1"/>
    <w:rsid w:val="00AB195C"/>
    <w:rsid w:val="00AB2CD5"/>
    <w:rsid w:val="00AB3420"/>
    <w:rsid w:val="00AB3F9E"/>
    <w:rsid w:val="00AB46B1"/>
    <w:rsid w:val="00AB46F9"/>
    <w:rsid w:val="00AB516F"/>
    <w:rsid w:val="00AB5D1C"/>
    <w:rsid w:val="00AB6863"/>
    <w:rsid w:val="00AC238E"/>
    <w:rsid w:val="00AC2CFF"/>
    <w:rsid w:val="00AC2E9F"/>
    <w:rsid w:val="00AC7484"/>
    <w:rsid w:val="00AC75CE"/>
    <w:rsid w:val="00AC7739"/>
    <w:rsid w:val="00AD1042"/>
    <w:rsid w:val="00AD164A"/>
    <w:rsid w:val="00AD1F2D"/>
    <w:rsid w:val="00AD2737"/>
    <w:rsid w:val="00AD375F"/>
    <w:rsid w:val="00AD4724"/>
    <w:rsid w:val="00AD4AF7"/>
    <w:rsid w:val="00AD5AD2"/>
    <w:rsid w:val="00AD7CAD"/>
    <w:rsid w:val="00AE0866"/>
    <w:rsid w:val="00AE0CD8"/>
    <w:rsid w:val="00AE3A28"/>
    <w:rsid w:val="00AF1BE3"/>
    <w:rsid w:val="00AF2ED1"/>
    <w:rsid w:val="00AF47F8"/>
    <w:rsid w:val="00AF483C"/>
    <w:rsid w:val="00AF51D7"/>
    <w:rsid w:val="00AF5FE7"/>
    <w:rsid w:val="00AF6201"/>
    <w:rsid w:val="00AF79D0"/>
    <w:rsid w:val="00AF7BB0"/>
    <w:rsid w:val="00B017F8"/>
    <w:rsid w:val="00B04A9A"/>
    <w:rsid w:val="00B070B4"/>
    <w:rsid w:val="00B079C6"/>
    <w:rsid w:val="00B16869"/>
    <w:rsid w:val="00B21EC5"/>
    <w:rsid w:val="00B25B2C"/>
    <w:rsid w:val="00B26406"/>
    <w:rsid w:val="00B3014D"/>
    <w:rsid w:val="00B30366"/>
    <w:rsid w:val="00B303EB"/>
    <w:rsid w:val="00B324AB"/>
    <w:rsid w:val="00B327D3"/>
    <w:rsid w:val="00B37F23"/>
    <w:rsid w:val="00B401B4"/>
    <w:rsid w:val="00B40B88"/>
    <w:rsid w:val="00B41A26"/>
    <w:rsid w:val="00B4209D"/>
    <w:rsid w:val="00B426FB"/>
    <w:rsid w:val="00B44948"/>
    <w:rsid w:val="00B45853"/>
    <w:rsid w:val="00B47CD2"/>
    <w:rsid w:val="00B52838"/>
    <w:rsid w:val="00B548E7"/>
    <w:rsid w:val="00B54B29"/>
    <w:rsid w:val="00B605FD"/>
    <w:rsid w:val="00B60869"/>
    <w:rsid w:val="00B61267"/>
    <w:rsid w:val="00B62814"/>
    <w:rsid w:val="00B67703"/>
    <w:rsid w:val="00B70809"/>
    <w:rsid w:val="00B76C32"/>
    <w:rsid w:val="00B77420"/>
    <w:rsid w:val="00B80BB2"/>
    <w:rsid w:val="00B83E5D"/>
    <w:rsid w:val="00B854A9"/>
    <w:rsid w:val="00B8575D"/>
    <w:rsid w:val="00B90459"/>
    <w:rsid w:val="00B9096A"/>
    <w:rsid w:val="00B90BDA"/>
    <w:rsid w:val="00B90F92"/>
    <w:rsid w:val="00B9391B"/>
    <w:rsid w:val="00B94EC1"/>
    <w:rsid w:val="00B9508E"/>
    <w:rsid w:val="00B95CE4"/>
    <w:rsid w:val="00B95F28"/>
    <w:rsid w:val="00B969E1"/>
    <w:rsid w:val="00B96E8D"/>
    <w:rsid w:val="00BA0510"/>
    <w:rsid w:val="00BA0828"/>
    <w:rsid w:val="00BA336A"/>
    <w:rsid w:val="00BA3B73"/>
    <w:rsid w:val="00BA4316"/>
    <w:rsid w:val="00BA4334"/>
    <w:rsid w:val="00BA7D05"/>
    <w:rsid w:val="00BB062E"/>
    <w:rsid w:val="00BB4082"/>
    <w:rsid w:val="00BC0C15"/>
    <w:rsid w:val="00BC1CD6"/>
    <w:rsid w:val="00BC21CF"/>
    <w:rsid w:val="00BC5602"/>
    <w:rsid w:val="00BD0DB9"/>
    <w:rsid w:val="00BD2055"/>
    <w:rsid w:val="00BD30C0"/>
    <w:rsid w:val="00BD3C42"/>
    <w:rsid w:val="00BD4871"/>
    <w:rsid w:val="00BD4E1C"/>
    <w:rsid w:val="00BE1978"/>
    <w:rsid w:val="00BE1BAF"/>
    <w:rsid w:val="00BE1F0F"/>
    <w:rsid w:val="00BE54FB"/>
    <w:rsid w:val="00BE6393"/>
    <w:rsid w:val="00BE74A8"/>
    <w:rsid w:val="00BF12CD"/>
    <w:rsid w:val="00BF2358"/>
    <w:rsid w:val="00BF33D8"/>
    <w:rsid w:val="00BF5B0A"/>
    <w:rsid w:val="00BF6013"/>
    <w:rsid w:val="00BF7A2E"/>
    <w:rsid w:val="00C0019F"/>
    <w:rsid w:val="00C01D55"/>
    <w:rsid w:val="00C03E22"/>
    <w:rsid w:val="00C03F69"/>
    <w:rsid w:val="00C149DB"/>
    <w:rsid w:val="00C14DDD"/>
    <w:rsid w:val="00C1585A"/>
    <w:rsid w:val="00C15FA2"/>
    <w:rsid w:val="00C175B7"/>
    <w:rsid w:val="00C205B8"/>
    <w:rsid w:val="00C206CF"/>
    <w:rsid w:val="00C20B15"/>
    <w:rsid w:val="00C2121C"/>
    <w:rsid w:val="00C21E26"/>
    <w:rsid w:val="00C22437"/>
    <w:rsid w:val="00C261AE"/>
    <w:rsid w:val="00C328E7"/>
    <w:rsid w:val="00C33488"/>
    <w:rsid w:val="00C33895"/>
    <w:rsid w:val="00C33CB8"/>
    <w:rsid w:val="00C3532F"/>
    <w:rsid w:val="00C35F9B"/>
    <w:rsid w:val="00C4303F"/>
    <w:rsid w:val="00C43517"/>
    <w:rsid w:val="00C438AA"/>
    <w:rsid w:val="00C43A6F"/>
    <w:rsid w:val="00C44863"/>
    <w:rsid w:val="00C4558D"/>
    <w:rsid w:val="00C45B15"/>
    <w:rsid w:val="00C50BA5"/>
    <w:rsid w:val="00C512D7"/>
    <w:rsid w:val="00C56506"/>
    <w:rsid w:val="00C56D76"/>
    <w:rsid w:val="00C5754E"/>
    <w:rsid w:val="00C61A5E"/>
    <w:rsid w:val="00C6240C"/>
    <w:rsid w:val="00C634CE"/>
    <w:rsid w:val="00C63787"/>
    <w:rsid w:val="00C645A9"/>
    <w:rsid w:val="00C6491F"/>
    <w:rsid w:val="00C66F49"/>
    <w:rsid w:val="00C71F21"/>
    <w:rsid w:val="00C729D0"/>
    <w:rsid w:val="00C73CE9"/>
    <w:rsid w:val="00C81766"/>
    <w:rsid w:val="00C83048"/>
    <w:rsid w:val="00C8346D"/>
    <w:rsid w:val="00C85505"/>
    <w:rsid w:val="00C95685"/>
    <w:rsid w:val="00C977ED"/>
    <w:rsid w:val="00CA02B1"/>
    <w:rsid w:val="00CA085D"/>
    <w:rsid w:val="00CA5F5A"/>
    <w:rsid w:val="00CA60F2"/>
    <w:rsid w:val="00CA777E"/>
    <w:rsid w:val="00CA7AC2"/>
    <w:rsid w:val="00CC0630"/>
    <w:rsid w:val="00CC110C"/>
    <w:rsid w:val="00CC2A41"/>
    <w:rsid w:val="00CC4EE3"/>
    <w:rsid w:val="00CC64FE"/>
    <w:rsid w:val="00CD0743"/>
    <w:rsid w:val="00CD12C6"/>
    <w:rsid w:val="00CD4849"/>
    <w:rsid w:val="00CD4A13"/>
    <w:rsid w:val="00CD639A"/>
    <w:rsid w:val="00CD65D9"/>
    <w:rsid w:val="00CE0111"/>
    <w:rsid w:val="00CE1339"/>
    <w:rsid w:val="00CE1917"/>
    <w:rsid w:val="00CE2237"/>
    <w:rsid w:val="00CE7665"/>
    <w:rsid w:val="00CF05EF"/>
    <w:rsid w:val="00CF15FE"/>
    <w:rsid w:val="00CF2DFC"/>
    <w:rsid w:val="00CF4E79"/>
    <w:rsid w:val="00CF56E8"/>
    <w:rsid w:val="00CF66B2"/>
    <w:rsid w:val="00CF72CF"/>
    <w:rsid w:val="00CF792D"/>
    <w:rsid w:val="00CF7F55"/>
    <w:rsid w:val="00D00194"/>
    <w:rsid w:val="00D0079E"/>
    <w:rsid w:val="00D01D50"/>
    <w:rsid w:val="00D021CB"/>
    <w:rsid w:val="00D04881"/>
    <w:rsid w:val="00D04B61"/>
    <w:rsid w:val="00D05EAA"/>
    <w:rsid w:val="00D060EC"/>
    <w:rsid w:val="00D0684C"/>
    <w:rsid w:val="00D069C2"/>
    <w:rsid w:val="00D07784"/>
    <w:rsid w:val="00D15B6C"/>
    <w:rsid w:val="00D16BD7"/>
    <w:rsid w:val="00D17D32"/>
    <w:rsid w:val="00D22C7F"/>
    <w:rsid w:val="00D232F7"/>
    <w:rsid w:val="00D2430E"/>
    <w:rsid w:val="00D30A07"/>
    <w:rsid w:val="00D321C4"/>
    <w:rsid w:val="00D3256B"/>
    <w:rsid w:val="00D329CF"/>
    <w:rsid w:val="00D330E4"/>
    <w:rsid w:val="00D335AC"/>
    <w:rsid w:val="00D33DB4"/>
    <w:rsid w:val="00D33E27"/>
    <w:rsid w:val="00D34649"/>
    <w:rsid w:val="00D34C23"/>
    <w:rsid w:val="00D40369"/>
    <w:rsid w:val="00D42523"/>
    <w:rsid w:val="00D42617"/>
    <w:rsid w:val="00D42A56"/>
    <w:rsid w:val="00D42FC8"/>
    <w:rsid w:val="00D449F3"/>
    <w:rsid w:val="00D46E2D"/>
    <w:rsid w:val="00D471C5"/>
    <w:rsid w:val="00D4725F"/>
    <w:rsid w:val="00D47300"/>
    <w:rsid w:val="00D51630"/>
    <w:rsid w:val="00D54E1C"/>
    <w:rsid w:val="00D54F11"/>
    <w:rsid w:val="00D62215"/>
    <w:rsid w:val="00D62B5C"/>
    <w:rsid w:val="00D631C0"/>
    <w:rsid w:val="00D64A5D"/>
    <w:rsid w:val="00D64B86"/>
    <w:rsid w:val="00D66B5B"/>
    <w:rsid w:val="00D7164C"/>
    <w:rsid w:val="00D73270"/>
    <w:rsid w:val="00D73466"/>
    <w:rsid w:val="00D75964"/>
    <w:rsid w:val="00D76607"/>
    <w:rsid w:val="00D769AB"/>
    <w:rsid w:val="00D80997"/>
    <w:rsid w:val="00D815AE"/>
    <w:rsid w:val="00D8170B"/>
    <w:rsid w:val="00D825A1"/>
    <w:rsid w:val="00D85C8F"/>
    <w:rsid w:val="00D86205"/>
    <w:rsid w:val="00D8627C"/>
    <w:rsid w:val="00D874A2"/>
    <w:rsid w:val="00D90C02"/>
    <w:rsid w:val="00D90C7E"/>
    <w:rsid w:val="00D90F03"/>
    <w:rsid w:val="00D938ED"/>
    <w:rsid w:val="00D96EB1"/>
    <w:rsid w:val="00D97094"/>
    <w:rsid w:val="00D9777A"/>
    <w:rsid w:val="00DA3C04"/>
    <w:rsid w:val="00DA4CA0"/>
    <w:rsid w:val="00DA585C"/>
    <w:rsid w:val="00DA6A71"/>
    <w:rsid w:val="00DA6AA5"/>
    <w:rsid w:val="00DB0716"/>
    <w:rsid w:val="00DB1186"/>
    <w:rsid w:val="00DB21A5"/>
    <w:rsid w:val="00DB340A"/>
    <w:rsid w:val="00DB4A68"/>
    <w:rsid w:val="00DB4FE7"/>
    <w:rsid w:val="00DB57E4"/>
    <w:rsid w:val="00DC2C68"/>
    <w:rsid w:val="00DC4518"/>
    <w:rsid w:val="00DC4871"/>
    <w:rsid w:val="00DC52CE"/>
    <w:rsid w:val="00DC742D"/>
    <w:rsid w:val="00DD109A"/>
    <w:rsid w:val="00DD5086"/>
    <w:rsid w:val="00DD5D07"/>
    <w:rsid w:val="00DD6809"/>
    <w:rsid w:val="00DE1111"/>
    <w:rsid w:val="00DE3338"/>
    <w:rsid w:val="00DE44D3"/>
    <w:rsid w:val="00DE4F44"/>
    <w:rsid w:val="00DE63BD"/>
    <w:rsid w:val="00DE7AB9"/>
    <w:rsid w:val="00DF19BD"/>
    <w:rsid w:val="00DF37B8"/>
    <w:rsid w:val="00DF4109"/>
    <w:rsid w:val="00DF50A1"/>
    <w:rsid w:val="00DF5C48"/>
    <w:rsid w:val="00DF6E42"/>
    <w:rsid w:val="00E0119C"/>
    <w:rsid w:val="00E021AC"/>
    <w:rsid w:val="00E02313"/>
    <w:rsid w:val="00E035F6"/>
    <w:rsid w:val="00E058D7"/>
    <w:rsid w:val="00E071BF"/>
    <w:rsid w:val="00E07413"/>
    <w:rsid w:val="00E10368"/>
    <w:rsid w:val="00E1169E"/>
    <w:rsid w:val="00E12DBC"/>
    <w:rsid w:val="00E13822"/>
    <w:rsid w:val="00E14FB2"/>
    <w:rsid w:val="00E16A5E"/>
    <w:rsid w:val="00E172BA"/>
    <w:rsid w:val="00E17874"/>
    <w:rsid w:val="00E21B3A"/>
    <w:rsid w:val="00E2209F"/>
    <w:rsid w:val="00E23041"/>
    <w:rsid w:val="00E23298"/>
    <w:rsid w:val="00E23F9E"/>
    <w:rsid w:val="00E267BB"/>
    <w:rsid w:val="00E300A9"/>
    <w:rsid w:val="00E3152A"/>
    <w:rsid w:val="00E3291F"/>
    <w:rsid w:val="00E32AD5"/>
    <w:rsid w:val="00E32DE0"/>
    <w:rsid w:val="00E35427"/>
    <w:rsid w:val="00E36248"/>
    <w:rsid w:val="00E36519"/>
    <w:rsid w:val="00E36729"/>
    <w:rsid w:val="00E36D38"/>
    <w:rsid w:val="00E36F9B"/>
    <w:rsid w:val="00E376EC"/>
    <w:rsid w:val="00E3780A"/>
    <w:rsid w:val="00E37CF4"/>
    <w:rsid w:val="00E40C40"/>
    <w:rsid w:val="00E41F1D"/>
    <w:rsid w:val="00E42B44"/>
    <w:rsid w:val="00E433AC"/>
    <w:rsid w:val="00E50877"/>
    <w:rsid w:val="00E5303C"/>
    <w:rsid w:val="00E538F0"/>
    <w:rsid w:val="00E54BBB"/>
    <w:rsid w:val="00E55410"/>
    <w:rsid w:val="00E60FB4"/>
    <w:rsid w:val="00E63849"/>
    <w:rsid w:val="00E644E3"/>
    <w:rsid w:val="00E70368"/>
    <w:rsid w:val="00E731D6"/>
    <w:rsid w:val="00E73844"/>
    <w:rsid w:val="00E744A1"/>
    <w:rsid w:val="00E75BD5"/>
    <w:rsid w:val="00E760D7"/>
    <w:rsid w:val="00E7750C"/>
    <w:rsid w:val="00E85E67"/>
    <w:rsid w:val="00E86333"/>
    <w:rsid w:val="00E86BEF"/>
    <w:rsid w:val="00E87ACB"/>
    <w:rsid w:val="00E90FBF"/>
    <w:rsid w:val="00E91605"/>
    <w:rsid w:val="00E91D87"/>
    <w:rsid w:val="00E9218D"/>
    <w:rsid w:val="00E92F14"/>
    <w:rsid w:val="00E966CE"/>
    <w:rsid w:val="00EA25FC"/>
    <w:rsid w:val="00EA312B"/>
    <w:rsid w:val="00EA3E25"/>
    <w:rsid w:val="00EA61F4"/>
    <w:rsid w:val="00EA670F"/>
    <w:rsid w:val="00EA6C18"/>
    <w:rsid w:val="00EB2BF9"/>
    <w:rsid w:val="00EB325F"/>
    <w:rsid w:val="00EB3CBC"/>
    <w:rsid w:val="00EB4898"/>
    <w:rsid w:val="00EB6BCE"/>
    <w:rsid w:val="00EC03AF"/>
    <w:rsid w:val="00EC2D8B"/>
    <w:rsid w:val="00ED03A4"/>
    <w:rsid w:val="00ED1006"/>
    <w:rsid w:val="00ED1839"/>
    <w:rsid w:val="00ED46A7"/>
    <w:rsid w:val="00ED6C3F"/>
    <w:rsid w:val="00ED766C"/>
    <w:rsid w:val="00ED7D81"/>
    <w:rsid w:val="00EE0057"/>
    <w:rsid w:val="00EE32C1"/>
    <w:rsid w:val="00EE3780"/>
    <w:rsid w:val="00EE403B"/>
    <w:rsid w:val="00EE44A3"/>
    <w:rsid w:val="00EE4704"/>
    <w:rsid w:val="00EE6776"/>
    <w:rsid w:val="00EE7FCD"/>
    <w:rsid w:val="00EF1631"/>
    <w:rsid w:val="00EF38BE"/>
    <w:rsid w:val="00EF3984"/>
    <w:rsid w:val="00EF3A69"/>
    <w:rsid w:val="00EF4048"/>
    <w:rsid w:val="00EF7CBA"/>
    <w:rsid w:val="00F00EB0"/>
    <w:rsid w:val="00F018BE"/>
    <w:rsid w:val="00F058E3"/>
    <w:rsid w:val="00F07FBC"/>
    <w:rsid w:val="00F116D3"/>
    <w:rsid w:val="00F12133"/>
    <w:rsid w:val="00F15B7A"/>
    <w:rsid w:val="00F205B3"/>
    <w:rsid w:val="00F2098E"/>
    <w:rsid w:val="00F22FBC"/>
    <w:rsid w:val="00F23601"/>
    <w:rsid w:val="00F2417F"/>
    <w:rsid w:val="00F25B21"/>
    <w:rsid w:val="00F27EF8"/>
    <w:rsid w:val="00F37F5A"/>
    <w:rsid w:val="00F413DA"/>
    <w:rsid w:val="00F416FF"/>
    <w:rsid w:val="00F42EF4"/>
    <w:rsid w:val="00F44A4B"/>
    <w:rsid w:val="00F47A44"/>
    <w:rsid w:val="00F547D0"/>
    <w:rsid w:val="00F5667F"/>
    <w:rsid w:val="00F609B2"/>
    <w:rsid w:val="00F62CF9"/>
    <w:rsid w:val="00F63637"/>
    <w:rsid w:val="00F70CDB"/>
    <w:rsid w:val="00F71760"/>
    <w:rsid w:val="00F730E0"/>
    <w:rsid w:val="00F74448"/>
    <w:rsid w:val="00F758CC"/>
    <w:rsid w:val="00F761DD"/>
    <w:rsid w:val="00F76ADC"/>
    <w:rsid w:val="00F77E1B"/>
    <w:rsid w:val="00F80272"/>
    <w:rsid w:val="00F86DEB"/>
    <w:rsid w:val="00F879CC"/>
    <w:rsid w:val="00F87A70"/>
    <w:rsid w:val="00F900D3"/>
    <w:rsid w:val="00F9065D"/>
    <w:rsid w:val="00F90DDA"/>
    <w:rsid w:val="00F941AE"/>
    <w:rsid w:val="00F9620A"/>
    <w:rsid w:val="00F96608"/>
    <w:rsid w:val="00F977C1"/>
    <w:rsid w:val="00FA0CEB"/>
    <w:rsid w:val="00FA0EB1"/>
    <w:rsid w:val="00FA14B5"/>
    <w:rsid w:val="00FA2048"/>
    <w:rsid w:val="00FA39AE"/>
    <w:rsid w:val="00FA525E"/>
    <w:rsid w:val="00FA682A"/>
    <w:rsid w:val="00FA6E96"/>
    <w:rsid w:val="00FB117B"/>
    <w:rsid w:val="00FB38C4"/>
    <w:rsid w:val="00FB41DA"/>
    <w:rsid w:val="00FC6B4E"/>
    <w:rsid w:val="00FC7D86"/>
    <w:rsid w:val="00FD2177"/>
    <w:rsid w:val="00FD29C8"/>
    <w:rsid w:val="00FD3A98"/>
    <w:rsid w:val="00FE29E4"/>
    <w:rsid w:val="00FE4BC9"/>
    <w:rsid w:val="00FE4C50"/>
    <w:rsid w:val="00FE7602"/>
    <w:rsid w:val="00FE76AC"/>
    <w:rsid w:val="00FF0852"/>
    <w:rsid w:val="00FF304C"/>
    <w:rsid w:val="00FF31D6"/>
    <w:rsid w:val="00FF532C"/>
    <w:rsid w:val="00FF57BD"/>
    <w:rsid w:val="00FF64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CF585E"/>
  <w15:docId w15:val="{CE1129DF-4058-4E49-863E-A0DE4781D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style>
  <w:style w:type="paragraph" w:styleId="10">
    <w:name w:val="heading 1"/>
    <w:basedOn w:val="a2"/>
    <w:next w:val="a2"/>
    <w:link w:val="11"/>
    <w:uiPriority w:val="9"/>
    <w:qFormat/>
    <w:rsid w:val="00386FDD"/>
    <w:pPr>
      <w:keepNext/>
      <w:keepLines/>
      <w:spacing w:after="0" w:line="360" w:lineRule="auto"/>
      <w:jc w:val="center"/>
      <w:outlineLvl w:val="0"/>
    </w:pPr>
    <w:rPr>
      <w:rFonts w:ascii="Times New Roman" w:eastAsiaTheme="majorEastAsia" w:hAnsi="Times New Roman" w:cstheme="majorBidi"/>
      <w:sz w:val="28"/>
      <w:szCs w:val="32"/>
    </w:rPr>
  </w:style>
  <w:style w:type="paragraph" w:styleId="2">
    <w:name w:val="heading 2"/>
    <w:basedOn w:val="a2"/>
    <w:next w:val="30"/>
    <w:link w:val="20"/>
    <w:uiPriority w:val="9"/>
    <w:qFormat/>
    <w:rsid w:val="003C1952"/>
    <w:pPr>
      <w:keepNext/>
      <w:suppressAutoHyphens/>
      <w:spacing w:before="180" w:after="60" w:line="240" w:lineRule="auto"/>
      <w:jc w:val="center"/>
      <w:outlineLvl w:val="1"/>
    </w:pPr>
    <w:rPr>
      <w:rFonts w:ascii="Arial" w:eastAsia="Times New Roman" w:hAnsi="Arial" w:cs="Arial"/>
      <w:b/>
      <w:bCs/>
      <w:caps/>
      <w:sz w:val="28"/>
      <w:szCs w:val="28"/>
      <w:lang w:val="uk-UA" w:eastAsia="ru-RU"/>
    </w:rPr>
  </w:style>
  <w:style w:type="paragraph" w:styleId="30">
    <w:name w:val="heading 3"/>
    <w:basedOn w:val="a2"/>
    <w:next w:val="a2"/>
    <w:link w:val="31"/>
    <w:uiPriority w:val="9"/>
    <w:unhideWhenUsed/>
    <w:qFormat/>
    <w:rsid w:val="00013F7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2"/>
    <w:next w:val="a2"/>
    <w:link w:val="40"/>
    <w:uiPriority w:val="99"/>
    <w:qFormat/>
    <w:rsid w:val="003C1952"/>
    <w:pPr>
      <w:keepNext/>
      <w:spacing w:before="240" w:after="60" w:line="240" w:lineRule="auto"/>
      <w:outlineLvl w:val="3"/>
    </w:pPr>
    <w:rPr>
      <w:rFonts w:ascii="Calibri" w:eastAsia="Times New Roman" w:hAnsi="Calibri" w:cs="Times New Roman"/>
      <w:b/>
      <w:bCs/>
      <w:sz w:val="28"/>
      <w:szCs w:val="28"/>
      <w:lang w:eastAsia="ru-RU"/>
    </w:rPr>
  </w:style>
  <w:style w:type="paragraph" w:styleId="5">
    <w:name w:val="heading 5"/>
    <w:basedOn w:val="a2"/>
    <w:next w:val="a2"/>
    <w:link w:val="50"/>
    <w:uiPriority w:val="99"/>
    <w:qFormat/>
    <w:rsid w:val="003C1952"/>
    <w:pPr>
      <w:keepNext/>
      <w:suppressAutoHyphens/>
      <w:spacing w:before="60" w:after="40" w:line="240" w:lineRule="auto"/>
      <w:jc w:val="center"/>
      <w:outlineLvl w:val="4"/>
    </w:pPr>
    <w:rPr>
      <w:rFonts w:ascii="Times New Roman" w:eastAsia="Times New Roman" w:hAnsi="Times New Roman" w:cs="Times New Roman"/>
      <w:b/>
      <w:bCs/>
      <w:i/>
      <w:iCs/>
      <w:sz w:val="28"/>
      <w:szCs w:val="28"/>
      <w:lang w:val="uk-UA" w:eastAsia="ru-RU"/>
    </w:rPr>
  </w:style>
  <w:style w:type="paragraph" w:styleId="6">
    <w:name w:val="heading 6"/>
    <w:basedOn w:val="a2"/>
    <w:next w:val="a2"/>
    <w:link w:val="60"/>
    <w:uiPriority w:val="99"/>
    <w:qFormat/>
    <w:rsid w:val="003C1952"/>
    <w:pPr>
      <w:spacing w:before="240" w:after="60" w:line="240" w:lineRule="auto"/>
      <w:outlineLvl w:val="5"/>
    </w:pPr>
    <w:rPr>
      <w:rFonts w:ascii="Times New Roman" w:eastAsia="Times New Roman" w:hAnsi="Times New Roman" w:cs="Times New Roman"/>
      <w:b/>
      <w:bCs/>
      <w:lang w:eastAsia="ru-RU"/>
    </w:rPr>
  </w:style>
  <w:style w:type="paragraph" w:styleId="7">
    <w:name w:val="heading 7"/>
    <w:basedOn w:val="a2"/>
    <w:next w:val="a2"/>
    <w:link w:val="70"/>
    <w:uiPriority w:val="99"/>
    <w:qFormat/>
    <w:rsid w:val="003C1952"/>
    <w:pPr>
      <w:keepNext/>
      <w:spacing w:after="0" w:line="240" w:lineRule="auto"/>
      <w:ind w:firstLine="567"/>
      <w:jc w:val="right"/>
      <w:outlineLvl w:val="6"/>
    </w:pPr>
    <w:rPr>
      <w:rFonts w:ascii="Times New Roman" w:eastAsia="Times New Roman" w:hAnsi="Times New Roman" w:cs="Times New Roman"/>
      <w:i/>
      <w:iCs/>
      <w:sz w:val="28"/>
      <w:szCs w:val="28"/>
      <w:lang w:val="uk-UA" w:eastAsia="ru-RU"/>
    </w:rPr>
  </w:style>
  <w:style w:type="paragraph" w:styleId="8">
    <w:name w:val="heading 8"/>
    <w:basedOn w:val="a2"/>
    <w:next w:val="a2"/>
    <w:link w:val="80"/>
    <w:uiPriority w:val="99"/>
    <w:qFormat/>
    <w:rsid w:val="003C1952"/>
    <w:pPr>
      <w:keepNext/>
      <w:spacing w:after="0" w:line="240" w:lineRule="auto"/>
      <w:ind w:firstLine="567"/>
      <w:jc w:val="center"/>
      <w:outlineLvl w:val="7"/>
    </w:pPr>
    <w:rPr>
      <w:rFonts w:ascii="Times New Roman" w:eastAsia="Times New Roman" w:hAnsi="Times New Roman" w:cs="Times New Roman"/>
      <w:sz w:val="32"/>
      <w:szCs w:val="32"/>
      <w:lang w:val="uk-UA" w:eastAsia="ru-RU"/>
    </w:rPr>
  </w:style>
  <w:style w:type="paragraph" w:styleId="9">
    <w:name w:val="heading 9"/>
    <w:basedOn w:val="a2"/>
    <w:next w:val="a2"/>
    <w:link w:val="90"/>
    <w:uiPriority w:val="99"/>
    <w:qFormat/>
    <w:rsid w:val="003C1952"/>
    <w:pPr>
      <w:keepNext/>
      <w:spacing w:after="0" w:line="240" w:lineRule="auto"/>
      <w:ind w:left="851" w:right="567" w:firstLine="567"/>
      <w:jc w:val="center"/>
      <w:outlineLvl w:val="8"/>
    </w:pPr>
    <w:rPr>
      <w:rFonts w:ascii="Times New Roman" w:eastAsia="Times New Roman" w:hAnsi="Times New Roman" w:cs="Times New Roman"/>
      <w:i/>
      <w:iCs/>
      <w:sz w:val="28"/>
      <w:szCs w:val="28"/>
      <w:lang w:val="uk-UA" w:eastAsia="ru-RU"/>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styleId="a6">
    <w:name w:val="Hyperlink"/>
    <w:basedOn w:val="a3"/>
    <w:uiPriority w:val="99"/>
    <w:unhideWhenUsed/>
    <w:rsid w:val="00813771"/>
    <w:rPr>
      <w:color w:val="0563C1" w:themeColor="hyperlink"/>
      <w:u w:val="single"/>
    </w:rPr>
  </w:style>
  <w:style w:type="character" w:styleId="a7">
    <w:name w:val="annotation reference"/>
    <w:basedOn w:val="a3"/>
    <w:uiPriority w:val="99"/>
    <w:unhideWhenUsed/>
    <w:rsid w:val="009F641D"/>
    <w:rPr>
      <w:sz w:val="16"/>
      <w:szCs w:val="16"/>
    </w:rPr>
  </w:style>
  <w:style w:type="paragraph" w:styleId="a8">
    <w:name w:val="annotation text"/>
    <w:basedOn w:val="a2"/>
    <w:link w:val="a9"/>
    <w:uiPriority w:val="99"/>
    <w:unhideWhenUsed/>
    <w:rsid w:val="009F641D"/>
    <w:pPr>
      <w:spacing w:line="240" w:lineRule="auto"/>
    </w:pPr>
    <w:rPr>
      <w:sz w:val="20"/>
      <w:szCs w:val="20"/>
    </w:rPr>
  </w:style>
  <w:style w:type="character" w:customStyle="1" w:styleId="a9">
    <w:name w:val="Текст примечания Знак"/>
    <w:basedOn w:val="a3"/>
    <w:link w:val="a8"/>
    <w:uiPriority w:val="99"/>
    <w:rsid w:val="009F641D"/>
    <w:rPr>
      <w:sz w:val="20"/>
      <w:szCs w:val="20"/>
    </w:rPr>
  </w:style>
  <w:style w:type="paragraph" w:styleId="aa">
    <w:name w:val="annotation subject"/>
    <w:basedOn w:val="a8"/>
    <w:next w:val="a8"/>
    <w:link w:val="ab"/>
    <w:uiPriority w:val="99"/>
    <w:unhideWhenUsed/>
    <w:rsid w:val="009F641D"/>
    <w:rPr>
      <w:b/>
      <w:bCs/>
    </w:rPr>
  </w:style>
  <w:style w:type="character" w:customStyle="1" w:styleId="ab">
    <w:name w:val="Тема примечания Знак"/>
    <w:basedOn w:val="a9"/>
    <w:link w:val="aa"/>
    <w:uiPriority w:val="99"/>
    <w:rsid w:val="009F641D"/>
    <w:rPr>
      <w:b/>
      <w:bCs/>
      <w:sz w:val="20"/>
      <w:szCs w:val="20"/>
    </w:rPr>
  </w:style>
  <w:style w:type="paragraph" w:styleId="ac">
    <w:name w:val="Balloon Text"/>
    <w:basedOn w:val="a2"/>
    <w:link w:val="ad"/>
    <w:uiPriority w:val="99"/>
    <w:unhideWhenUsed/>
    <w:rsid w:val="009F641D"/>
    <w:pPr>
      <w:spacing w:after="0" w:line="240" w:lineRule="auto"/>
    </w:pPr>
    <w:rPr>
      <w:rFonts w:ascii="Segoe UI" w:hAnsi="Segoe UI" w:cs="Segoe UI"/>
      <w:sz w:val="18"/>
      <w:szCs w:val="18"/>
    </w:rPr>
  </w:style>
  <w:style w:type="character" w:customStyle="1" w:styleId="ad">
    <w:name w:val="Текст выноски Знак"/>
    <w:basedOn w:val="a3"/>
    <w:link w:val="ac"/>
    <w:uiPriority w:val="99"/>
    <w:rsid w:val="009F641D"/>
    <w:rPr>
      <w:rFonts w:ascii="Segoe UI" w:hAnsi="Segoe UI" w:cs="Segoe UI"/>
      <w:sz w:val="18"/>
      <w:szCs w:val="18"/>
    </w:rPr>
  </w:style>
  <w:style w:type="paragraph" w:styleId="21">
    <w:name w:val="toc 2"/>
    <w:basedOn w:val="a2"/>
    <w:next w:val="a2"/>
    <w:autoRedefine/>
    <w:uiPriority w:val="39"/>
    <w:rsid w:val="00076822"/>
    <w:pPr>
      <w:spacing w:after="0" w:line="360" w:lineRule="auto"/>
      <w:jc w:val="both"/>
    </w:pPr>
    <w:rPr>
      <w:rFonts w:ascii="Times New Roman" w:eastAsia="Times New Roman" w:hAnsi="Times New Roman" w:cs="Times New Roman"/>
      <w:noProof/>
      <w:sz w:val="28"/>
      <w:szCs w:val="28"/>
      <w:lang w:val="uk-UA" w:eastAsia="ru-RU"/>
    </w:rPr>
  </w:style>
  <w:style w:type="paragraph" w:styleId="ae">
    <w:name w:val="List Paragraph"/>
    <w:basedOn w:val="a2"/>
    <w:link w:val="af"/>
    <w:uiPriority w:val="34"/>
    <w:qFormat/>
    <w:rsid w:val="005742ED"/>
    <w:pPr>
      <w:ind w:left="720"/>
      <w:contextualSpacing/>
    </w:pPr>
  </w:style>
  <w:style w:type="table" w:styleId="af0">
    <w:name w:val="Table Grid"/>
    <w:basedOn w:val="a4"/>
    <w:uiPriority w:val="59"/>
    <w:rsid w:val="000B42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Заголовок 1 Знак"/>
    <w:basedOn w:val="a3"/>
    <w:link w:val="10"/>
    <w:uiPriority w:val="9"/>
    <w:rsid w:val="00386FDD"/>
    <w:rPr>
      <w:rFonts w:ascii="Times New Roman" w:eastAsiaTheme="majorEastAsia" w:hAnsi="Times New Roman" w:cstheme="majorBidi"/>
      <w:sz w:val="28"/>
      <w:szCs w:val="32"/>
    </w:rPr>
  </w:style>
  <w:style w:type="paragraph" w:styleId="af1">
    <w:name w:val="endnote text"/>
    <w:basedOn w:val="a2"/>
    <w:link w:val="af2"/>
    <w:uiPriority w:val="99"/>
    <w:unhideWhenUsed/>
    <w:rsid w:val="00386FDD"/>
    <w:pPr>
      <w:spacing w:after="0" w:line="240" w:lineRule="auto"/>
    </w:pPr>
    <w:rPr>
      <w:sz w:val="20"/>
      <w:szCs w:val="20"/>
    </w:rPr>
  </w:style>
  <w:style w:type="character" w:customStyle="1" w:styleId="af2">
    <w:name w:val="Текст концевой сноски Знак"/>
    <w:basedOn w:val="a3"/>
    <w:link w:val="af1"/>
    <w:uiPriority w:val="99"/>
    <w:rsid w:val="00386FDD"/>
    <w:rPr>
      <w:sz w:val="20"/>
      <w:szCs w:val="20"/>
    </w:rPr>
  </w:style>
  <w:style w:type="character" w:styleId="af3">
    <w:name w:val="endnote reference"/>
    <w:basedOn w:val="a3"/>
    <w:uiPriority w:val="99"/>
    <w:semiHidden/>
    <w:unhideWhenUsed/>
    <w:rsid w:val="00386FDD"/>
    <w:rPr>
      <w:vertAlign w:val="superscript"/>
    </w:rPr>
  </w:style>
  <w:style w:type="character" w:customStyle="1" w:styleId="af">
    <w:name w:val="Абзац списка Знак"/>
    <w:basedOn w:val="a3"/>
    <w:link w:val="ae"/>
    <w:uiPriority w:val="34"/>
    <w:locked/>
    <w:rsid w:val="00386FDD"/>
  </w:style>
  <w:style w:type="paragraph" w:styleId="af4">
    <w:name w:val="header"/>
    <w:basedOn w:val="a2"/>
    <w:link w:val="af5"/>
    <w:uiPriority w:val="99"/>
    <w:unhideWhenUsed/>
    <w:rsid w:val="00C261AE"/>
    <w:pPr>
      <w:tabs>
        <w:tab w:val="center" w:pos="4677"/>
        <w:tab w:val="right" w:pos="9355"/>
      </w:tabs>
      <w:spacing w:after="0" w:line="240" w:lineRule="auto"/>
    </w:pPr>
  </w:style>
  <w:style w:type="character" w:customStyle="1" w:styleId="af5">
    <w:name w:val="Верхний колонтитул Знак"/>
    <w:basedOn w:val="a3"/>
    <w:link w:val="af4"/>
    <w:uiPriority w:val="99"/>
    <w:rsid w:val="00C261AE"/>
  </w:style>
  <w:style w:type="paragraph" w:styleId="af6">
    <w:name w:val="Body Text"/>
    <w:basedOn w:val="a2"/>
    <w:link w:val="af7"/>
    <w:unhideWhenUsed/>
    <w:rsid w:val="00C261AE"/>
    <w:pPr>
      <w:spacing w:after="120"/>
    </w:pPr>
  </w:style>
  <w:style w:type="character" w:customStyle="1" w:styleId="af7">
    <w:name w:val="Основной текст Знак"/>
    <w:basedOn w:val="a3"/>
    <w:link w:val="af6"/>
    <w:rsid w:val="00C261AE"/>
  </w:style>
  <w:style w:type="table" w:customStyle="1" w:styleId="TableNormal">
    <w:name w:val="Table Normal"/>
    <w:unhideWhenUsed/>
    <w:qFormat/>
    <w:rsid w:val="00C261A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secondname">
    <w:name w:val="secondname"/>
    <w:basedOn w:val="a3"/>
    <w:rsid w:val="00AF79D0"/>
  </w:style>
  <w:style w:type="character" w:customStyle="1" w:styleId="firstname">
    <w:name w:val="firstname"/>
    <w:basedOn w:val="a3"/>
    <w:rsid w:val="00AF79D0"/>
  </w:style>
  <w:style w:type="character" w:customStyle="1" w:styleId="31">
    <w:name w:val="Заголовок 3 Знак"/>
    <w:basedOn w:val="a3"/>
    <w:link w:val="30"/>
    <w:uiPriority w:val="9"/>
    <w:rsid w:val="00013F70"/>
    <w:rPr>
      <w:rFonts w:asciiTheme="majorHAnsi" w:eastAsiaTheme="majorEastAsia" w:hAnsiTheme="majorHAnsi" w:cstheme="majorBidi"/>
      <w:color w:val="1F4D78" w:themeColor="accent1" w:themeShade="7F"/>
      <w:sz w:val="24"/>
      <w:szCs w:val="24"/>
    </w:rPr>
  </w:style>
  <w:style w:type="character" w:styleId="af8">
    <w:name w:val="Emphasis"/>
    <w:basedOn w:val="a3"/>
    <w:uiPriority w:val="20"/>
    <w:qFormat/>
    <w:rsid w:val="00013F70"/>
    <w:rPr>
      <w:i/>
      <w:iCs/>
    </w:rPr>
  </w:style>
  <w:style w:type="paragraph" w:styleId="af9">
    <w:name w:val="footer"/>
    <w:basedOn w:val="a2"/>
    <w:link w:val="afa"/>
    <w:uiPriority w:val="99"/>
    <w:unhideWhenUsed/>
    <w:rsid w:val="001975B7"/>
    <w:pPr>
      <w:tabs>
        <w:tab w:val="center" w:pos="4677"/>
        <w:tab w:val="right" w:pos="9355"/>
      </w:tabs>
      <w:spacing w:after="0" w:line="240" w:lineRule="auto"/>
    </w:pPr>
  </w:style>
  <w:style w:type="character" w:customStyle="1" w:styleId="afa">
    <w:name w:val="Нижний колонтитул Знак"/>
    <w:basedOn w:val="a3"/>
    <w:link w:val="af9"/>
    <w:uiPriority w:val="99"/>
    <w:rsid w:val="001975B7"/>
  </w:style>
  <w:style w:type="paragraph" w:styleId="afb">
    <w:name w:val="TOC Heading"/>
    <w:basedOn w:val="10"/>
    <w:next w:val="a2"/>
    <w:uiPriority w:val="39"/>
    <w:unhideWhenUsed/>
    <w:qFormat/>
    <w:rsid w:val="00F058E3"/>
    <w:pPr>
      <w:spacing w:before="480" w:line="276" w:lineRule="auto"/>
      <w:jc w:val="left"/>
      <w:outlineLvl w:val="9"/>
    </w:pPr>
    <w:rPr>
      <w:rFonts w:asciiTheme="majorHAnsi" w:hAnsiTheme="majorHAnsi"/>
      <w:b/>
      <w:bCs/>
      <w:color w:val="2E74B5" w:themeColor="accent1" w:themeShade="BF"/>
      <w:szCs w:val="28"/>
      <w:lang w:val="uk-UA" w:eastAsia="uk-UA"/>
    </w:rPr>
  </w:style>
  <w:style w:type="paragraph" w:styleId="12">
    <w:name w:val="toc 1"/>
    <w:basedOn w:val="a2"/>
    <w:next w:val="a2"/>
    <w:autoRedefine/>
    <w:uiPriority w:val="39"/>
    <w:unhideWhenUsed/>
    <w:rsid w:val="00F058E3"/>
    <w:pPr>
      <w:spacing w:after="100"/>
    </w:pPr>
  </w:style>
  <w:style w:type="character" w:customStyle="1" w:styleId="20">
    <w:name w:val="Заголовок 2 Знак"/>
    <w:basedOn w:val="a3"/>
    <w:link w:val="2"/>
    <w:uiPriority w:val="9"/>
    <w:rsid w:val="003C1952"/>
    <w:rPr>
      <w:rFonts w:ascii="Arial" w:eastAsia="Times New Roman" w:hAnsi="Arial" w:cs="Arial"/>
      <w:b/>
      <w:bCs/>
      <w:caps/>
      <w:sz w:val="28"/>
      <w:szCs w:val="28"/>
      <w:lang w:val="uk-UA" w:eastAsia="ru-RU"/>
    </w:rPr>
  </w:style>
  <w:style w:type="character" w:customStyle="1" w:styleId="40">
    <w:name w:val="Заголовок 4 Знак"/>
    <w:basedOn w:val="a3"/>
    <w:link w:val="4"/>
    <w:uiPriority w:val="99"/>
    <w:rsid w:val="003C1952"/>
    <w:rPr>
      <w:rFonts w:ascii="Calibri" w:eastAsia="Times New Roman" w:hAnsi="Calibri" w:cs="Times New Roman"/>
      <w:b/>
      <w:bCs/>
      <w:sz w:val="28"/>
      <w:szCs w:val="28"/>
      <w:lang w:eastAsia="ru-RU"/>
    </w:rPr>
  </w:style>
  <w:style w:type="character" w:customStyle="1" w:styleId="50">
    <w:name w:val="Заголовок 5 Знак"/>
    <w:basedOn w:val="a3"/>
    <w:link w:val="5"/>
    <w:uiPriority w:val="99"/>
    <w:rsid w:val="003C1952"/>
    <w:rPr>
      <w:rFonts w:ascii="Times New Roman" w:eastAsia="Times New Roman" w:hAnsi="Times New Roman" w:cs="Times New Roman"/>
      <w:b/>
      <w:bCs/>
      <w:i/>
      <w:iCs/>
      <w:sz w:val="28"/>
      <w:szCs w:val="28"/>
      <w:lang w:val="uk-UA" w:eastAsia="ru-RU"/>
    </w:rPr>
  </w:style>
  <w:style w:type="character" w:customStyle="1" w:styleId="60">
    <w:name w:val="Заголовок 6 Знак"/>
    <w:basedOn w:val="a3"/>
    <w:link w:val="6"/>
    <w:uiPriority w:val="99"/>
    <w:rsid w:val="003C1952"/>
    <w:rPr>
      <w:rFonts w:ascii="Times New Roman" w:eastAsia="Times New Roman" w:hAnsi="Times New Roman" w:cs="Times New Roman"/>
      <w:b/>
      <w:bCs/>
      <w:lang w:eastAsia="ru-RU"/>
    </w:rPr>
  </w:style>
  <w:style w:type="character" w:customStyle="1" w:styleId="70">
    <w:name w:val="Заголовок 7 Знак"/>
    <w:basedOn w:val="a3"/>
    <w:link w:val="7"/>
    <w:uiPriority w:val="99"/>
    <w:rsid w:val="003C1952"/>
    <w:rPr>
      <w:rFonts w:ascii="Times New Roman" w:eastAsia="Times New Roman" w:hAnsi="Times New Roman" w:cs="Times New Roman"/>
      <w:i/>
      <w:iCs/>
      <w:sz w:val="28"/>
      <w:szCs w:val="28"/>
      <w:lang w:val="uk-UA" w:eastAsia="ru-RU"/>
    </w:rPr>
  </w:style>
  <w:style w:type="character" w:customStyle="1" w:styleId="80">
    <w:name w:val="Заголовок 8 Знак"/>
    <w:basedOn w:val="a3"/>
    <w:link w:val="8"/>
    <w:uiPriority w:val="99"/>
    <w:rsid w:val="003C1952"/>
    <w:rPr>
      <w:rFonts w:ascii="Times New Roman" w:eastAsia="Times New Roman" w:hAnsi="Times New Roman" w:cs="Times New Roman"/>
      <w:sz w:val="32"/>
      <w:szCs w:val="32"/>
      <w:lang w:val="uk-UA" w:eastAsia="ru-RU"/>
    </w:rPr>
  </w:style>
  <w:style w:type="character" w:customStyle="1" w:styleId="90">
    <w:name w:val="Заголовок 9 Знак"/>
    <w:basedOn w:val="a3"/>
    <w:link w:val="9"/>
    <w:uiPriority w:val="99"/>
    <w:rsid w:val="003C1952"/>
    <w:rPr>
      <w:rFonts w:ascii="Times New Roman" w:eastAsia="Times New Roman" w:hAnsi="Times New Roman" w:cs="Times New Roman"/>
      <w:i/>
      <w:iCs/>
      <w:sz w:val="28"/>
      <w:szCs w:val="28"/>
      <w:lang w:val="uk-UA" w:eastAsia="ru-RU"/>
    </w:rPr>
  </w:style>
  <w:style w:type="numbering" w:customStyle="1" w:styleId="13">
    <w:name w:val="Нет списка1"/>
    <w:next w:val="a5"/>
    <w:uiPriority w:val="99"/>
    <w:semiHidden/>
    <w:unhideWhenUsed/>
    <w:rsid w:val="003C1952"/>
  </w:style>
  <w:style w:type="character" w:styleId="afc">
    <w:name w:val="page number"/>
    <w:basedOn w:val="a3"/>
    <w:uiPriority w:val="99"/>
    <w:rsid w:val="003C1952"/>
  </w:style>
  <w:style w:type="paragraph" w:styleId="HTML">
    <w:name w:val="HTML Preformatted"/>
    <w:basedOn w:val="a2"/>
    <w:link w:val="HTML0"/>
    <w:rsid w:val="003C19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8"/>
      <w:szCs w:val="28"/>
      <w:lang w:eastAsia="ru-RU"/>
    </w:rPr>
  </w:style>
  <w:style w:type="character" w:customStyle="1" w:styleId="HTML0">
    <w:name w:val="Стандартный HTML Знак"/>
    <w:basedOn w:val="a3"/>
    <w:link w:val="HTML"/>
    <w:rsid w:val="003C1952"/>
    <w:rPr>
      <w:rFonts w:ascii="Courier New" w:eastAsia="Times New Roman" w:hAnsi="Courier New" w:cs="Courier New"/>
      <w:color w:val="000000"/>
      <w:sz w:val="28"/>
      <w:szCs w:val="28"/>
      <w:lang w:eastAsia="ru-RU"/>
    </w:rPr>
  </w:style>
  <w:style w:type="paragraph" w:styleId="afd">
    <w:name w:val="Normal (Web)"/>
    <w:aliases w:val="Обычный (Web)"/>
    <w:basedOn w:val="a2"/>
    <w:link w:val="afe"/>
    <w:uiPriority w:val="99"/>
    <w:unhideWhenUsed/>
    <w:qFormat/>
    <w:rsid w:val="003C195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ff">
    <w:name w:val="Body Text Indent"/>
    <w:basedOn w:val="a2"/>
    <w:link w:val="aff0"/>
    <w:rsid w:val="003C1952"/>
    <w:pPr>
      <w:spacing w:after="0" w:line="360" w:lineRule="auto"/>
      <w:ind w:firstLine="709"/>
      <w:jc w:val="both"/>
    </w:pPr>
    <w:rPr>
      <w:rFonts w:ascii="Times New Roman" w:eastAsia="Times New Roman" w:hAnsi="Times New Roman" w:cs="Times New Roman"/>
      <w:sz w:val="28"/>
      <w:szCs w:val="28"/>
      <w:lang w:val="uk-UA"/>
    </w:rPr>
  </w:style>
  <w:style w:type="character" w:customStyle="1" w:styleId="aff0">
    <w:name w:val="Основной текст с отступом Знак"/>
    <w:basedOn w:val="a3"/>
    <w:link w:val="aff"/>
    <w:rsid w:val="003C1952"/>
    <w:rPr>
      <w:rFonts w:ascii="Times New Roman" w:eastAsia="Times New Roman" w:hAnsi="Times New Roman" w:cs="Times New Roman"/>
      <w:sz w:val="28"/>
      <w:szCs w:val="28"/>
      <w:lang w:val="uk-UA"/>
    </w:rPr>
  </w:style>
  <w:style w:type="character" w:customStyle="1" w:styleId="FontStyle31">
    <w:name w:val="Font Style31"/>
    <w:uiPriority w:val="99"/>
    <w:rsid w:val="003C1952"/>
    <w:rPr>
      <w:rFonts w:ascii="Times New Roman" w:hAnsi="Times New Roman" w:cs="Times New Roman"/>
      <w:sz w:val="20"/>
      <w:szCs w:val="20"/>
    </w:rPr>
  </w:style>
  <w:style w:type="character" w:customStyle="1" w:styleId="FontStyle32">
    <w:name w:val="Font Style32"/>
    <w:uiPriority w:val="99"/>
    <w:rsid w:val="003C1952"/>
    <w:rPr>
      <w:rFonts w:ascii="Times New Roman" w:hAnsi="Times New Roman" w:cs="Times New Roman"/>
      <w:sz w:val="20"/>
      <w:szCs w:val="20"/>
    </w:rPr>
  </w:style>
  <w:style w:type="paragraph" w:customStyle="1" w:styleId="Style7">
    <w:name w:val="Style7"/>
    <w:basedOn w:val="a2"/>
    <w:rsid w:val="003C1952"/>
    <w:pPr>
      <w:widowControl w:val="0"/>
      <w:autoSpaceDE w:val="0"/>
      <w:autoSpaceDN w:val="0"/>
      <w:adjustRightInd w:val="0"/>
      <w:spacing w:after="0" w:line="260" w:lineRule="exact"/>
      <w:ind w:firstLine="326"/>
      <w:jc w:val="both"/>
    </w:pPr>
    <w:rPr>
      <w:rFonts w:ascii="Times New Roman" w:eastAsia="Times New Roman" w:hAnsi="Times New Roman" w:cs="Times New Roman"/>
      <w:sz w:val="24"/>
      <w:szCs w:val="24"/>
      <w:lang w:eastAsia="ru-RU"/>
    </w:rPr>
  </w:style>
  <w:style w:type="paragraph" w:customStyle="1" w:styleId="aff1">
    <w:name w:val="Текст Таблиц"/>
    <w:basedOn w:val="a2"/>
    <w:rsid w:val="003C1952"/>
    <w:pPr>
      <w:spacing w:after="0" w:line="240" w:lineRule="auto"/>
      <w:jc w:val="both"/>
    </w:pPr>
    <w:rPr>
      <w:rFonts w:ascii="Times New Roman" w:eastAsia="Times New Roman" w:hAnsi="Times New Roman" w:cs="Times New Roman"/>
      <w:sz w:val="24"/>
      <w:szCs w:val="20"/>
      <w:lang w:val="uk-UA" w:eastAsia="ru-RU"/>
    </w:rPr>
  </w:style>
  <w:style w:type="paragraph" w:customStyle="1" w:styleId="14">
    <w:name w:val="Обычный1"/>
    <w:rsid w:val="003C1952"/>
    <w:pPr>
      <w:widowControl w:val="0"/>
      <w:spacing w:after="0" w:line="240" w:lineRule="auto"/>
    </w:pPr>
    <w:rPr>
      <w:rFonts w:ascii="Times New Roman" w:eastAsia="Times New Roman" w:hAnsi="Times New Roman" w:cs="Times New Roman"/>
      <w:sz w:val="20"/>
      <w:szCs w:val="20"/>
      <w:lang w:eastAsia="ru-RU"/>
    </w:rPr>
  </w:style>
  <w:style w:type="paragraph" w:customStyle="1" w:styleId="aff2">
    <w:name w:val="Знак"/>
    <w:basedOn w:val="a2"/>
    <w:rsid w:val="003C1952"/>
    <w:pPr>
      <w:spacing w:before="60" w:after="0" w:line="240" w:lineRule="exact"/>
    </w:pPr>
    <w:rPr>
      <w:rFonts w:ascii="Verdana" w:eastAsia="Times New Roman" w:hAnsi="Verdana" w:cs="Times New Roman"/>
      <w:sz w:val="20"/>
      <w:szCs w:val="20"/>
      <w:lang w:val="en-US"/>
    </w:rPr>
  </w:style>
  <w:style w:type="paragraph" w:styleId="22">
    <w:name w:val="Body Text Indent 2"/>
    <w:basedOn w:val="a2"/>
    <w:link w:val="23"/>
    <w:rsid w:val="003C1952"/>
    <w:pPr>
      <w:spacing w:after="120" w:line="480" w:lineRule="auto"/>
      <w:ind w:left="283"/>
    </w:pPr>
    <w:rPr>
      <w:rFonts w:ascii="Times New Roman" w:eastAsia="Times New Roman" w:hAnsi="Times New Roman" w:cs="Times New Roman"/>
      <w:sz w:val="24"/>
      <w:szCs w:val="24"/>
      <w:lang w:eastAsia="ru-RU"/>
    </w:rPr>
  </w:style>
  <w:style w:type="character" w:customStyle="1" w:styleId="23">
    <w:name w:val="Основной текст с отступом 2 Знак"/>
    <w:basedOn w:val="a3"/>
    <w:link w:val="22"/>
    <w:rsid w:val="003C1952"/>
    <w:rPr>
      <w:rFonts w:ascii="Times New Roman" w:eastAsia="Times New Roman" w:hAnsi="Times New Roman" w:cs="Times New Roman"/>
      <w:sz w:val="24"/>
      <w:szCs w:val="24"/>
      <w:lang w:eastAsia="ru-RU"/>
    </w:rPr>
  </w:style>
  <w:style w:type="paragraph" w:customStyle="1" w:styleId="aff3">
    <w:name w:val="Знак Знак Знак Знак Знак Знак Знак Знак Знак Знак"/>
    <w:basedOn w:val="a2"/>
    <w:rsid w:val="003C1952"/>
    <w:pPr>
      <w:spacing w:after="0" w:line="240" w:lineRule="auto"/>
    </w:pPr>
    <w:rPr>
      <w:rFonts w:ascii="Verdana" w:eastAsia="Times New Roman" w:hAnsi="Verdana" w:cs="Verdana"/>
      <w:sz w:val="20"/>
      <w:szCs w:val="20"/>
      <w:lang w:val="en-US"/>
    </w:rPr>
  </w:style>
  <w:style w:type="paragraph" w:customStyle="1" w:styleId="BodyTextIndent21">
    <w:name w:val="Body Text Indent 21"/>
    <w:basedOn w:val="a2"/>
    <w:rsid w:val="003C1952"/>
    <w:pPr>
      <w:widowControl w:val="0"/>
      <w:autoSpaceDE w:val="0"/>
      <w:autoSpaceDN w:val="0"/>
      <w:adjustRightInd w:val="0"/>
      <w:spacing w:after="0" w:line="240" w:lineRule="auto"/>
      <w:ind w:firstLine="720"/>
      <w:jc w:val="both"/>
    </w:pPr>
    <w:rPr>
      <w:rFonts w:ascii="Times New Roman" w:eastAsia="Times New Roman" w:hAnsi="Times New Roman" w:cs="Times New Roman"/>
      <w:color w:val="000000"/>
      <w:sz w:val="26"/>
      <w:szCs w:val="26"/>
      <w:lang w:val="uk-UA" w:eastAsia="ru-RU"/>
    </w:rPr>
  </w:style>
  <w:style w:type="paragraph" w:styleId="32">
    <w:name w:val="Body Text 3"/>
    <w:basedOn w:val="a2"/>
    <w:link w:val="33"/>
    <w:rsid w:val="003C1952"/>
    <w:pPr>
      <w:spacing w:after="120" w:line="240" w:lineRule="auto"/>
    </w:pPr>
    <w:rPr>
      <w:rFonts w:ascii="Times New Roman" w:eastAsia="Times New Roman" w:hAnsi="Times New Roman" w:cs="Times New Roman"/>
      <w:sz w:val="16"/>
      <w:szCs w:val="16"/>
      <w:lang w:val="uk-UA"/>
    </w:rPr>
  </w:style>
  <w:style w:type="character" w:customStyle="1" w:styleId="33">
    <w:name w:val="Основной текст 3 Знак"/>
    <w:basedOn w:val="a3"/>
    <w:link w:val="32"/>
    <w:rsid w:val="003C1952"/>
    <w:rPr>
      <w:rFonts w:ascii="Times New Roman" w:eastAsia="Times New Roman" w:hAnsi="Times New Roman" w:cs="Times New Roman"/>
      <w:sz w:val="16"/>
      <w:szCs w:val="16"/>
      <w:lang w:val="uk-UA"/>
    </w:rPr>
  </w:style>
  <w:style w:type="character" w:styleId="aff4">
    <w:name w:val="Strong"/>
    <w:uiPriority w:val="22"/>
    <w:qFormat/>
    <w:rsid w:val="003C1952"/>
    <w:rPr>
      <w:b/>
      <w:bCs/>
    </w:rPr>
  </w:style>
  <w:style w:type="paragraph" w:styleId="aff5">
    <w:name w:val="Plain Text"/>
    <w:basedOn w:val="a2"/>
    <w:link w:val="aff6"/>
    <w:uiPriority w:val="99"/>
    <w:rsid w:val="003C1952"/>
    <w:pPr>
      <w:spacing w:after="0" w:line="240" w:lineRule="auto"/>
    </w:pPr>
    <w:rPr>
      <w:rFonts w:ascii="Courier New" w:eastAsia="Times New Roman" w:hAnsi="Courier New" w:cs="Courier New"/>
      <w:sz w:val="20"/>
      <w:szCs w:val="20"/>
      <w:lang w:eastAsia="ru-RU"/>
    </w:rPr>
  </w:style>
  <w:style w:type="character" w:customStyle="1" w:styleId="aff6">
    <w:name w:val="Текст Знак"/>
    <w:basedOn w:val="a3"/>
    <w:link w:val="aff5"/>
    <w:uiPriority w:val="99"/>
    <w:rsid w:val="003C1952"/>
    <w:rPr>
      <w:rFonts w:ascii="Courier New" w:eastAsia="Times New Roman" w:hAnsi="Courier New" w:cs="Courier New"/>
      <w:sz w:val="20"/>
      <w:szCs w:val="20"/>
      <w:lang w:eastAsia="ru-RU"/>
    </w:rPr>
  </w:style>
  <w:style w:type="paragraph" w:customStyle="1" w:styleId="aff7">
    <w:name w:val="основной текст"/>
    <w:rsid w:val="003C1952"/>
    <w:pPr>
      <w:autoSpaceDE w:val="0"/>
      <w:autoSpaceDN w:val="0"/>
      <w:adjustRightInd w:val="0"/>
      <w:spacing w:after="0" w:line="240" w:lineRule="auto"/>
      <w:ind w:firstLine="397"/>
      <w:jc w:val="both"/>
    </w:pPr>
    <w:rPr>
      <w:rFonts w:ascii="Times New Roman" w:eastAsia="Times New Roman" w:hAnsi="Times New Roman" w:cs="Times New Roman"/>
      <w:color w:val="000000"/>
      <w:sz w:val="20"/>
      <w:szCs w:val="20"/>
      <w:lang w:eastAsia="ru-RU"/>
    </w:rPr>
  </w:style>
  <w:style w:type="table" w:customStyle="1" w:styleId="41">
    <w:name w:val="Сетка таблицы4"/>
    <w:basedOn w:val="a4"/>
    <w:next w:val="af0"/>
    <w:uiPriority w:val="59"/>
    <w:rsid w:val="003C1952"/>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8">
    <w:name w:val="footnote reference"/>
    <w:uiPriority w:val="99"/>
    <w:rsid w:val="003C1952"/>
    <w:rPr>
      <w:rFonts w:ascii="Times New Roman" w:hAnsi="Times New Roman" w:cs="Times New Roman"/>
      <w:sz w:val="24"/>
      <w:szCs w:val="24"/>
      <w:vertAlign w:val="superscript"/>
    </w:rPr>
  </w:style>
  <w:style w:type="paragraph" w:styleId="a1">
    <w:name w:val="List Bullet"/>
    <w:basedOn w:val="a2"/>
    <w:uiPriority w:val="99"/>
    <w:rsid w:val="003C1952"/>
    <w:pPr>
      <w:numPr>
        <w:numId w:val="11"/>
      </w:numPr>
      <w:tabs>
        <w:tab w:val="num" w:pos="1069"/>
        <w:tab w:val="num" w:pos="1429"/>
      </w:tabs>
      <w:spacing w:after="0" w:line="240" w:lineRule="auto"/>
      <w:ind w:left="360"/>
      <w:jc w:val="both"/>
    </w:pPr>
    <w:rPr>
      <w:rFonts w:ascii="Times New Roman" w:eastAsia="Times New Roman" w:hAnsi="Times New Roman" w:cs="Times New Roman"/>
      <w:sz w:val="28"/>
      <w:szCs w:val="28"/>
      <w:lang w:val="uk-UA" w:eastAsia="ru-RU"/>
    </w:rPr>
  </w:style>
  <w:style w:type="paragraph" w:styleId="a">
    <w:name w:val="List Number"/>
    <w:basedOn w:val="a2"/>
    <w:uiPriority w:val="99"/>
    <w:rsid w:val="003C1952"/>
    <w:pPr>
      <w:numPr>
        <w:numId w:val="10"/>
      </w:numPr>
      <w:spacing w:after="0" w:line="240" w:lineRule="auto"/>
      <w:jc w:val="both"/>
    </w:pPr>
    <w:rPr>
      <w:rFonts w:ascii="Times New Roman" w:eastAsia="Times New Roman" w:hAnsi="Times New Roman" w:cs="Times New Roman"/>
      <w:sz w:val="28"/>
      <w:szCs w:val="28"/>
      <w:lang w:val="uk-UA" w:eastAsia="ru-RU"/>
    </w:rPr>
  </w:style>
  <w:style w:type="paragraph" w:customStyle="1" w:styleId="a0">
    <w:name w:val="Нумерованный список для литературы"/>
    <w:basedOn w:val="a2"/>
    <w:uiPriority w:val="99"/>
    <w:rsid w:val="003C1952"/>
    <w:pPr>
      <w:numPr>
        <w:numId w:val="14"/>
      </w:numPr>
      <w:tabs>
        <w:tab w:val="clear" w:pos="360"/>
        <w:tab w:val="num" w:pos="528"/>
      </w:tabs>
      <w:spacing w:after="0" w:line="240" w:lineRule="auto"/>
      <w:ind w:left="508" w:hanging="340"/>
      <w:jc w:val="both"/>
    </w:pPr>
    <w:rPr>
      <w:rFonts w:ascii="Times New Roman" w:eastAsia="Times New Roman" w:hAnsi="Times New Roman" w:cs="Times New Roman"/>
      <w:sz w:val="24"/>
      <w:szCs w:val="24"/>
      <w:lang w:val="uk-UA" w:eastAsia="ru-RU"/>
    </w:rPr>
  </w:style>
  <w:style w:type="paragraph" w:customStyle="1" w:styleId="1">
    <w:name w:val="Нумерованный_1)"/>
    <w:basedOn w:val="a2"/>
    <w:uiPriority w:val="99"/>
    <w:rsid w:val="003C1952"/>
    <w:pPr>
      <w:numPr>
        <w:numId w:val="15"/>
      </w:numPr>
      <w:spacing w:after="0" w:line="240" w:lineRule="auto"/>
      <w:jc w:val="both"/>
    </w:pPr>
    <w:rPr>
      <w:rFonts w:ascii="Times New Roman" w:eastAsia="Times New Roman" w:hAnsi="Times New Roman" w:cs="Times New Roman"/>
      <w:sz w:val="28"/>
      <w:szCs w:val="28"/>
      <w:lang w:val="uk-UA" w:eastAsia="ru-RU"/>
    </w:rPr>
  </w:style>
  <w:style w:type="paragraph" w:styleId="34">
    <w:name w:val="toc 3"/>
    <w:basedOn w:val="a2"/>
    <w:next w:val="a2"/>
    <w:autoRedefine/>
    <w:uiPriority w:val="99"/>
    <w:rsid w:val="003C1952"/>
    <w:pPr>
      <w:spacing w:after="0" w:line="240" w:lineRule="auto"/>
      <w:ind w:left="560" w:firstLine="567"/>
      <w:jc w:val="both"/>
    </w:pPr>
    <w:rPr>
      <w:rFonts w:ascii="Times New Roman" w:eastAsia="Times New Roman" w:hAnsi="Times New Roman" w:cs="Times New Roman"/>
      <w:sz w:val="28"/>
      <w:szCs w:val="28"/>
      <w:lang w:val="uk-UA" w:eastAsia="ru-RU"/>
    </w:rPr>
  </w:style>
  <w:style w:type="paragraph" w:styleId="42">
    <w:name w:val="toc 4"/>
    <w:basedOn w:val="a2"/>
    <w:next w:val="a2"/>
    <w:autoRedefine/>
    <w:uiPriority w:val="99"/>
    <w:rsid w:val="003C1952"/>
    <w:pPr>
      <w:spacing w:after="0" w:line="240" w:lineRule="auto"/>
      <w:ind w:left="840" w:firstLine="567"/>
      <w:jc w:val="both"/>
    </w:pPr>
    <w:rPr>
      <w:rFonts w:ascii="Times New Roman" w:eastAsia="Times New Roman" w:hAnsi="Times New Roman" w:cs="Times New Roman"/>
      <w:sz w:val="28"/>
      <w:szCs w:val="28"/>
      <w:lang w:val="uk-UA" w:eastAsia="ru-RU"/>
    </w:rPr>
  </w:style>
  <w:style w:type="paragraph" w:styleId="51">
    <w:name w:val="toc 5"/>
    <w:basedOn w:val="a2"/>
    <w:next w:val="a2"/>
    <w:autoRedefine/>
    <w:uiPriority w:val="99"/>
    <w:rsid w:val="003C1952"/>
    <w:pPr>
      <w:spacing w:after="0" w:line="240" w:lineRule="auto"/>
      <w:ind w:left="1120" w:firstLine="567"/>
      <w:jc w:val="both"/>
    </w:pPr>
    <w:rPr>
      <w:rFonts w:ascii="Times New Roman" w:eastAsia="Times New Roman" w:hAnsi="Times New Roman" w:cs="Times New Roman"/>
      <w:sz w:val="28"/>
      <w:szCs w:val="28"/>
      <w:lang w:val="uk-UA" w:eastAsia="ru-RU"/>
    </w:rPr>
  </w:style>
  <w:style w:type="paragraph" w:styleId="61">
    <w:name w:val="toc 6"/>
    <w:basedOn w:val="a2"/>
    <w:next w:val="a2"/>
    <w:autoRedefine/>
    <w:uiPriority w:val="99"/>
    <w:rsid w:val="003C1952"/>
    <w:pPr>
      <w:spacing w:after="0" w:line="240" w:lineRule="auto"/>
      <w:ind w:left="1400" w:firstLine="567"/>
      <w:jc w:val="both"/>
    </w:pPr>
    <w:rPr>
      <w:rFonts w:ascii="Times New Roman" w:eastAsia="Times New Roman" w:hAnsi="Times New Roman" w:cs="Times New Roman"/>
      <w:sz w:val="28"/>
      <w:szCs w:val="28"/>
      <w:lang w:val="uk-UA" w:eastAsia="ru-RU"/>
    </w:rPr>
  </w:style>
  <w:style w:type="paragraph" w:styleId="71">
    <w:name w:val="toc 7"/>
    <w:basedOn w:val="a2"/>
    <w:next w:val="a2"/>
    <w:autoRedefine/>
    <w:uiPriority w:val="99"/>
    <w:rsid w:val="003C1952"/>
    <w:pPr>
      <w:spacing w:after="0" w:line="240" w:lineRule="auto"/>
      <w:ind w:left="1680" w:firstLine="567"/>
      <w:jc w:val="both"/>
    </w:pPr>
    <w:rPr>
      <w:rFonts w:ascii="Times New Roman" w:eastAsia="Times New Roman" w:hAnsi="Times New Roman" w:cs="Times New Roman"/>
      <w:sz w:val="28"/>
      <w:szCs w:val="28"/>
      <w:lang w:val="uk-UA" w:eastAsia="ru-RU"/>
    </w:rPr>
  </w:style>
  <w:style w:type="paragraph" w:styleId="81">
    <w:name w:val="toc 8"/>
    <w:basedOn w:val="a2"/>
    <w:next w:val="a2"/>
    <w:autoRedefine/>
    <w:uiPriority w:val="99"/>
    <w:rsid w:val="003C1952"/>
    <w:pPr>
      <w:spacing w:after="0" w:line="240" w:lineRule="auto"/>
      <w:ind w:left="1960" w:firstLine="567"/>
      <w:jc w:val="both"/>
    </w:pPr>
    <w:rPr>
      <w:rFonts w:ascii="Times New Roman" w:eastAsia="Times New Roman" w:hAnsi="Times New Roman" w:cs="Times New Roman"/>
      <w:sz w:val="28"/>
      <w:szCs w:val="28"/>
      <w:lang w:val="uk-UA" w:eastAsia="ru-RU"/>
    </w:rPr>
  </w:style>
  <w:style w:type="paragraph" w:styleId="91">
    <w:name w:val="toc 9"/>
    <w:basedOn w:val="a2"/>
    <w:next w:val="a2"/>
    <w:autoRedefine/>
    <w:uiPriority w:val="99"/>
    <w:rsid w:val="003C1952"/>
    <w:pPr>
      <w:spacing w:after="0" w:line="240" w:lineRule="auto"/>
      <w:ind w:left="2240" w:firstLine="567"/>
      <w:jc w:val="both"/>
    </w:pPr>
    <w:rPr>
      <w:rFonts w:ascii="Times New Roman" w:eastAsia="Times New Roman" w:hAnsi="Times New Roman" w:cs="Times New Roman"/>
      <w:sz w:val="28"/>
      <w:szCs w:val="28"/>
      <w:lang w:val="uk-UA" w:eastAsia="ru-RU"/>
    </w:rPr>
  </w:style>
  <w:style w:type="paragraph" w:customStyle="1" w:styleId="aff9">
    <w:name w:val="Таблица_заг"/>
    <w:uiPriority w:val="99"/>
    <w:rsid w:val="003C1952"/>
    <w:pPr>
      <w:spacing w:before="60" w:after="60" w:line="240" w:lineRule="auto"/>
      <w:jc w:val="center"/>
    </w:pPr>
    <w:rPr>
      <w:rFonts w:ascii="Arial Narrow" w:eastAsia="Times New Roman" w:hAnsi="Arial Narrow" w:cs="Arial Narrow"/>
      <w:b/>
      <w:bCs/>
      <w:sz w:val="24"/>
      <w:szCs w:val="24"/>
      <w:lang w:val="uk-UA" w:eastAsia="ru-RU"/>
    </w:rPr>
  </w:style>
  <w:style w:type="paragraph" w:customStyle="1" w:styleId="affa">
    <w:name w:val="Таблица_текст"/>
    <w:uiPriority w:val="99"/>
    <w:rsid w:val="003C1952"/>
    <w:pPr>
      <w:keepLines/>
      <w:spacing w:before="60" w:after="60" w:line="240" w:lineRule="auto"/>
      <w:jc w:val="center"/>
    </w:pPr>
    <w:rPr>
      <w:rFonts w:ascii="Arial Narrow" w:eastAsia="Times New Roman" w:hAnsi="Arial Narrow" w:cs="Arial Narrow"/>
      <w:sz w:val="24"/>
      <w:szCs w:val="24"/>
      <w:lang w:val="uk-UA" w:eastAsia="ru-RU"/>
    </w:rPr>
  </w:style>
  <w:style w:type="paragraph" w:styleId="affb">
    <w:name w:val="footnote text"/>
    <w:basedOn w:val="a2"/>
    <w:link w:val="affc"/>
    <w:uiPriority w:val="99"/>
    <w:rsid w:val="003C1952"/>
    <w:pPr>
      <w:spacing w:after="0" w:line="240" w:lineRule="auto"/>
      <w:ind w:firstLine="567"/>
      <w:jc w:val="both"/>
    </w:pPr>
    <w:rPr>
      <w:rFonts w:ascii="Times New Roman" w:eastAsia="Times New Roman" w:hAnsi="Times New Roman" w:cs="Times New Roman"/>
      <w:sz w:val="24"/>
      <w:szCs w:val="24"/>
      <w:lang w:val="uk-UA" w:eastAsia="ru-RU"/>
    </w:rPr>
  </w:style>
  <w:style w:type="character" w:customStyle="1" w:styleId="affc">
    <w:name w:val="Текст сноски Знак"/>
    <w:basedOn w:val="a3"/>
    <w:link w:val="affb"/>
    <w:uiPriority w:val="99"/>
    <w:rsid w:val="003C1952"/>
    <w:rPr>
      <w:rFonts w:ascii="Times New Roman" w:eastAsia="Times New Roman" w:hAnsi="Times New Roman" w:cs="Times New Roman"/>
      <w:sz w:val="24"/>
      <w:szCs w:val="24"/>
      <w:lang w:val="uk-UA" w:eastAsia="ru-RU"/>
    </w:rPr>
  </w:style>
  <w:style w:type="paragraph" w:customStyle="1" w:styleId="affd">
    <w:name w:val="Формула"/>
    <w:basedOn w:val="a2"/>
    <w:uiPriority w:val="99"/>
    <w:rsid w:val="003C1952"/>
    <w:pPr>
      <w:widowControl w:val="0"/>
      <w:tabs>
        <w:tab w:val="left" w:pos="426"/>
        <w:tab w:val="left" w:pos="1134"/>
      </w:tabs>
      <w:spacing w:before="120" w:after="120" w:line="240" w:lineRule="auto"/>
      <w:ind w:left="2835"/>
      <w:jc w:val="both"/>
    </w:pPr>
    <w:rPr>
      <w:rFonts w:ascii="Times New Roman" w:eastAsia="Times New Roman" w:hAnsi="Times New Roman" w:cs="Times New Roman"/>
      <w:i/>
      <w:iCs/>
      <w:sz w:val="28"/>
      <w:szCs w:val="28"/>
      <w:lang w:val="uk-UA" w:eastAsia="ru-RU"/>
    </w:rPr>
  </w:style>
  <w:style w:type="paragraph" w:styleId="affe">
    <w:name w:val="Block Text"/>
    <w:basedOn w:val="a2"/>
    <w:uiPriority w:val="99"/>
    <w:rsid w:val="003C1952"/>
    <w:pPr>
      <w:spacing w:before="120" w:after="120" w:line="240" w:lineRule="auto"/>
      <w:ind w:left="851" w:right="567"/>
      <w:jc w:val="both"/>
    </w:pPr>
    <w:rPr>
      <w:rFonts w:ascii="Times New Roman" w:eastAsia="Times New Roman" w:hAnsi="Times New Roman" w:cs="Times New Roman"/>
      <w:sz w:val="28"/>
      <w:szCs w:val="28"/>
      <w:lang w:val="uk-UA" w:eastAsia="ru-RU"/>
    </w:rPr>
  </w:style>
  <w:style w:type="paragraph" w:customStyle="1" w:styleId="afff">
    <w:name w:val="Сноска"/>
    <w:basedOn w:val="a2"/>
    <w:link w:val="afff0"/>
    <w:uiPriority w:val="99"/>
    <w:rsid w:val="003C1952"/>
    <w:pPr>
      <w:spacing w:after="0" w:line="240" w:lineRule="auto"/>
      <w:ind w:firstLine="567"/>
      <w:jc w:val="both"/>
    </w:pPr>
    <w:rPr>
      <w:rFonts w:ascii="Times New Roman" w:eastAsia="Times New Roman" w:hAnsi="Times New Roman" w:cs="Times New Roman"/>
      <w:sz w:val="24"/>
      <w:szCs w:val="24"/>
      <w:vertAlign w:val="superscript"/>
      <w:lang w:val="uk-UA" w:eastAsia="ru-RU"/>
    </w:rPr>
  </w:style>
  <w:style w:type="character" w:customStyle="1" w:styleId="afff0">
    <w:name w:val="Сноска Знак"/>
    <w:link w:val="afff"/>
    <w:uiPriority w:val="99"/>
    <w:locked/>
    <w:rsid w:val="003C1952"/>
    <w:rPr>
      <w:rFonts w:ascii="Times New Roman" w:eastAsia="Times New Roman" w:hAnsi="Times New Roman" w:cs="Times New Roman"/>
      <w:sz w:val="24"/>
      <w:szCs w:val="24"/>
      <w:vertAlign w:val="superscript"/>
      <w:lang w:val="uk-UA" w:eastAsia="ru-RU"/>
    </w:rPr>
  </w:style>
  <w:style w:type="paragraph" w:customStyle="1" w:styleId="afff1">
    <w:name w:val="Формула сноска"/>
    <w:basedOn w:val="a2"/>
    <w:uiPriority w:val="99"/>
    <w:rsid w:val="003C1952"/>
    <w:pPr>
      <w:shd w:val="clear" w:color="auto" w:fill="FFFFFF"/>
      <w:tabs>
        <w:tab w:val="left" w:pos="540"/>
        <w:tab w:val="left" w:pos="1080"/>
        <w:tab w:val="left" w:pos="1440"/>
      </w:tabs>
      <w:spacing w:after="0" w:line="240" w:lineRule="auto"/>
      <w:ind w:left="1440" w:hanging="1440"/>
      <w:jc w:val="both"/>
    </w:pPr>
    <w:rPr>
      <w:rFonts w:ascii="Times New Roman" w:eastAsia="Times New Roman" w:hAnsi="Times New Roman" w:cs="Times New Roman"/>
      <w:sz w:val="28"/>
      <w:szCs w:val="28"/>
      <w:lang w:val="uk-UA" w:eastAsia="ru-RU"/>
    </w:rPr>
  </w:style>
  <w:style w:type="paragraph" w:customStyle="1" w:styleId="afff2">
    <w:name w:val="Схема"/>
    <w:basedOn w:val="a2"/>
    <w:link w:val="afff3"/>
    <w:uiPriority w:val="99"/>
    <w:rsid w:val="003C1952"/>
    <w:pPr>
      <w:spacing w:after="0" w:line="240" w:lineRule="auto"/>
      <w:jc w:val="center"/>
    </w:pPr>
    <w:rPr>
      <w:rFonts w:ascii="Arial Narrow" w:eastAsia="Times New Roman" w:hAnsi="Arial Narrow" w:cs="Arial Narrow"/>
      <w:sz w:val="24"/>
      <w:szCs w:val="24"/>
      <w:lang w:val="uk-UA" w:eastAsia="ru-RU"/>
    </w:rPr>
  </w:style>
  <w:style w:type="character" w:customStyle="1" w:styleId="afff3">
    <w:name w:val="Схема Знак"/>
    <w:link w:val="afff2"/>
    <w:uiPriority w:val="99"/>
    <w:locked/>
    <w:rsid w:val="003C1952"/>
    <w:rPr>
      <w:rFonts w:ascii="Arial Narrow" w:eastAsia="Times New Roman" w:hAnsi="Arial Narrow" w:cs="Arial Narrow"/>
      <w:sz w:val="24"/>
      <w:szCs w:val="24"/>
      <w:lang w:val="uk-UA" w:eastAsia="ru-RU"/>
    </w:rPr>
  </w:style>
  <w:style w:type="character" w:customStyle="1" w:styleId="rvts17">
    <w:name w:val="rvts17"/>
    <w:rsid w:val="003C1952"/>
    <w:rPr>
      <w:rFonts w:ascii="Times New Roman" w:hAnsi="Times New Roman" w:cs="Times New Roman" w:hint="default"/>
      <w:sz w:val="28"/>
      <w:szCs w:val="28"/>
    </w:rPr>
  </w:style>
  <w:style w:type="numbering" w:customStyle="1" w:styleId="110">
    <w:name w:val="Нет списка11"/>
    <w:next w:val="a5"/>
    <w:uiPriority w:val="99"/>
    <w:semiHidden/>
    <w:unhideWhenUsed/>
    <w:rsid w:val="003C1952"/>
  </w:style>
  <w:style w:type="paragraph" w:customStyle="1" w:styleId="Default">
    <w:name w:val="Default"/>
    <w:rsid w:val="003C1952"/>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table" w:customStyle="1" w:styleId="15">
    <w:name w:val="Сетка таблицы1"/>
    <w:basedOn w:val="a4"/>
    <w:next w:val="af0"/>
    <w:rsid w:val="003C1952"/>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Знак Знак Знак Знак"/>
    <w:basedOn w:val="a2"/>
    <w:rsid w:val="003C1952"/>
    <w:pPr>
      <w:spacing w:before="60" w:after="0" w:line="240" w:lineRule="exact"/>
    </w:pPr>
    <w:rPr>
      <w:rFonts w:ascii="Verdana" w:eastAsia="Times New Roman" w:hAnsi="Verdana" w:cs="Times New Roman"/>
      <w:sz w:val="20"/>
      <w:szCs w:val="20"/>
      <w:lang w:val="en-US"/>
    </w:rPr>
  </w:style>
  <w:style w:type="table" w:customStyle="1" w:styleId="24">
    <w:name w:val="Сетка таблицы2"/>
    <w:basedOn w:val="a4"/>
    <w:next w:val="af0"/>
    <w:uiPriority w:val="59"/>
    <w:rsid w:val="003C1952"/>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Сетка таблицы11"/>
    <w:basedOn w:val="a4"/>
    <w:next w:val="af0"/>
    <w:rsid w:val="003C1952"/>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
    <w:name w:val="Нет списка2"/>
    <w:next w:val="a5"/>
    <w:uiPriority w:val="99"/>
    <w:semiHidden/>
    <w:unhideWhenUsed/>
    <w:rsid w:val="003C1952"/>
  </w:style>
  <w:style w:type="table" w:customStyle="1" w:styleId="35">
    <w:name w:val="Сетка таблицы3"/>
    <w:basedOn w:val="a4"/>
    <w:next w:val="af0"/>
    <w:uiPriority w:val="59"/>
    <w:rsid w:val="003C1952"/>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Нет списка111"/>
    <w:next w:val="a5"/>
    <w:uiPriority w:val="99"/>
    <w:semiHidden/>
    <w:unhideWhenUsed/>
    <w:rsid w:val="003C1952"/>
  </w:style>
  <w:style w:type="character" w:styleId="afff5">
    <w:name w:val="Placeholder Text"/>
    <w:uiPriority w:val="99"/>
    <w:semiHidden/>
    <w:rsid w:val="003C1952"/>
    <w:rPr>
      <w:color w:val="808080"/>
    </w:rPr>
  </w:style>
  <w:style w:type="character" w:customStyle="1" w:styleId="hps">
    <w:name w:val="hps"/>
    <w:rsid w:val="003C1952"/>
  </w:style>
  <w:style w:type="numbering" w:customStyle="1" w:styleId="36">
    <w:name w:val="Нет списка3"/>
    <w:next w:val="a5"/>
    <w:uiPriority w:val="99"/>
    <w:semiHidden/>
    <w:unhideWhenUsed/>
    <w:rsid w:val="003C1952"/>
  </w:style>
  <w:style w:type="table" w:customStyle="1" w:styleId="52">
    <w:name w:val="Сетка таблицы5"/>
    <w:basedOn w:val="a4"/>
    <w:next w:val="af0"/>
    <w:uiPriority w:val="59"/>
    <w:rsid w:val="003C1952"/>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4"/>
    <w:next w:val="af0"/>
    <w:rsid w:val="003C1952"/>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10">
    <w:name w:val="Заголовок 51"/>
    <w:next w:val="a2"/>
    <w:rsid w:val="003C1952"/>
    <w:pPr>
      <w:widowControl w:val="0"/>
      <w:suppressAutoHyphens/>
      <w:autoSpaceDE w:val="0"/>
      <w:spacing w:after="0" w:line="240" w:lineRule="auto"/>
    </w:pPr>
    <w:rPr>
      <w:rFonts w:ascii="Times New Roman" w:eastAsia="Arial Unicode MS" w:hAnsi="Times New Roman" w:cs="Tahoma"/>
      <w:color w:val="000000"/>
      <w:sz w:val="24"/>
      <w:szCs w:val="24"/>
      <w:lang w:val="en-US" w:bidi="en-US"/>
    </w:rPr>
  </w:style>
  <w:style w:type="table" w:customStyle="1" w:styleId="1111">
    <w:name w:val="Сетка таблицы111"/>
    <w:basedOn w:val="a4"/>
    <w:next w:val="af0"/>
    <w:uiPriority w:val="59"/>
    <w:rsid w:val="003C1952"/>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10">
    <w:name w:val="Сетка таблицы1111"/>
    <w:basedOn w:val="a4"/>
    <w:next w:val="af0"/>
    <w:rsid w:val="003C1952"/>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Сетка таблицы21"/>
    <w:basedOn w:val="a4"/>
    <w:next w:val="af0"/>
    <w:uiPriority w:val="59"/>
    <w:rsid w:val="003C1952"/>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0">
    <w:name w:val="Сетка таблицы31"/>
    <w:basedOn w:val="a4"/>
    <w:next w:val="af0"/>
    <w:uiPriority w:val="59"/>
    <w:rsid w:val="003C1952"/>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10">
    <w:name w:val="Сетка таблицы41"/>
    <w:basedOn w:val="a4"/>
    <w:next w:val="af0"/>
    <w:uiPriority w:val="59"/>
    <w:rsid w:val="003C1952"/>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3">
    <w:name w:val="Нет списка4"/>
    <w:next w:val="a5"/>
    <w:uiPriority w:val="99"/>
    <w:semiHidden/>
    <w:unhideWhenUsed/>
    <w:rsid w:val="003C1952"/>
  </w:style>
  <w:style w:type="paragraph" w:customStyle="1" w:styleId="Style5">
    <w:name w:val="Style5"/>
    <w:basedOn w:val="a2"/>
    <w:rsid w:val="003C1952"/>
    <w:pPr>
      <w:widowControl w:val="0"/>
      <w:autoSpaceDE w:val="0"/>
      <w:autoSpaceDN w:val="0"/>
      <w:adjustRightInd w:val="0"/>
      <w:spacing w:after="0" w:line="485" w:lineRule="exact"/>
      <w:jc w:val="both"/>
    </w:pPr>
    <w:rPr>
      <w:rFonts w:ascii="Book Antiqua" w:eastAsia="Times New Roman" w:hAnsi="Book Antiqua" w:cs="Times New Roman"/>
      <w:sz w:val="24"/>
      <w:szCs w:val="24"/>
      <w:lang w:eastAsia="ru-RU"/>
    </w:rPr>
  </w:style>
  <w:style w:type="paragraph" w:customStyle="1" w:styleId="Style6">
    <w:name w:val="Style6"/>
    <w:basedOn w:val="a2"/>
    <w:rsid w:val="003C1952"/>
    <w:pPr>
      <w:widowControl w:val="0"/>
      <w:autoSpaceDE w:val="0"/>
      <w:autoSpaceDN w:val="0"/>
      <w:adjustRightInd w:val="0"/>
      <w:spacing w:after="0" w:line="486" w:lineRule="exact"/>
    </w:pPr>
    <w:rPr>
      <w:rFonts w:ascii="Book Antiqua" w:eastAsia="Times New Roman" w:hAnsi="Book Antiqua" w:cs="Times New Roman"/>
      <w:sz w:val="24"/>
      <w:szCs w:val="24"/>
      <w:lang w:eastAsia="ru-RU"/>
    </w:rPr>
  </w:style>
  <w:style w:type="paragraph" w:customStyle="1" w:styleId="Style11">
    <w:name w:val="Style11"/>
    <w:basedOn w:val="a2"/>
    <w:rsid w:val="003C1952"/>
    <w:pPr>
      <w:widowControl w:val="0"/>
      <w:autoSpaceDE w:val="0"/>
      <w:autoSpaceDN w:val="0"/>
      <w:adjustRightInd w:val="0"/>
      <w:spacing w:after="0" w:line="490" w:lineRule="exact"/>
    </w:pPr>
    <w:rPr>
      <w:rFonts w:ascii="Book Antiqua" w:eastAsia="Times New Roman" w:hAnsi="Book Antiqua" w:cs="Times New Roman"/>
      <w:sz w:val="24"/>
      <w:szCs w:val="24"/>
      <w:lang w:eastAsia="ru-RU"/>
    </w:rPr>
  </w:style>
  <w:style w:type="paragraph" w:customStyle="1" w:styleId="Style19">
    <w:name w:val="Style19"/>
    <w:basedOn w:val="a2"/>
    <w:rsid w:val="003C1952"/>
    <w:pPr>
      <w:widowControl w:val="0"/>
      <w:autoSpaceDE w:val="0"/>
      <w:autoSpaceDN w:val="0"/>
      <w:adjustRightInd w:val="0"/>
      <w:spacing w:after="0" w:line="480" w:lineRule="exact"/>
      <w:jc w:val="center"/>
    </w:pPr>
    <w:rPr>
      <w:rFonts w:ascii="Book Antiqua" w:eastAsia="Times New Roman" w:hAnsi="Book Antiqua" w:cs="Times New Roman"/>
      <w:sz w:val="24"/>
      <w:szCs w:val="24"/>
      <w:lang w:eastAsia="ru-RU"/>
    </w:rPr>
  </w:style>
  <w:style w:type="paragraph" w:customStyle="1" w:styleId="Style21">
    <w:name w:val="Style21"/>
    <w:basedOn w:val="a2"/>
    <w:rsid w:val="003C1952"/>
    <w:pPr>
      <w:widowControl w:val="0"/>
      <w:autoSpaceDE w:val="0"/>
      <w:autoSpaceDN w:val="0"/>
      <w:adjustRightInd w:val="0"/>
      <w:spacing w:after="0" w:line="485" w:lineRule="exact"/>
      <w:ind w:hanging="360"/>
    </w:pPr>
    <w:rPr>
      <w:rFonts w:ascii="Book Antiqua" w:eastAsia="Times New Roman" w:hAnsi="Book Antiqua" w:cs="Times New Roman"/>
      <w:sz w:val="24"/>
      <w:szCs w:val="24"/>
      <w:lang w:eastAsia="ru-RU"/>
    </w:rPr>
  </w:style>
  <w:style w:type="paragraph" w:customStyle="1" w:styleId="Style22">
    <w:name w:val="Style22"/>
    <w:basedOn w:val="a2"/>
    <w:rsid w:val="003C1952"/>
    <w:pPr>
      <w:widowControl w:val="0"/>
      <w:autoSpaceDE w:val="0"/>
      <w:autoSpaceDN w:val="0"/>
      <w:adjustRightInd w:val="0"/>
      <w:spacing w:after="0" w:line="488" w:lineRule="exact"/>
      <w:ind w:firstLine="403"/>
    </w:pPr>
    <w:rPr>
      <w:rFonts w:ascii="Book Antiqua" w:eastAsia="Times New Roman" w:hAnsi="Book Antiqua" w:cs="Times New Roman"/>
      <w:sz w:val="24"/>
      <w:szCs w:val="24"/>
      <w:lang w:eastAsia="ru-RU"/>
    </w:rPr>
  </w:style>
  <w:style w:type="character" w:customStyle="1" w:styleId="FontStyle25">
    <w:name w:val="Font Style25"/>
    <w:rsid w:val="003C1952"/>
    <w:rPr>
      <w:rFonts w:ascii="Times New Roman" w:hAnsi="Times New Roman" w:cs="Times New Roman" w:hint="default"/>
      <w:sz w:val="26"/>
      <w:szCs w:val="26"/>
    </w:rPr>
  </w:style>
  <w:style w:type="table" w:customStyle="1" w:styleId="62">
    <w:name w:val="Сетка таблицы6"/>
    <w:basedOn w:val="a4"/>
    <w:next w:val="af0"/>
    <w:uiPriority w:val="59"/>
    <w:rsid w:val="003C1952"/>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3">
    <w:name w:val="Нет списка5"/>
    <w:next w:val="a5"/>
    <w:uiPriority w:val="99"/>
    <w:semiHidden/>
    <w:unhideWhenUsed/>
    <w:rsid w:val="003C1952"/>
  </w:style>
  <w:style w:type="table" w:customStyle="1" w:styleId="72">
    <w:name w:val="Сетка таблицы7"/>
    <w:basedOn w:val="a4"/>
    <w:next w:val="af0"/>
    <w:uiPriority w:val="59"/>
    <w:rsid w:val="003C1952"/>
    <w:pPr>
      <w:spacing w:after="0" w:line="240" w:lineRule="auto"/>
    </w:pPr>
    <w:rPr>
      <w:rFonts w:ascii="Times New Roman" w:eastAsia="Calibri" w:hAnsi="Times New Roman" w:cs="TTAC2o00"/>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ongtext">
    <w:name w:val="long_text"/>
    <w:rsid w:val="003C1952"/>
    <w:rPr>
      <w:rFonts w:cs="Times New Roman"/>
    </w:rPr>
  </w:style>
  <w:style w:type="paragraph" w:customStyle="1" w:styleId="16">
    <w:name w:val="Абзац списка1"/>
    <w:basedOn w:val="a2"/>
    <w:uiPriority w:val="99"/>
    <w:rsid w:val="003C1952"/>
    <w:pPr>
      <w:spacing w:after="200" w:line="276" w:lineRule="auto"/>
      <w:ind w:left="720"/>
      <w:contextualSpacing/>
    </w:pPr>
    <w:rPr>
      <w:rFonts w:ascii="Times New Roman" w:eastAsia="Times New Roman" w:hAnsi="Times New Roman" w:cs="TTAC2o00"/>
      <w:sz w:val="28"/>
      <w:szCs w:val="24"/>
    </w:rPr>
  </w:style>
  <w:style w:type="paragraph" w:styleId="3">
    <w:name w:val="Body Text Indent 3"/>
    <w:basedOn w:val="a2"/>
    <w:link w:val="37"/>
    <w:uiPriority w:val="99"/>
    <w:rsid w:val="003C1952"/>
    <w:pPr>
      <w:numPr>
        <w:numId w:val="16"/>
      </w:numPr>
      <w:tabs>
        <w:tab w:val="clear" w:pos="360"/>
      </w:tabs>
      <w:spacing w:after="0" w:line="360" w:lineRule="auto"/>
      <w:ind w:left="0" w:firstLine="540"/>
      <w:jc w:val="center"/>
    </w:pPr>
    <w:rPr>
      <w:rFonts w:ascii="Times New Roman" w:eastAsia="Times New Roman" w:hAnsi="Times New Roman" w:cs="Times New Roman"/>
      <w:b/>
      <w:bCs/>
      <w:sz w:val="28"/>
      <w:szCs w:val="28"/>
      <w:lang w:val="uk-UA" w:eastAsia="ru-RU"/>
    </w:rPr>
  </w:style>
  <w:style w:type="character" w:customStyle="1" w:styleId="37">
    <w:name w:val="Основной текст с отступом 3 Знак"/>
    <w:basedOn w:val="a3"/>
    <w:link w:val="3"/>
    <w:uiPriority w:val="99"/>
    <w:rsid w:val="003C1952"/>
    <w:rPr>
      <w:rFonts w:ascii="Times New Roman" w:eastAsia="Times New Roman" w:hAnsi="Times New Roman" w:cs="Times New Roman"/>
      <w:b/>
      <w:bCs/>
      <w:sz w:val="28"/>
      <w:szCs w:val="28"/>
      <w:lang w:val="uk-UA" w:eastAsia="ru-RU"/>
    </w:rPr>
  </w:style>
  <w:style w:type="paragraph" w:styleId="26">
    <w:name w:val="Body Text 2"/>
    <w:basedOn w:val="a2"/>
    <w:link w:val="27"/>
    <w:uiPriority w:val="99"/>
    <w:unhideWhenUsed/>
    <w:rsid w:val="003C1952"/>
    <w:pPr>
      <w:spacing w:after="120" w:line="480" w:lineRule="auto"/>
    </w:pPr>
    <w:rPr>
      <w:rFonts w:ascii="Calibri" w:eastAsia="Times New Roman" w:hAnsi="Calibri" w:cs="Times New Roman"/>
      <w:lang w:eastAsia="ru-RU"/>
    </w:rPr>
  </w:style>
  <w:style w:type="character" w:customStyle="1" w:styleId="27">
    <w:name w:val="Основной текст 2 Знак"/>
    <w:basedOn w:val="a3"/>
    <w:link w:val="26"/>
    <w:uiPriority w:val="99"/>
    <w:rsid w:val="003C1952"/>
    <w:rPr>
      <w:rFonts w:ascii="Calibri" w:eastAsia="Times New Roman" w:hAnsi="Calibri" w:cs="Times New Roman"/>
      <w:lang w:eastAsia="ru-RU"/>
    </w:rPr>
  </w:style>
  <w:style w:type="paragraph" w:customStyle="1" w:styleId="afff6">
    <w:name w:val="Текст дисера"/>
    <w:basedOn w:val="a2"/>
    <w:uiPriority w:val="99"/>
    <w:rsid w:val="003C1952"/>
    <w:pPr>
      <w:autoSpaceDE w:val="0"/>
      <w:autoSpaceDN w:val="0"/>
      <w:spacing w:after="0" w:line="360" w:lineRule="auto"/>
      <w:ind w:firstLine="567"/>
      <w:jc w:val="both"/>
    </w:pPr>
    <w:rPr>
      <w:rFonts w:ascii="Times New Roman" w:eastAsia="Times New Roman" w:hAnsi="Times New Roman" w:cs="Times New Roman"/>
      <w:sz w:val="28"/>
      <w:szCs w:val="28"/>
      <w:lang w:eastAsia="ru-RU"/>
    </w:rPr>
  </w:style>
  <w:style w:type="paragraph" w:customStyle="1" w:styleId="28">
    <w:name w:val="Абзац списка2"/>
    <w:basedOn w:val="a2"/>
    <w:rsid w:val="003C1952"/>
    <w:pPr>
      <w:spacing w:after="200" w:line="276" w:lineRule="auto"/>
      <w:ind w:left="720"/>
      <w:contextualSpacing/>
    </w:pPr>
    <w:rPr>
      <w:rFonts w:ascii="Times New Roman" w:eastAsia="Times New Roman" w:hAnsi="Times New Roman" w:cs="TTAC2o00"/>
      <w:sz w:val="28"/>
      <w:szCs w:val="24"/>
    </w:rPr>
  </w:style>
  <w:style w:type="character" w:styleId="afff7">
    <w:name w:val="FollowedHyperlink"/>
    <w:uiPriority w:val="99"/>
    <w:unhideWhenUsed/>
    <w:rsid w:val="003C1952"/>
    <w:rPr>
      <w:color w:val="800080"/>
      <w:u w:val="single"/>
    </w:rPr>
  </w:style>
  <w:style w:type="character" w:styleId="HTML1">
    <w:name w:val="HTML Cite"/>
    <w:uiPriority w:val="99"/>
    <w:unhideWhenUsed/>
    <w:rsid w:val="003C1952"/>
    <w:rPr>
      <w:i/>
      <w:iCs/>
    </w:rPr>
  </w:style>
  <w:style w:type="character" w:styleId="HTML2">
    <w:name w:val="HTML Code"/>
    <w:uiPriority w:val="99"/>
    <w:unhideWhenUsed/>
    <w:rsid w:val="003C1952"/>
    <w:rPr>
      <w:rFonts w:ascii="Courier New" w:eastAsia="Times New Roman" w:hAnsi="Courier New" w:cs="Courier New"/>
      <w:sz w:val="20"/>
      <w:szCs w:val="20"/>
    </w:rPr>
  </w:style>
  <w:style w:type="paragraph" w:customStyle="1" w:styleId="17">
    <w:name w:val="Знак Знак1"/>
    <w:basedOn w:val="a2"/>
    <w:uiPriority w:val="99"/>
    <w:rsid w:val="003C1952"/>
    <w:pPr>
      <w:spacing w:after="0" w:line="240" w:lineRule="auto"/>
    </w:pPr>
    <w:rPr>
      <w:rFonts w:ascii="Verdana" w:eastAsia="Times New Roman" w:hAnsi="Verdana" w:cs="Verdana"/>
      <w:sz w:val="20"/>
      <w:szCs w:val="20"/>
      <w:lang w:val="en-US"/>
    </w:rPr>
  </w:style>
  <w:style w:type="paragraph" w:customStyle="1" w:styleId="Iniiaiieoaeno">
    <w:name w:val="Iniiaiie oaeno"/>
    <w:basedOn w:val="a2"/>
    <w:rsid w:val="003C1952"/>
    <w:pPr>
      <w:spacing w:after="0" w:line="-398" w:lineRule="auto"/>
      <w:jc w:val="both"/>
    </w:pPr>
    <w:rPr>
      <w:rFonts w:ascii="Times New Roman" w:eastAsia="Times New Roman" w:hAnsi="Times New Roman" w:cs="Times New Roman"/>
      <w:noProof/>
      <w:sz w:val="28"/>
      <w:szCs w:val="20"/>
      <w:lang w:val="uk-UA" w:eastAsia="ru-RU"/>
    </w:rPr>
  </w:style>
  <w:style w:type="paragraph" w:customStyle="1" w:styleId="TableParagraph">
    <w:name w:val="Table Paragraph"/>
    <w:basedOn w:val="a2"/>
    <w:qFormat/>
    <w:rsid w:val="003C1952"/>
    <w:pPr>
      <w:widowControl w:val="0"/>
      <w:autoSpaceDE w:val="0"/>
      <w:autoSpaceDN w:val="0"/>
      <w:spacing w:before="10" w:after="0" w:line="240" w:lineRule="auto"/>
      <w:ind w:left="113" w:right="443"/>
    </w:pPr>
    <w:rPr>
      <w:rFonts w:ascii="Times New Roman" w:eastAsia="Calibri" w:hAnsi="Times New Roman" w:cs="Times New Roman"/>
      <w:lang w:val="en-US"/>
    </w:rPr>
  </w:style>
  <w:style w:type="character" w:customStyle="1" w:styleId="afe">
    <w:name w:val="Обычный (веб) Знак"/>
    <w:aliases w:val="Обычный (Web) Знак"/>
    <w:link w:val="afd"/>
    <w:uiPriority w:val="99"/>
    <w:locked/>
    <w:rsid w:val="003C1952"/>
    <w:rPr>
      <w:rFonts w:ascii="Times New Roman" w:eastAsia="Times New Roman" w:hAnsi="Times New Roman" w:cs="Times New Roman"/>
      <w:sz w:val="24"/>
      <w:szCs w:val="24"/>
      <w:lang w:val="uk-UA" w:eastAsia="uk-UA"/>
    </w:rPr>
  </w:style>
  <w:style w:type="table" w:customStyle="1" w:styleId="82">
    <w:name w:val="Сетка таблицы8"/>
    <w:basedOn w:val="a4"/>
    <w:next w:val="af0"/>
    <w:uiPriority w:val="59"/>
    <w:rsid w:val="003C1952"/>
    <w:pPr>
      <w:spacing w:after="0" w:line="240" w:lineRule="auto"/>
      <w:ind w:firstLine="709"/>
    </w:pPr>
    <w:rPr>
      <w:rFonts w:ascii="Times New Roman" w:eastAsia="Times New Roman" w:hAnsi="Times New Roman" w:cs="Times New Roman"/>
      <w:sz w:val="28"/>
      <w:szCs w:val="28"/>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Сетка таблицы9"/>
    <w:basedOn w:val="a4"/>
    <w:next w:val="af0"/>
    <w:uiPriority w:val="59"/>
    <w:rsid w:val="003C1952"/>
    <w:pPr>
      <w:spacing w:after="0" w:line="240" w:lineRule="auto"/>
      <w:ind w:firstLine="709"/>
      <w:jc w:val="both"/>
    </w:pPr>
    <w:rPr>
      <w:rFonts w:ascii="Times New Roman" w:hAnsi="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8">
    <w:name w:val="Знак1"/>
    <w:basedOn w:val="a2"/>
    <w:uiPriority w:val="99"/>
    <w:rsid w:val="003C1952"/>
    <w:pPr>
      <w:spacing w:before="60" w:after="0" w:line="240" w:lineRule="exact"/>
    </w:pPr>
    <w:rPr>
      <w:rFonts w:ascii="Verdana" w:eastAsia="Times New Roman" w:hAnsi="Verdana" w:cs="Verdana"/>
      <w:sz w:val="20"/>
      <w:szCs w:val="20"/>
      <w:lang w:val="en-US"/>
    </w:rPr>
  </w:style>
  <w:style w:type="paragraph" w:customStyle="1" w:styleId="western">
    <w:name w:val="western"/>
    <w:basedOn w:val="a2"/>
    <w:rsid w:val="003C195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44">
    <w:name w:val="Основний текст (4)_"/>
    <w:link w:val="45"/>
    <w:rsid w:val="00DB21A5"/>
    <w:rPr>
      <w:rFonts w:ascii="Dotum" w:eastAsia="Dotum" w:hAnsi="Dotum" w:cs="Dotum"/>
      <w:sz w:val="25"/>
      <w:szCs w:val="25"/>
      <w:shd w:val="clear" w:color="auto" w:fill="FFFFFF"/>
    </w:rPr>
  </w:style>
  <w:style w:type="character" w:customStyle="1" w:styleId="29">
    <w:name w:val="Основний текст (2)_"/>
    <w:link w:val="2a"/>
    <w:rsid w:val="00DB21A5"/>
    <w:rPr>
      <w:sz w:val="23"/>
      <w:szCs w:val="23"/>
      <w:shd w:val="clear" w:color="auto" w:fill="FFFFFF"/>
    </w:rPr>
  </w:style>
  <w:style w:type="character" w:customStyle="1" w:styleId="63">
    <w:name w:val="Основний текст (6)_"/>
    <w:link w:val="64"/>
    <w:rsid w:val="00DB21A5"/>
    <w:rPr>
      <w:sz w:val="29"/>
      <w:szCs w:val="29"/>
      <w:shd w:val="clear" w:color="auto" w:fill="FFFFFF"/>
    </w:rPr>
  </w:style>
  <w:style w:type="paragraph" w:customStyle="1" w:styleId="45">
    <w:name w:val="Основний текст (4)"/>
    <w:basedOn w:val="a2"/>
    <w:link w:val="44"/>
    <w:rsid w:val="00DB21A5"/>
    <w:pPr>
      <w:shd w:val="clear" w:color="auto" w:fill="FFFFFF"/>
      <w:spacing w:before="120" w:after="0" w:line="0" w:lineRule="atLeast"/>
    </w:pPr>
    <w:rPr>
      <w:rFonts w:ascii="Dotum" w:eastAsia="Dotum" w:hAnsi="Dotum" w:cs="Dotum"/>
      <w:sz w:val="25"/>
      <w:szCs w:val="25"/>
    </w:rPr>
  </w:style>
  <w:style w:type="paragraph" w:customStyle="1" w:styleId="2a">
    <w:name w:val="Основний текст (2)"/>
    <w:basedOn w:val="a2"/>
    <w:link w:val="29"/>
    <w:rsid w:val="00DB21A5"/>
    <w:pPr>
      <w:shd w:val="clear" w:color="auto" w:fill="FFFFFF"/>
      <w:spacing w:after="0" w:line="0" w:lineRule="atLeast"/>
    </w:pPr>
    <w:rPr>
      <w:sz w:val="23"/>
      <w:szCs w:val="23"/>
    </w:rPr>
  </w:style>
  <w:style w:type="paragraph" w:customStyle="1" w:styleId="64">
    <w:name w:val="Основний текст (6)"/>
    <w:basedOn w:val="a2"/>
    <w:link w:val="63"/>
    <w:rsid w:val="00DB21A5"/>
    <w:pPr>
      <w:shd w:val="clear" w:color="auto" w:fill="FFFFFF"/>
      <w:spacing w:before="2160" w:after="0" w:line="96" w:lineRule="exact"/>
      <w:jc w:val="right"/>
    </w:pPr>
    <w:rPr>
      <w:sz w:val="29"/>
      <w:szCs w:val="29"/>
    </w:rPr>
  </w:style>
  <w:style w:type="character" w:customStyle="1" w:styleId="httpsbankgovuauanewsallzvit-pro-finansovu-stabilnist-cherven-2022-roku">
    <w:name w:val="https://bank.gov.ua/ua/news/all/zvit-pro-finansovu-stabilnist-cherven-2022-roku"/>
    <w:basedOn w:val="a3"/>
    <w:rsid w:val="00DB21A5"/>
  </w:style>
  <w:style w:type="paragraph" w:customStyle="1" w:styleId="211">
    <w:name w:val="Основной текст 21"/>
    <w:basedOn w:val="a2"/>
    <w:rsid w:val="00DB21A5"/>
    <w:pPr>
      <w:spacing w:after="0" w:line="240" w:lineRule="auto"/>
      <w:ind w:left="360"/>
    </w:pPr>
    <w:rPr>
      <w:rFonts w:ascii="Times New Roman" w:eastAsia="Times New Roman" w:hAnsi="Times New Roman" w:cs="Times New Roman"/>
      <w:sz w:val="24"/>
      <w:szCs w:val="20"/>
      <w:lang w:val="uk-UA" w:eastAsia="ru-RU"/>
    </w:rPr>
  </w:style>
  <w:style w:type="paragraph" w:customStyle="1" w:styleId="220">
    <w:name w:val="Основной текст 22"/>
    <w:basedOn w:val="a2"/>
    <w:rsid w:val="00DB21A5"/>
    <w:pPr>
      <w:spacing w:after="0" w:line="240" w:lineRule="auto"/>
      <w:ind w:left="360"/>
    </w:pPr>
    <w:rPr>
      <w:rFonts w:ascii="Times New Roman" w:eastAsia="Times New Roman" w:hAnsi="Times New Roman" w:cs="Times New Roman"/>
      <w:sz w:val="24"/>
      <w:szCs w:val="20"/>
      <w:lang w:val="uk-UA" w:eastAsia="ru-RU"/>
    </w:rPr>
  </w:style>
  <w:style w:type="paragraph" w:customStyle="1" w:styleId="afff8">
    <w:name w:val="Абзац списку"/>
    <w:basedOn w:val="a2"/>
    <w:qFormat/>
    <w:rsid w:val="00DB21A5"/>
    <w:pPr>
      <w:tabs>
        <w:tab w:val="left" w:pos="0"/>
      </w:tabs>
      <w:spacing w:after="200" w:line="360" w:lineRule="auto"/>
      <w:ind w:left="-567" w:firstLine="567"/>
      <w:contextualSpacing/>
      <w:jc w:val="both"/>
    </w:pPr>
    <w:rPr>
      <w:rFonts w:ascii="Times New Roman" w:eastAsia="Times New Roman" w:hAnsi="Times New Roman" w:cs="Times New Roman"/>
      <w:color w:val="000000"/>
      <w:sz w:val="28"/>
      <w:szCs w:val="28"/>
      <w:lang w:val="uk-UA"/>
    </w:rPr>
  </w:style>
  <w:style w:type="character" w:customStyle="1" w:styleId="apple-converted-space">
    <w:name w:val="apple-converted-space"/>
    <w:rsid w:val="00DB21A5"/>
    <w:rPr>
      <w:rFonts w:cs="Times New Roman"/>
    </w:rPr>
  </w:style>
  <w:style w:type="paragraph" w:styleId="afff9">
    <w:name w:val="Title"/>
    <w:basedOn w:val="a2"/>
    <w:next w:val="a2"/>
    <w:link w:val="afffa"/>
    <w:qFormat/>
    <w:rsid w:val="00DB21A5"/>
    <w:pPr>
      <w:widowControl w:val="0"/>
      <w:spacing w:after="0" w:line="240" w:lineRule="auto"/>
      <w:jc w:val="center"/>
    </w:pPr>
    <w:rPr>
      <w:rFonts w:ascii="Verdana" w:eastAsia="Times New Roman" w:hAnsi="Verdana" w:cs="Times New Roman"/>
      <w:b/>
      <w:sz w:val="36"/>
      <w:szCs w:val="20"/>
      <w:lang w:val="en-US"/>
    </w:rPr>
  </w:style>
  <w:style w:type="character" w:customStyle="1" w:styleId="afffa">
    <w:name w:val="Заголовок Знак"/>
    <w:basedOn w:val="a3"/>
    <w:link w:val="afff9"/>
    <w:rsid w:val="00DB21A5"/>
    <w:rPr>
      <w:rFonts w:ascii="Verdana" w:eastAsia="Times New Roman" w:hAnsi="Verdana" w:cs="Times New Roman"/>
      <w:b/>
      <w:sz w:val="36"/>
      <w:szCs w:val="20"/>
      <w:lang w:val="en-US"/>
    </w:rPr>
  </w:style>
  <w:style w:type="paragraph" w:customStyle="1" w:styleId="Style14">
    <w:name w:val="Style14"/>
    <w:basedOn w:val="a2"/>
    <w:uiPriority w:val="99"/>
    <w:rsid w:val="00DB21A5"/>
    <w:pPr>
      <w:widowControl w:val="0"/>
      <w:autoSpaceDE w:val="0"/>
      <w:autoSpaceDN w:val="0"/>
      <w:adjustRightInd w:val="0"/>
      <w:spacing w:after="0" w:line="482" w:lineRule="exact"/>
      <w:ind w:firstLine="706"/>
      <w:jc w:val="both"/>
    </w:pPr>
    <w:rPr>
      <w:rFonts w:ascii="Times New Roman" w:eastAsiaTheme="minorEastAsia" w:hAnsi="Times New Roman" w:cs="Times New Roman"/>
      <w:sz w:val="24"/>
      <w:szCs w:val="24"/>
      <w:lang w:eastAsia="ru-RU"/>
    </w:rPr>
  </w:style>
  <w:style w:type="character" w:customStyle="1" w:styleId="FontStyle115">
    <w:name w:val="Font Style115"/>
    <w:basedOn w:val="a3"/>
    <w:uiPriority w:val="99"/>
    <w:rsid w:val="00DB21A5"/>
    <w:rPr>
      <w:rFonts w:ascii="Times New Roman" w:hAnsi="Times New Roman" w:cs="Times New Roman"/>
      <w:sz w:val="24"/>
      <w:szCs w:val="24"/>
    </w:rPr>
  </w:style>
  <w:style w:type="paragraph" w:customStyle="1" w:styleId="19">
    <w:name w:val="1"/>
    <w:basedOn w:val="a2"/>
    <w:next w:val="afd"/>
    <w:uiPriority w:val="99"/>
    <w:unhideWhenUsed/>
    <w:rsid w:val="0022259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ffb">
    <w:name w:val="No Spacing"/>
    <w:link w:val="afffc"/>
    <w:uiPriority w:val="1"/>
    <w:qFormat/>
    <w:rsid w:val="00FF64AB"/>
    <w:pPr>
      <w:spacing w:after="0" w:line="240" w:lineRule="auto"/>
    </w:pPr>
    <w:rPr>
      <w:rFonts w:eastAsiaTheme="minorEastAsia"/>
      <w:lang w:eastAsia="ru-RU"/>
    </w:rPr>
  </w:style>
  <w:style w:type="character" w:customStyle="1" w:styleId="afffc">
    <w:name w:val="Без интервала Знак"/>
    <w:basedOn w:val="a3"/>
    <w:link w:val="afffb"/>
    <w:uiPriority w:val="1"/>
    <w:rsid w:val="00FF64AB"/>
    <w:rPr>
      <w:rFonts w:eastAsiaTheme="minorEastAsia"/>
      <w:lang w:eastAsia="ru-RU"/>
    </w:rPr>
  </w:style>
  <w:style w:type="character" w:customStyle="1" w:styleId="highlight">
    <w:name w:val="highlight"/>
    <w:basedOn w:val="a3"/>
    <w:rsid w:val="002B5CC7"/>
  </w:style>
  <w:style w:type="character" w:customStyle="1" w:styleId="UnresolvedMention">
    <w:name w:val="Unresolved Mention"/>
    <w:basedOn w:val="a3"/>
    <w:uiPriority w:val="99"/>
    <w:semiHidden/>
    <w:unhideWhenUsed/>
    <w:rsid w:val="00EF3984"/>
    <w:rPr>
      <w:color w:val="605E5C"/>
      <w:shd w:val="clear" w:color="auto" w:fill="E1DFDD"/>
    </w:rPr>
  </w:style>
  <w:style w:type="character" w:customStyle="1" w:styleId="bold">
    <w:name w:val="bold"/>
    <w:basedOn w:val="a3"/>
    <w:rsid w:val="00312CC5"/>
  </w:style>
  <w:style w:type="character" w:customStyle="1" w:styleId="rvts46">
    <w:name w:val="rvts46"/>
    <w:basedOn w:val="a3"/>
    <w:rsid w:val="005652C9"/>
  </w:style>
  <w:style w:type="paragraph" w:customStyle="1" w:styleId="p131">
    <w:name w:val="p131"/>
    <w:basedOn w:val="a2"/>
    <w:rsid w:val="003C79F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61">
    <w:name w:val="ft61"/>
    <w:basedOn w:val="a3"/>
    <w:rsid w:val="003C79FE"/>
  </w:style>
  <w:style w:type="character" w:customStyle="1" w:styleId="ft63">
    <w:name w:val="ft63"/>
    <w:basedOn w:val="a3"/>
    <w:rsid w:val="003C79FE"/>
  </w:style>
  <w:style w:type="paragraph" w:customStyle="1" w:styleId="p133">
    <w:name w:val="p133"/>
    <w:basedOn w:val="a2"/>
    <w:rsid w:val="003C79F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34">
    <w:name w:val="p134"/>
    <w:basedOn w:val="a2"/>
    <w:rsid w:val="003C79F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36">
    <w:name w:val="p136"/>
    <w:basedOn w:val="a2"/>
    <w:rsid w:val="003C79F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37">
    <w:name w:val="p137"/>
    <w:basedOn w:val="a2"/>
    <w:rsid w:val="003C79F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45">
    <w:name w:val="p145"/>
    <w:basedOn w:val="a2"/>
    <w:rsid w:val="003C79F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40984">
      <w:bodyDiv w:val="1"/>
      <w:marLeft w:val="0"/>
      <w:marRight w:val="0"/>
      <w:marTop w:val="0"/>
      <w:marBottom w:val="0"/>
      <w:divBdr>
        <w:top w:val="none" w:sz="0" w:space="0" w:color="auto"/>
        <w:left w:val="none" w:sz="0" w:space="0" w:color="auto"/>
        <w:bottom w:val="none" w:sz="0" w:space="0" w:color="auto"/>
        <w:right w:val="none" w:sz="0" w:space="0" w:color="auto"/>
      </w:divBdr>
    </w:div>
    <w:div w:id="60834746">
      <w:bodyDiv w:val="1"/>
      <w:marLeft w:val="0"/>
      <w:marRight w:val="0"/>
      <w:marTop w:val="0"/>
      <w:marBottom w:val="0"/>
      <w:divBdr>
        <w:top w:val="none" w:sz="0" w:space="0" w:color="auto"/>
        <w:left w:val="none" w:sz="0" w:space="0" w:color="auto"/>
        <w:bottom w:val="none" w:sz="0" w:space="0" w:color="auto"/>
        <w:right w:val="none" w:sz="0" w:space="0" w:color="auto"/>
      </w:divBdr>
    </w:div>
    <w:div w:id="137768958">
      <w:bodyDiv w:val="1"/>
      <w:marLeft w:val="0"/>
      <w:marRight w:val="0"/>
      <w:marTop w:val="0"/>
      <w:marBottom w:val="0"/>
      <w:divBdr>
        <w:top w:val="none" w:sz="0" w:space="0" w:color="auto"/>
        <w:left w:val="none" w:sz="0" w:space="0" w:color="auto"/>
        <w:bottom w:val="none" w:sz="0" w:space="0" w:color="auto"/>
        <w:right w:val="none" w:sz="0" w:space="0" w:color="auto"/>
      </w:divBdr>
    </w:div>
    <w:div w:id="213782386">
      <w:bodyDiv w:val="1"/>
      <w:marLeft w:val="0"/>
      <w:marRight w:val="0"/>
      <w:marTop w:val="0"/>
      <w:marBottom w:val="0"/>
      <w:divBdr>
        <w:top w:val="none" w:sz="0" w:space="0" w:color="auto"/>
        <w:left w:val="none" w:sz="0" w:space="0" w:color="auto"/>
        <w:bottom w:val="none" w:sz="0" w:space="0" w:color="auto"/>
        <w:right w:val="none" w:sz="0" w:space="0" w:color="auto"/>
      </w:divBdr>
      <w:divsChild>
        <w:div w:id="990445857">
          <w:marLeft w:val="0"/>
          <w:marRight w:val="0"/>
          <w:marTop w:val="0"/>
          <w:marBottom w:val="0"/>
          <w:divBdr>
            <w:top w:val="none" w:sz="0" w:space="0" w:color="auto"/>
            <w:left w:val="none" w:sz="0" w:space="0" w:color="auto"/>
            <w:bottom w:val="none" w:sz="0" w:space="0" w:color="auto"/>
            <w:right w:val="none" w:sz="0" w:space="0" w:color="auto"/>
          </w:divBdr>
        </w:div>
      </w:divsChild>
    </w:div>
    <w:div w:id="566653993">
      <w:bodyDiv w:val="1"/>
      <w:marLeft w:val="0"/>
      <w:marRight w:val="0"/>
      <w:marTop w:val="0"/>
      <w:marBottom w:val="0"/>
      <w:divBdr>
        <w:top w:val="none" w:sz="0" w:space="0" w:color="auto"/>
        <w:left w:val="none" w:sz="0" w:space="0" w:color="auto"/>
        <w:bottom w:val="none" w:sz="0" w:space="0" w:color="auto"/>
        <w:right w:val="none" w:sz="0" w:space="0" w:color="auto"/>
      </w:divBdr>
    </w:div>
    <w:div w:id="572930184">
      <w:bodyDiv w:val="1"/>
      <w:marLeft w:val="0"/>
      <w:marRight w:val="0"/>
      <w:marTop w:val="0"/>
      <w:marBottom w:val="0"/>
      <w:divBdr>
        <w:top w:val="none" w:sz="0" w:space="0" w:color="auto"/>
        <w:left w:val="none" w:sz="0" w:space="0" w:color="auto"/>
        <w:bottom w:val="none" w:sz="0" w:space="0" w:color="auto"/>
        <w:right w:val="none" w:sz="0" w:space="0" w:color="auto"/>
      </w:divBdr>
    </w:div>
    <w:div w:id="648285704">
      <w:bodyDiv w:val="1"/>
      <w:marLeft w:val="0"/>
      <w:marRight w:val="0"/>
      <w:marTop w:val="0"/>
      <w:marBottom w:val="0"/>
      <w:divBdr>
        <w:top w:val="none" w:sz="0" w:space="0" w:color="auto"/>
        <w:left w:val="none" w:sz="0" w:space="0" w:color="auto"/>
        <w:bottom w:val="none" w:sz="0" w:space="0" w:color="auto"/>
        <w:right w:val="none" w:sz="0" w:space="0" w:color="auto"/>
      </w:divBdr>
    </w:div>
    <w:div w:id="773477500">
      <w:bodyDiv w:val="1"/>
      <w:marLeft w:val="0"/>
      <w:marRight w:val="0"/>
      <w:marTop w:val="0"/>
      <w:marBottom w:val="0"/>
      <w:divBdr>
        <w:top w:val="none" w:sz="0" w:space="0" w:color="auto"/>
        <w:left w:val="none" w:sz="0" w:space="0" w:color="auto"/>
        <w:bottom w:val="none" w:sz="0" w:space="0" w:color="auto"/>
        <w:right w:val="none" w:sz="0" w:space="0" w:color="auto"/>
      </w:divBdr>
    </w:div>
    <w:div w:id="797186931">
      <w:bodyDiv w:val="1"/>
      <w:marLeft w:val="0"/>
      <w:marRight w:val="0"/>
      <w:marTop w:val="0"/>
      <w:marBottom w:val="0"/>
      <w:divBdr>
        <w:top w:val="none" w:sz="0" w:space="0" w:color="auto"/>
        <w:left w:val="none" w:sz="0" w:space="0" w:color="auto"/>
        <w:bottom w:val="none" w:sz="0" w:space="0" w:color="auto"/>
        <w:right w:val="none" w:sz="0" w:space="0" w:color="auto"/>
      </w:divBdr>
    </w:div>
    <w:div w:id="1030305457">
      <w:bodyDiv w:val="1"/>
      <w:marLeft w:val="0"/>
      <w:marRight w:val="0"/>
      <w:marTop w:val="0"/>
      <w:marBottom w:val="0"/>
      <w:divBdr>
        <w:top w:val="none" w:sz="0" w:space="0" w:color="auto"/>
        <w:left w:val="none" w:sz="0" w:space="0" w:color="auto"/>
        <w:bottom w:val="none" w:sz="0" w:space="0" w:color="auto"/>
        <w:right w:val="none" w:sz="0" w:space="0" w:color="auto"/>
      </w:divBdr>
    </w:div>
    <w:div w:id="1116486376">
      <w:bodyDiv w:val="1"/>
      <w:marLeft w:val="0"/>
      <w:marRight w:val="0"/>
      <w:marTop w:val="0"/>
      <w:marBottom w:val="0"/>
      <w:divBdr>
        <w:top w:val="none" w:sz="0" w:space="0" w:color="auto"/>
        <w:left w:val="none" w:sz="0" w:space="0" w:color="auto"/>
        <w:bottom w:val="none" w:sz="0" w:space="0" w:color="auto"/>
        <w:right w:val="none" w:sz="0" w:space="0" w:color="auto"/>
      </w:divBdr>
    </w:div>
    <w:div w:id="1146315620">
      <w:bodyDiv w:val="1"/>
      <w:marLeft w:val="0"/>
      <w:marRight w:val="0"/>
      <w:marTop w:val="0"/>
      <w:marBottom w:val="0"/>
      <w:divBdr>
        <w:top w:val="none" w:sz="0" w:space="0" w:color="auto"/>
        <w:left w:val="none" w:sz="0" w:space="0" w:color="auto"/>
        <w:bottom w:val="none" w:sz="0" w:space="0" w:color="auto"/>
        <w:right w:val="none" w:sz="0" w:space="0" w:color="auto"/>
      </w:divBdr>
    </w:div>
    <w:div w:id="1198737293">
      <w:bodyDiv w:val="1"/>
      <w:marLeft w:val="0"/>
      <w:marRight w:val="0"/>
      <w:marTop w:val="0"/>
      <w:marBottom w:val="0"/>
      <w:divBdr>
        <w:top w:val="none" w:sz="0" w:space="0" w:color="auto"/>
        <w:left w:val="none" w:sz="0" w:space="0" w:color="auto"/>
        <w:bottom w:val="none" w:sz="0" w:space="0" w:color="auto"/>
        <w:right w:val="none" w:sz="0" w:space="0" w:color="auto"/>
      </w:divBdr>
    </w:div>
    <w:div w:id="1234513210">
      <w:bodyDiv w:val="1"/>
      <w:marLeft w:val="0"/>
      <w:marRight w:val="0"/>
      <w:marTop w:val="0"/>
      <w:marBottom w:val="0"/>
      <w:divBdr>
        <w:top w:val="none" w:sz="0" w:space="0" w:color="auto"/>
        <w:left w:val="none" w:sz="0" w:space="0" w:color="auto"/>
        <w:bottom w:val="none" w:sz="0" w:space="0" w:color="auto"/>
        <w:right w:val="none" w:sz="0" w:space="0" w:color="auto"/>
      </w:divBdr>
    </w:div>
    <w:div w:id="1323198301">
      <w:bodyDiv w:val="1"/>
      <w:marLeft w:val="0"/>
      <w:marRight w:val="0"/>
      <w:marTop w:val="0"/>
      <w:marBottom w:val="0"/>
      <w:divBdr>
        <w:top w:val="none" w:sz="0" w:space="0" w:color="auto"/>
        <w:left w:val="none" w:sz="0" w:space="0" w:color="auto"/>
        <w:bottom w:val="none" w:sz="0" w:space="0" w:color="auto"/>
        <w:right w:val="none" w:sz="0" w:space="0" w:color="auto"/>
      </w:divBdr>
    </w:div>
    <w:div w:id="1518498588">
      <w:bodyDiv w:val="1"/>
      <w:marLeft w:val="0"/>
      <w:marRight w:val="0"/>
      <w:marTop w:val="0"/>
      <w:marBottom w:val="0"/>
      <w:divBdr>
        <w:top w:val="none" w:sz="0" w:space="0" w:color="auto"/>
        <w:left w:val="none" w:sz="0" w:space="0" w:color="auto"/>
        <w:bottom w:val="none" w:sz="0" w:space="0" w:color="auto"/>
        <w:right w:val="none" w:sz="0" w:space="0" w:color="auto"/>
      </w:divBdr>
    </w:div>
    <w:div w:id="1544100668">
      <w:bodyDiv w:val="1"/>
      <w:marLeft w:val="0"/>
      <w:marRight w:val="0"/>
      <w:marTop w:val="0"/>
      <w:marBottom w:val="0"/>
      <w:divBdr>
        <w:top w:val="none" w:sz="0" w:space="0" w:color="auto"/>
        <w:left w:val="none" w:sz="0" w:space="0" w:color="auto"/>
        <w:bottom w:val="none" w:sz="0" w:space="0" w:color="auto"/>
        <w:right w:val="none" w:sz="0" w:space="0" w:color="auto"/>
      </w:divBdr>
    </w:div>
    <w:div w:id="18046166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fontTable" Target="fontTable.xml"/><Relationship Id="rId21" Type="http://schemas.openxmlformats.org/officeDocument/2006/relationships/image" Target="media/image3.png"/><Relationship Id="rId68" Type="http://schemas.openxmlformats.org/officeDocument/2006/relationships/image" Target="media/image9.png"/><Relationship Id="rId84" Type="http://schemas.openxmlformats.org/officeDocument/2006/relationships/chart" Target="charts/chart7.xml"/><Relationship Id="rId89" Type="http://schemas.openxmlformats.org/officeDocument/2006/relationships/image" Target="media/image8.gif"/><Relationship Id="rId112" Type="http://schemas.microsoft.com/office/2007/relationships/hdphoto" Target="media/hdphoto1.wdp"/><Relationship Id="rId16" Type="http://schemas.openxmlformats.org/officeDocument/2006/relationships/header" Target="header3.xml"/><Relationship Id="rId107" Type="http://schemas.openxmlformats.org/officeDocument/2006/relationships/hyperlink" Target="https://static.privatbank.ua/files/acpbua/Separate%20UKR_PB%202016.pdf" TargetMode="External"/><Relationship Id="rId11" Type="http://schemas.openxmlformats.org/officeDocument/2006/relationships/header" Target="header1.xml"/><Relationship Id="rId24" Type="http://schemas.openxmlformats.org/officeDocument/2006/relationships/image" Target="media/image6.png"/><Relationship Id="rId66" Type="http://schemas.openxmlformats.org/officeDocument/2006/relationships/image" Target="media/image7.gif"/><Relationship Id="rId74" Type="http://schemas.openxmlformats.org/officeDocument/2006/relationships/image" Target="media/image7.emf"/><Relationship Id="rId79" Type="http://schemas.openxmlformats.org/officeDocument/2006/relationships/chart" Target="charts/chart2.xml"/><Relationship Id="rId87" Type="http://schemas.openxmlformats.org/officeDocument/2006/relationships/chart" Target="charts/chart10.xml"/><Relationship Id="rId102" Type="http://schemas.openxmlformats.org/officeDocument/2006/relationships/hyperlink" Target="https://sumdu-my.sharepoint.com/personal/o_kryklii_ms_sumdu_edu_ua/Documents/&#160;http:/www.imf.org/external/np/speeches/2003/040803.htm" TargetMode="External"/><Relationship Id="rId110" Type="http://schemas.openxmlformats.org/officeDocument/2006/relationships/header" Target="header6.xml"/><Relationship Id="rId115" Type="http://schemas.openxmlformats.org/officeDocument/2006/relationships/header" Target="header8.xml"/><Relationship Id="rId5" Type="http://schemas.openxmlformats.org/officeDocument/2006/relationships/numbering" Target="numbering.xml"/><Relationship Id="rId82" Type="http://schemas.openxmlformats.org/officeDocument/2006/relationships/chart" Target="charts/chart5.xml"/><Relationship Id="rId90" Type="http://schemas.openxmlformats.org/officeDocument/2006/relationships/image" Target="media/image9.gif"/><Relationship Id="rId95" Type="http://schemas.openxmlformats.org/officeDocument/2006/relationships/chart" Target="charts/chart14.xml"/><Relationship Id="rId19" Type="http://schemas.openxmlformats.org/officeDocument/2006/relationships/image" Target="media/image2.gif"/><Relationship Id="rId14" Type="http://schemas.openxmlformats.org/officeDocument/2006/relationships/hyperlink" Target="https://www.google.com/trends" TargetMode="External"/><Relationship Id="rId22" Type="http://schemas.openxmlformats.org/officeDocument/2006/relationships/image" Target="media/image4.png"/><Relationship Id="rId69" Type="http://schemas.openxmlformats.org/officeDocument/2006/relationships/image" Target="media/image10.png"/><Relationship Id="rId77" Type="http://schemas.openxmlformats.org/officeDocument/2006/relationships/footer" Target="footer4.xml"/><Relationship Id="rId100" Type="http://schemas.openxmlformats.org/officeDocument/2006/relationships/image" Target="media/image12.gif"/><Relationship Id="rId105" Type="http://schemas.openxmlformats.org/officeDocument/2006/relationships/hyperlink" Target="https://bank.gov.ua/" TargetMode="External"/><Relationship Id="rId113" Type="http://schemas.openxmlformats.org/officeDocument/2006/relationships/header" Target="header7.xml"/><Relationship Id="rId118" Type="http://schemas.openxmlformats.org/officeDocument/2006/relationships/theme" Target="theme/theme1.xml"/><Relationship Id="rId8" Type="http://schemas.openxmlformats.org/officeDocument/2006/relationships/webSettings" Target="webSettings.xml"/><Relationship Id="rId72" Type="http://schemas.openxmlformats.org/officeDocument/2006/relationships/header" Target="header4.xml"/><Relationship Id="rId80" Type="http://schemas.openxmlformats.org/officeDocument/2006/relationships/chart" Target="charts/chart3.xml"/><Relationship Id="rId85" Type="http://schemas.openxmlformats.org/officeDocument/2006/relationships/chart" Target="charts/chart8.xml"/><Relationship Id="rId93" Type="http://schemas.openxmlformats.org/officeDocument/2006/relationships/chart" Target="charts/chart12.xml"/><Relationship Id="rId98" Type="http://schemas.openxmlformats.org/officeDocument/2006/relationships/chart" Target="charts/chart17.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footer" Target="footer2.xml"/><Relationship Id="rId67" Type="http://schemas.openxmlformats.org/officeDocument/2006/relationships/image" Target="media/image8.png"/><Relationship Id="rId103" Type="http://schemas.openxmlformats.org/officeDocument/2006/relationships/hyperlink" Target="http://eztuir.ztu.edu.ua/123456789/5494" TargetMode="External"/><Relationship Id="rId108" Type="http://schemas.openxmlformats.org/officeDocument/2006/relationships/hyperlink" Target="https://static.privatbank.ua/files/PB_SepUkr_2019.04.23FINAL1.pdf" TargetMode="External"/><Relationship Id="rId116" Type="http://schemas.openxmlformats.org/officeDocument/2006/relationships/footer" Target="footer6.xml"/><Relationship Id="rId20" Type="http://schemas.openxmlformats.org/officeDocument/2006/relationships/image" Target="media/image2.png"/><Relationship Id="rId70" Type="http://schemas.openxmlformats.org/officeDocument/2006/relationships/image" Target="media/image11.png"/><Relationship Id="rId75" Type="http://schemas.openxmlformats.org/officeDocument/2006/relationships/package" Target="embeddings/_________Microsoft_Word.docx"/><Relationship Id="rId83" Type="http://schemas.openxmlformats.org/officeDocument/2006/relationships/chart" Target="charts/chart6.xml"/><Relationship Id="rId88" Type="http://schemas.openxmlformats.org/officeDocument/2006/relationships/chart" Target="charts/chart11.xml"/><Relationship Id="rId91" Type="http://schemas.openxmlformats.org/officeDocument/2006/relationships/image" Target="media/image10.gif"/><Relationship Id="rId96" Type="http://schemas.openxmlformats.org/officeDocument/2006/relationships/chart" Target="charts/chart15.xml"/><Relationship Id="rId111"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image" Target="media/image5.png"/><Relationship Id="rId106" Type="http://schemas.openxmlformats.org/officeDocument/2006/relationships/hyperlink" Target="https://bank.gov.ua/control/uk/publish/article?art_id=34661442" TargetMode="External"/><Relationship Id="rId114" Type="http://schemas.openxmlformats.org/officeDocument/2006/relationships/footer" Target="footer5.xml"/><Relationship Id="rId10" Type="http://schemas.openxmlformats.org/officeDocument/2006/relationships/endnotes" Target="endnotes.xml"/><Relationship Id="rId73" Type="http://schemas.openxmlformats.org/officeDocument/2006/relationships/footer" Target="footer3.xml"/><Relationship Id="rId78" Type="http://schemas.openxmlformats.org/officeDocument/2006/relationships/hyperlink" Target="https://zakon.rada.gov.ua/laws/show/v0059500-22" TargetMode="External"/><Relationship Id="rId81" Type="http://schemas.openxmlformats.org/officeDocument/2006/relationships/chart" Target="charts/chart4.xml"/><Relationship Id="rId86" Type="http://schemas.openxmlformats.org/officeDocument/2006/relationships/chart" Target="charts/chart9.xml"/><Relationship Id="rId94" Type="http://schemas.openxmlformats.org/officeDocument/2006/relationships/chart" Target="charts/chart13.xml"/><Relationship Id="rId99" Type="http://schemas.openxmlformats.org/officeDocument/2006/relationships/chart" Target="charts/chart18.xml"/><Relationship Id="rId101" Type="http://schemas.openxmlformats.org/officeDocument/2006/relationships/chart" Target="charts/chart19.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hart" Target="charts/chart1.xml"/><Relationship Id="rId18" Type="http://schemas.openxmlformats.org/officeDocument/2006/relationships/image" Target="media/image1.emf"/><Relationship Id="rId109" Type="http://schemas.openxmlformats.org/officeDocument/2006/relationships/hyperlink" Target="https://static.privatbank.ua/files/year_zvit_05_05.pdf" TargetMode="External"/><Relationship Id="rId76" Type="http://schemas.openxmlformats.org/officeDocument/2006/relationships/header" Target="header5.xml"/><Relationship Id="rId97" Type="http://schemas.openxmlformats.org/officeDocument/2006/relationships/chart" Target="charts/chart16.xml"/><Relationship Id="rId104" Type="http://schemas.openxmlformats.org/officeDocument/2006/relationships/hyperlink" Target="https://doi.org/10.32782/2524-0072/2022-45-11" TargetMode="External"/><Relationship Id="rId7" Type="http://schemas.openxmlformats.org/officeDocument/2006/relationships/settings" Target="settings.xml"/><Relationship Id="rId71" Type="http://schemas.openxmlformats.org/officeDocument/2006/relationships/image" Target="media/image12.png"/><Relationship Id="rId92" Type="http://schemas.openxmlformats.org/officeDocument/2006/relationships/image" Target="media/image11.gif"/><Relationship Id="rId2" Type="http://schemas.openxmlformats.org/officeDocument/2006/relationships/customXml" Target="../customXml/item2.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1053;&#1086;&#1074;&#1072;&#1103;%20&#1090;&#1072;&#1073;&#1083;&#1080;&#1094;&#1072;.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file:///C:\Users\proka\Downloads\3%20(version%201).xlsb.xlsx" TargetMode="External"/><Relationship Id="rId2" Type="http://schemas.microsoft.com/office/2011/relationships/chartColorStyle" Target="colors8.xml"/><Relationship Id="rId1" Type="http://schemas.microsoft.com/office/2011/relationships/chartStyle" Target="style8.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1051;&#1077;&#1085;&#1072;\Dropbox\&#1044;&#1048;&#1055;&#1051;&#1054;&#1052;&#1053;&#1048;&#1050;&#1048;%202020\fsi_table_1.xlsx" TargetMode="External"/><Relationship Id="rId2" Type="http://schemas.microsoft.com/office/2011/relationships/chartColorStyle" Target="colors9.xml"/><Relationship Id="rId1" Type="http://schemas.microsoft.com/office/2011/relationships/chartStyle" Target="style9.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proka\Dropbox\&#1044;&#1048;&#1055;&#1051;&#1054;&#1052;&#1053;&#1048;&#1050;&#1048;%202019\&#1087;&#1088;&#1080;&#1074;&#1072;&#1090;%202022.xlsx" TargetMode="External"/><Relationship Id="rId2" Type="http://schemas.microsoft.com/office/2011/relationships/chartColorStyle" Target="colors10.xml"/><Relationship Id="rId1" Type="http://schemas.microsoft.com/office/2011/relationships/chartStyle" Target="style10.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proka\Downloads\NPL_AO_2023-05-01.xlsx" TargetMode="External"/><Relationship Id="rId2" Type="http://schemas.microsoft.com/office/2011/relationships/chartColorStyle" Target="colors11.xml"/><Relationship Id="rId1" Type="http://schemas.microsoft.com/office/2011/relationships/chartStyle" Target="style11.xml"/></Relationships>
</file>

<file path=word/charts/_rels/chart14.xml.rels><?xml version="1.0" encoding="UTF-8" standalone="yes"?>
<Relationships xmlns="http://schemas.openxmlformats.org/package/2006/relationships"><Relationship Id="rId3" Type="http://schemas.openxmlformats.org/officeDocument/2006/relationships/oleObject" Target="https://sumdu-my.sharepoint.com/personal/o_kryklii_ms_sumdu_edu_ua/Documents/&#1087;&#1088;&#1080;&#1074;&#1072;&#1090;%202023%20&#1082;&#1072;&#1087;&#1080;&#1090;&#1072;&#1083;%20&#1088;&#1077;&#1089;&#1091;&#1088;&#1089;&#1080;.xlsx" TargetMode="External"/><Relationship Id="rId2" Type="http://schemas.microsoft.com/office/2011/relationships/chartColorStyle" Target="colors12.xml"/><Relationship Id="rId1" Type="http://schemas.microsoft.com/office/2011/relationships/chartStyle" Target="style12.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proka\Dropbox\&#1044;&#1048;&#1055;&#1051;&#1054;&#1052;&#1053;&#1048;&#1050;&#1048;%202019\&#1087;&#1088;&#1080;&#1074;&#1072;&#1090;%202022.xlsx" TargetMode="External"/><Relationship Id="rId2" Type="http://schemas.microsoft.com/office/2011/relationships/chartColorStyle" Target="colors13.xml"/><Relationship Id="rId1" Type="http://schemas.microsoft.com/office/2011/relationships/chartStyle" Target="style13.xml"/></Relationships>
</file>

<file path=word/charts/_rels/chart16.xml.rels><?xml version="1.0" encoding="UTF-8" standalone="yes"?>
<Relationships xmlns="http://schemas.openxmlformats.org/package/2006/relationships"><Relationship Id="rId3" Type="http://schemas.openxmlformats.org/officeDocument/2006/relationships/oleObject" Target="https://sumdu-my.sharepoint.com/personal/o_kryklii_ms_sumdu_edu_ua/Documents/&#1087;&#1088;&#1080;&#1074;&#1072;&#1090;%202023%20&#1082;&#1072;&#1087;&#1080;&#1090;&#1072;&#1083;%20&#1088;&#1077;&#1089;&#1091;&#1088;&#1089;&#1080;.xlsx" TargetMode="External"/><Relationship Id="rId2" Type="http://schemas.microsoft.com/office/2011/relationships/chartColorStyle" Target="colors14.xml"/><Relationship Id="rId1" Type="http://schemas.microsoft.com/office/2011/relationships/chartStyle" Target="style14.xml"/></Relationships>
</file>

<file path=word/charts/_rels/chart17.xml.rels><?xml version="1.0" encoding="UTF-8" standalone="yes"?>
<Relationships xmlns="http://schemas.openxmlformats.org/package/2006/relationships"><Relationship Id="rId3" Type="http://schemas.openxmlformats.org/officeDocument/2006/relationships/oleObject" Target="https://sumdu-my.sharepoint.com/personal/o_kryklii_ms_sumdu_edu_ua/Documents/&#1087;&#1088;&#1080;&#1074;&#1072;&#1090;%202023%20&#1082;&#1072;&#1087;&#1080;&#1090;&#1072;&#1083;%20&#1088;&#1077;&#1089;&#1091;&#1088;&#1089;&#1080;.xlsx" TargetMode="External"/><Relationship Id="rId2" Type="http://schemas.microsoft.com/office/2011/relationships/chartColorStyle" Target="colors15.xml"/><Relationship Id="rId1" Type="http://schemas.microsoft.com/office/2011/relationships/chartStyle" Target="style15.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proka\Dropbox\&#1044;&#1048;&#1055;&#1051;&#1054;&#1052;&#1053;&#1048;&#1050;&#1048;%202019\&#1072;&#1085;&#1072;&#1083;&#1080;&#1079;%20&#1073;&#1072;&#1085;&#1082;%20&#1087;&#1088;&#1080;&#1074;&#1072;&#1090;%202022%20(&#1040;&#1074;&#1090;&#1086;&#1089;&#1086;&#1093;&#1088;&#1072;&#1085;&#1077;&#1085;&#1085;&#1099;&#1081;).xlsx" TargetMode="External"/><Relationship Id="rId2" Type="http://schemas.microsoft.com/office/2011/relationships/chartColorStyle" Target="colors16.xml"/><Relationship Id="rId1" Type="http://schemas.microsoft.com/office/2011/relationships/chartStyle" Target="style16.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proka\Dropbox\&#1055;&#1054;&#1044;&#1056;&#1040;&#1041;&#1054;&#1058;&#1050;&#1040;%2023\Z%20&#1087;&#1088;&#1080;&#1074;&#1072;&#1090;.xlsx" TargetMode="External"/><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oleObject" Target="file:///D:\fsi_table_1.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proka\Downloads\NPL_AO_2023-05-01.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1051;&#1077;&#1085;&#1072;\Dropbox\&#1044;&#1048;&#1055;&#1051;&#1054;&#1052;&#1053;&#1048;&#1050;&#1048;%202020\fsi_table_1.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1051;&#1077;&#1085;&#1072;\Dropbox\&#1044;&#1048;&#1055;&#1051;&#1054;&#1052;&#1053;&#1048;&#1050;&#1048;%202020\fsi_table_1.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proka\Downloads\Inc_Exp_Banks_2023-05-01.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1" Type="http://schemas.openxmlformats.org/officeDocument/2006/relationships/oleObject" Target="file:///C:\Users\&#1051;&#1077;&#1085;&#1072;\Dropbox\&#1044;&#1048;&#1055;&#1051;&#1054;&#1052;&#1053;&#1048;&#1050;&#1048;%202020\fsi_table_1.xlsx" TargetMode="External"/></Relationships>
</file>

<file path=word/charts/_rels/chart8.xml.rels><?xml version="1.0" encoding="UTF-8" standalone="yes"?>
<Relationships xmlns="http://schemas.openxmlformats.org/package/2006/relationships"><Relationship Id="rId3" Type="http://schemas.openxmlformats.org/officeDocument/2006/relationships/oleObject" Target="file:///C:\Users\proka\Downloads\FSR_2022-H2%20(4).xlsx" TargetMode="Externa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chartUserShapes" Target="../drawings/drawing2.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proka\Downloads\3%20(version%201).xlsb.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7.2034865622081556E-2"/>
          <c:y val="3.468569361381147E-2"/>
          <c:w val="0.85593026875583689"/>
          <c:h val="0.7053532531307487"/>
        </c:manualLayout>
      </c:layout>
      <c:areaChart>
        <c:grouping val="standard"/>
        <c:varyColors val="0"/>
        <c:ser>
          <c:idx val="1"/>
          <c:order val="1"/>
          <c:tx>
            <c:strRef>
              <c:f>'multiTimeline (2)'!$C$3</c:f>
              <c:strCache>
                <c:ptCount val="1"/>
                <c:pt idx="0">
                  <c:v>Світ</c:v>
                </c:pt>
              </c:strCache>
            </c:strRef>
          </c:tx>
          <c:cat>
            <c:numRef>
              <c:f>'multiTimeline (2)'!$A$4:$A$228</c:f>
              <c:numCache>
                <c:formatCode>yyyy\-mm</c:formatCode>
                <c:ptCount val="225"/>
                <c:pt idx="0">
                  <c:v>37987</c:v>
                </c:pt>
                <c:pt idx="1">
                  <c:v>38018</c:v>
                </c:pt>
                <c:pt idx="2">
                  <c:v>38047</c:v>
                </c:pt>
                <c:pt idx="3">
                  <c:v>38078</c:v>
                </c:pt>
                <c:pt idx="4">
                  <c:v>38108</c:v>
                </c:pt>
                <c:pt idx="5">
                  <c:v>38139</c:v>
                </c:pt>
                <c:pt idx="6">
                  <c:v>38169</c:v>
                </c:pt>
                <c:pt idx="7">
                  <c:v>38200</c:v>
                </c:pt>
                <c:pt idx="8">
                  <c:v>38231</c:v>
                </c:pt>
                <c:pt idx="9" formatCode="yyyy\-m">
                  <c:v>38261</c:v>
                </c:pt>
                <c:pt idx="10" formatCode="yyyy\-m">
                  <c:v>38292</c:v>
                </c:pt>
                <c:pt idx="11" formatCode="yyyy\-m">
                  <c:v>38322</c:v>
                </c:pt>
                <c:pt idx="12">
                  <c:v>38353</c:v>
                </c:pt>
                <c:pt idx="13">
                  <c:v>38384</c:v>
                </c:pt>
                <c:pt idx="14">
                  <c:v>38412</c:v>
                </c:pt>
                <c:pt idx="15">
                  <c:v>38443</c:v>
                </c:pt>
                <c:pt idx="16">
                  <c:v>38473</c:v>
                </c:pt>
                <c:pt idx="17">
                  <c:v>38504</c:v>
                </c:pt>
                <c:pt idx="18">
                  <c:v>38534</c:v>
                </c:pt>
                <c:pt idx="19">
                  <c:v>38565</c:v>
                </c:pt>
                <c:pt idx="20">
                  <c:v>38596</c:v>
                </c:pt>
                <c:pt idx="21" formatCode="yyyy\-m">
                  <c:v>38626</c:v>
                </c:pt>
                <c:pt idx="22" formatCode="yyyy\-m">
                  <c:v>38657</c:v>
                </c:pt>
                <c:pt idx="23" formatCode="yyyy\-m">
                  <c:v>38687</c:v>
                </c:pt>
                <c:pt idx="24">
                  <c:v>38718</c:v>
                </c:pt>
                <c:pt idx="25">
                  <c:v>38749</c:v>
                </c:pt>
                <c:pt idx="26">
                  <c:v>38777</c:v>
                </c:pt>
                <c:pt idx="27">
                  <c:v>38808</c:v>
                </c:pt>
                <c:pt idx="28">
                  <c:v>38838</c:v>
                </c:pt>
                <c:pt idx="29">
                  <c:v>38869</c:v>
                </c:pt>
                <c:pt idx="30">
                  <c:v>38899</c:v>
                </c:pt>
                <c:pt idx="31">
                  <c:v>38930</c:v>
                </c:pt>
                <c:pt idx="32">
                  <c:v>38961</c:v>
                </c:pt>
                <c:pt idx="33" formatCode="yyyy\-m">
                  <c:v>38991</c:v>
                </c:pt>
                <c:pt idx="34" formatCode="yyyy\-m">
                  <c:v>39022</c:v>
                </c:pt>
                <c:pt idx="35" formatCode="yyyy\-m">
                  <c:v>39052</c:v>
                </c:pt>
                <c:pt idx="36">
                  <c:v>39083</c:v>
                </c:pt>
                <c:pt idx="37">
                  <c:v>39114</c:v>
                </c:pt>
                <c:pt idx="38">
                  <c:v>39142</c:v>
                </c:pt>
                <c:pt idx="39">
                  <c:v>39173</c:v>
                </c:pt>
                <c:pt idx="40">
                  <c:v>39203</c:v>
                </c:pt>
                <c:pt idx="41">
                  <c:v>39234</c:v>
                </c:pt>
                <c:pt idx="42">
                  <c:v>39264</c:v>
                </c:pt>
                <c:pt idx="43">
                  <c:v>39295</c:v>
                </c:pt>
                <c:pt idx="44">
                  <c:v>39326</c:v>
                </c:pt>
                <c:pt idx="45" formatCode="yyyy\-m">
                  <c:v>39356</c:v>
                </c:pt>
                <c:pt idx="46" formatCode="yyyy\-m">
                  <c:v>39387</c:v>
                </c:pt>
                <c:pt idx="47" formatCode="yyyy\-m">
                  <c:v>39417</c:v>
                </c:pt>
                <c:pt idx="48">
                  <c:v>39448</c:v>
                </c:pt>
                <c:pt idx="49">
                  <c:v>39479</c:v>
                </c:pt>
                <c:pt idx="50">
                  <c:v>39508</c:v>
                </c:pt>
                <c:pt idx="51">
                  <c:v>39539</c:v>
                </c:pt>
                <c:pt idx="52">
                  <c:v>39569</c:v>
                </c:pt>
                <c:pt idx="53">
                  <c:v>39600</c:v>
                </c:pt>
                <c:pt idx="54">
                  <c:v>39630</c:v>
                </c:pt>
                <c:pt idx="55">
                  <c:v>39661</c:v>
                </c:pt>
                <c:pt idx="56">
                  <c:v>39692</c:v>
                </c:pt>
                <c:pt idx="57" formatCode="yyyy\-m">
                  <c:v>39722</c:v>
                </c:pt>
                <c:pt idx="58" formatCode="yyyy\-m">
                  <c:v>39753</c:v>
                </c:pt>
                <c:pt idx="59" formatCode="yyyy\-m">
                  <c:v>39783</c:v>
                </c:pt>
                <c:pt idx="60">
                  <c:v>39814</c:v>
                </c:pt>
                <c:pt idx="61">
                  <c:v>39845</c:v>
                </c:pt>
                <c:pt idx="62">
                  <c:v>39873</c:v>
                </c:pt>
                <c:pt idx="63">
                  <c:v>39904</c:v>
                </c:pt>
                <c:pt idx="64">
                  <c:v>39934</c:v>
                </c:pt>
                <c:pt idx="65">
                  <c:v>39965</c:v>
                </c:pt>
                <c:pt idx="66">
                  <c:v>39995</c:v>
                </c:pt>
                <c:pt idx="67">
                  <c:v>40026</c:v>
                </c:pt>
                <c:pt idx="68">
                  <c:v>40057</c:v>
                </c:pt>
                <c:pt idx="69" formatCode="yyyy\-m">
                  <c:v>40087</c:v>
                </c:pt>
                <c:pt idx="70" formatCode="yyyy\-m">
                  <c:v>40118</c:v>
                </c:pt>
                <c:pt idx="71" formatCode="yyyy\-m">
                  <c:v>40148</c:v>
                </c:pt>
                <c:pt idx="72">
                  <c:v>40179</c:v>
                </c:pt>
                <c:pt idx="73">
                  <c:v>40210</c:v>
                </c:pt>
                <c:pt idx="74">
                  <c:v>40238</c:v>
                </c:pt>
                <c:pt idx="75">
                  <c:v>40269</c:v>
                </c:pt>
                <c:pt idx="76">
                  <c:v>40299</c:v>
                </c:pt>
                <c:pt idx="77">
                  <c:v>40330</c:v>
                </c:pt>
                <c:pt idx="78">
                  <c:v>40360</c:v>
                </c:pt>
                <c:pt idx="79">
                  <c:v>40391</c:v>
                </c:pt>
                <c:pt idx="80">
                  <c:v>40422</c:v>
                </c:pt>
                <c:pt idx="81" formatCode="yyyy\-m">
                  <c:v>40452</c:v>
                </c:pt>
                <c:pt idx="82" formatCode="yyyy\-m">
                  <c:v>40483</c:v>
                </c:pt>
                <c:pt idx="83" formatCode="yyyy\-m">
                  <c:v>40513</c:v>
                </c:pt>
                <c:pt idx="84">
                  <c:v>40544</c:v>
                </c:pt>
                <c:pt idx="85">
                  <c:v>40575</c:v>
                </c:pt>
                <c:pt idx="86">
                  <c:v>40603</c:v>
                </c:pt>
                <c:pt idx="87">
                  <c:v>40634</c:v>
                </c:pt>
                <c:pt idx="88">
                  <c:v>40664</c:v>
                </c:pt>
                <c:pt idx="89">
                  <c:v>40695</c:v>
                </c:pt>
                <c:pt idx="90">
                  <c:v>40725</c:v>
                </c:pt>
                <c:pt idx="91">
                  <c:v>40756</c:v>
                </c:pt>
                <c:pt idx="92">
                  <c:v>40787</c:v>
                </c:pt>
                <c:pt idx="93" formatCode="yyyy\-m">
                  <c:v>40817</c:v>
                </c:pt>
                <c:pt idx="94" formatCode="yyyy\-m">
                  <c:v>40848</c:v>
                </c:pt>
                <c:pt idx="95" formatCode="yyyy\-m">
                  <c:v>40878</c:v>
                </c:pt>
                <c:pt idx="96">
                  <c:v>40909</c:v>
                </c:pt>
                <c:pt idx="97">
                  <c:v>40940</c:v>
                </c:pt>
                <c:pt idx="98">
                  <c:v>40969</c:v>
                </c:pt>
                <c:pt idx="99">
                  <c:v>41000</c:v>
                </c:pt>
                <c:pt idx="100">
                  <c:v>41030</c:v>
                </c:pt>
                <c:pt idx="101">
                  <c:v>41061</c:v>
                </c:pt>
                <c:pt idx="102">
                  <c:v>41091</c:v>
                </c:pt>
                <c:pt idx="103">
                  <c:v>41122</c:v>
                </c:pt>
                <c:pt idx="104">
                  <c:v>41153</c:v>
                </c:pt>
                <c:pt idx="105" formatCode="yyyy\-m">
                  <c:v>41183</c:v>
                </c:pt>
                <c:pt idx="106" formatCode="yyyy\-m">
                  <c:v>41214</c:v>
                </c:pt>
                <c:pt idx="107" formatCode="yyyy\-m">
                  <c:v>41244</c:v>
                </c:pt>
                <c:pt idx="108">
                  <c:v>41275</c:v>
                </c:pt>
                <c:pt idx="109">
                  <c:v>41306</c:v>
                </c:pt>
                <c:pt idx="110">
                  <c:v>41334</c:v>
                </c:pt>
                <c:pt idx="111">
                  <c:v>41365</c:v>
                </c:pt>
                <c:pt idx="112">
                  <c:v>41395</c:v>
                </c:pt>
                <c:pt idx="113">
                  <c:v>41426</c:v>
                </c:pt>
                <c:pt idx="114">
                  <c:v>41456</c:v>
                </c:pt>
                <c:pt idx="115">
                  <c:v>41487</c:v>
                </c:pt>
                <c:pt idx="116">
                  <c:v>41518</c:v>
                </c:pt>
                <c:pt idx="117" formatCode="yyyy\-m">
                  <c:v>41548</c:v>
                </c:pt>
                <c:pt idx="118" formatCode="yyyy\-m">
                  <c:v>41579</c:v>
                </c:pt>
                <c:pt idx="119" formatCode="yyyy\-m">
                  <c:v>41609</c:v>
                </c:pt>
                <c:pt idx="120">
                  <c:v>41640</c:v>
                </c:pt>
                <c:pt idx="121">
                  <c:v>41671</c:v>
                </c:pt>
                <c:pt idx="122">
                  <c:v>41699</c:v>
                </c:pt>
                <c:pt idx="123">
                  <c:v>41730</c:v>
                </c:pt>
                <c:pt idx="124">
                  <c:v>41760</c:v>
                </c:pt>
                <c:pt idx="125">
                  <c:v>41791</c:v>
                </c:pt>
                <c:pt idx="126">
                  <c:v>41821</c:v>
                </c:pt>
                <c:pt idx="127">
                  <c:v>41852</c:v>
                </c:pt>
                <c:pt idx="128">
                  <c:v>41883</c:v>
                </c:pt>
                <c:pt idx="129" formatCode="yyyy\-m">
                  <c:v>41913</c:v>
                </c:pt>
                <c:pt idx="130" formatCode="yyyy\-m">
                  <c:v>41944</c:v>
                </c:pt>
                <c:pt idx="131" formatCode="yyyy\-m">
                  <c:v>41974</c:v>
                </c:pt>
                <c:pt idx="132">
                  <c:v>42005</c:v>
                </c:pt>
                <c:pt idx="133">
                  <c:v>42036</c:v>
                </c:pt>
                <c:pt idx="134">
                  <c:v>42064</c:v>
                </c:pt>
                <c:pt idx="135">
                  <c:v>42095</c:v>
                </c:pt>
                <c:pt idx="136">
                  <c:v>42125</c:v>
                </c:pt>
                <c:pt idx="137">
                  <c:v>42156</c:v>
                </c:pt>
                <c:pt idx="138">
                  <c:v>42186</c:v>
                </c:pt>
                <c:pt idx="139">
                  <c:v>42217</c:v>
                </c:pt>
                <c:pt idx="140">
                  <c:v>42248</c:v>
                </c:pt>
                <c:pt idx="141" formatCode="yyyy\-m">
                  <c:v>42278</c:v>
                </c:pt>
                <c:pt idx="142" formatCode="yyyy\-m">
                  <c:v>42309</c:v>
                </c:pt>
                <c:pt idx="143" formatCode="yyyy\-m">
                  <c:v>42339</c:v>
                </c:pt>
                <c:pt idx="144">
                  <c:v>42370</c:v>
                </c:pt>
                <c:pt idx="145">
                  <c:v>42401</c:v>
                </c:pt>
                <c:pt idx="146">
                  <c:v>42430</c:v>
                </c:pt>
                <c:pt idx="147">
                  <c:v>42461</c:v>
                </c:pt>
                <c:pt idx="148">
                  <c:v>42491</c:v>
                </c:pt>
                <c:pt idx="149">
                  <c:v>42522</c:v>
                </c:pt>
                <c:pt idx="150">
                  <c:v>42552</c:v>
                </c:pt>
                <c:pt idx="151">
                  <c:v>42583</c:v>
                </c:pt>
                <c:pt idx="152">
                  <c:v>42614</c:v>
                </c:pt>
                <c:pt idx="153" formatCode="yyyy\-m">
                  <c:v>42644</c:v>
                </c:pt>
                <c:pt idx="154" formatCode="yyyy\-m">
                  <c:v>42675</c:v>
                </c:pt>
                <c:pt idx="155" formatCode="yyyy\-m">
                  <c:v>42705</c:v>
                </c:pt>
                <c:pt idx="156">
                  <c:v>42736</c:v>
                </c:pt>
                <c:pt idx="157">
                  <c:v>42767</c:v>
                </c:pt>
                <c:pt idx="158">
                  <c:v>42795</c:v>
                </c:pt>
                <c:pt idx="159">
                  <c:v>42826</c:v>
                </c:pt>
                <c:pt idx="160">
                  <c:v>42856</c:v>
                </c:pt>
                <c:pt idx="161">
                  <c:v>42887</c:v>
                </c:pt>
                <c:pt idx="162">
                  <c:v>42917</c:v>
                </c:pt>
                <c:pt idx="163">
                  <c:v>42948</c:v>
                </c:pt>
                <c:pt idx="164">
                  <c:v>42979</c:v>
                </c:pt>
                <c:pt idx="165" formatCode="yyyy\-m">
                  <c:v>43009</c:v>
                </c:pt>
                <c:pt idx="166" formatCode="yyyy\-m">
                  <c:v>43040</c:v>
                </c:pt>
                <c:pt idx="167" formatCode="yyyy\-m">
                  <c:v>43070</c:v>
                </c:pt>
                <c:pt idx="168">
                  <c:v>43101</c:v>
                </c:pt>
                <c:pt idx="169">
                  <c:v>43132</c:v>
                </c:pt>
                <c:pt idx="170">
                  <c:v>43160</c:v>
                </c:pt>
                <c:pt idx="171">
                  <c:v>43191</c:v>
                </c:pt>
                <c:pt idx="172">
                  <c:v>43221</c:v>
                </c:pt>
                <c:pt idx="173">
                  <c:v>43252</c:v>
                </c:pt>
                <c:pt idx="174">
                  <c:v>43282</c:v>
                </c:pt>
                <c:pt idx="175">
                  <c:v>43313</c:v>
                </c:pt>
                <c:pt idx="176">
                  <c:v>43344</c:v>
                </c:pt>
                <c:pt idx="177" formatCode="yyyy\-m">
                  <c:v>43374</c:v>
                </c:pt>
                <c:pt idx="178" formatCode="yyyy\-m">
                  <c:v>43405</c:v>
                </c:pt>
                <c:pt idx="179" formatCode="yyyy\-m">
                  <c:v>43435</c:v>
                </c:pt>
                <c:pt idx="180">
                  <c:v>43466</c:v>
                </c:pt>
                <c:pt idx="181">
                  <c:v>43497</c:v>
                </c:pt>
                <c:pt idx="182">
                  <c:v>43525</c:v>
                </c:pt>
                <c:pt idx="183">
                  <c:v>43556</c:v>
                </c:pt>
                <c:pt idx="184">
                  <c:v>43586</c:v>
                </c:pt>
                <c:pt idx="185">
                  <c:v>43617</c:v>
                </c:pt>
                <c:pt idx="186">
                  <c:v>43647</c:v>
                </c:pt>
                <c:pt idx="187">
                  <c:v>43678</c:v>
                </c:pt>
                <c:pt idx="188">
                  <c:v>43709</c:v>
                </c:pt>
                <c:pt idx="189" formatCode="yyyy\-m">
                  <c:v>43739</c:v>
                </c:pt>
                <c:pt idx="190" formatCode="yyyy\-m">
                  <c:v>43770</c:v>
                </c:pt>
                <c:pt idx="191" formatCode="yyyy\-m">
                  <c:v>43800</c:v>
                </c:pt>
                <c:pt idx="192">
                  <c:v>43831</c:v>
                </c:pt>
                <c:pt idx="193">
                  <c:v>43862</c:v>
                </c:pt>
                <c:pt idx="194">
                  <c:v>43891</c:v>
                </c:pt>
                <c:pt idx="195">
                  <c:v>43922</c:v>
                </c:pt>
                <c:pt idx="196">
                  <c:v>43952</c:v>
                </c:pt>
                <c:pt idx="197">
                  <c:v>43983</c:v>
                </c:pt>
                <c:pt idx="198">
                  <c:v>44013</c:v>
                </c:pt>
                <c:pt idx="199">
                  <c:v>44044</c:v>
                </c:pt>
                <c:pt idx="200">
                  <c:v>44075</c:v>
                </c:pt>
                <c:pt idx="201" formatCode="yyyy\-m">
                  <c:v>44105</c:v>
                </c:pt>
                <c:pt idx="202" formatCode="yyyy\-m">
                  <c:v>44136</c:v>
                </c:pt>
                <c:pt idx="203" formatCode="yyyy\-m">
                  <c:v>44166</c:v>
                </c:pt>
                <c:pt idx="204">
                  <c:v>44197</c:v>
                </c:pt>
                <c:pt idx="205">
                  <c:v>44228</c:v>
                </c:pt>
                <c:pt idx="206">
                  <c:v>44256</c:v>
                </c:pt>
                <c:pt idx="207">
                  <c:v>44287</c:v>
                </c:pt>
                <c:pt idx="208">
                  <c:v>44317</c:v>
                </c:pt>
                <c:pt idx="209">
                  <c:v>44348</c:v>
                </c:pt>
                <c:pt idx="210">
                  <c:v>44378</c:v>
                </c:pt>
                <c:pt idx="211">
                  <c:v>44409</c:v>
                </c:pt>
                <c:pt idx="212">
                  <c:v>44440</c:v>
                </c:pt>
                <c:pt idx="213" formatCode="yyyy\-m">
                  <c:v>44470</c:v>
                </c:pt>
                <c:pt idx="214" formatCode="yyyy\-m">
                  <c:v>44501</c:v>
                </c:pt>
                <c:pt idx="215" formatCode="yyyy\-m">
                  <c:v>44531</c:v>
                </c:pt>
                <c:pt idx="216">
                  <c:v>44562</c:v>
                </c:pt>
                <c:pt idx="217">
                  <c:v>44593</c:v>
                </c:pt>
                <c:pt idx="218">
                  <c:v>44621</c:v>
                </c:pt>
                <c:pt idx="219">
                  <c:v>44652</c:v>
                </c:pt>
                <c:pt idx="220">
                  <c:v>44682</c:v>
                </c:pt>
                <c:pt idx="221">
                  <c:v>44713</c:v>
                </c:pt>
                <c:pt idx="222">
                  <c:v>44743</c:v>
                </c:pt>
                <c:pt idx="223">
                  <c:v>44774</c:v>
                </c:pt>
                <c:pt idx="224">
                  <c:v>44805</c:v>
                </c:pt>
              </c:numCache>
            </c:numRef>
          </c:cat>
          <c:val>
            <c:numRef>
              <c:f>'multiTimeline (2)'!$C$4:$C$228</c:f>
              <c:numCache>
                <c:formatCode>General</c:formatCode>
                <c:ptCount val="225"/>
                <c:pt idx="0">
                  <c:v>61</c:v>
                </c:pt>
                <c:pt idx="1">
                  <c:v>0</c:v>
                </c:pt>
                <c:pt idx="2">
                  <c:v>0</c:v>
                </c:pt>
                <c:pt idx="3">
                  <c:v>0</c:v>
                </c:pt>
                <c:pt idx="4">
                  <c:v>18</c:v>
                </c:pt>
                <c:pt idx="5">
                  <c:v>0</c:v>
                </c:pt>
                <c:pt idx="6">
                  <c:v>0</c:v>
                </c:pt>
                <c:pt idx="7">
                  <c:v>0</c:v>
                </c:pt>
                <c:pt idx="8">
                  <c:v>0</c:v>
                </c:pt>
                <c:pt idx="9">
                  <c:v>40</c:v>
                </c:pt>
                <c:pt idx="10">
                  <c:v>0</c:v>
                </c:pt>
                <c:pt idx="11">
                  <c:v>0</c:v>
                </c:pt>
                <c:pt idx="12">
                  <c:v>0</c:v>
                </c:pt>
                <c:pt idx="13">
                  <c:v>20</c:v>
                </c:pt>
                <c:pt idx="14">
                  <c:v>0</c:v>
                </c:pt>
                <c:pt idx="15">
                  <c:v>14</c:v>
                </c:pt>
                <c:pt idx="16">
                  <c:v>0</c:v>
                </c:pt>
                <c:pt idx="17">
                  <c:v>31</c:v>
                </c:pt>
                <c:pt idx="18">
                  <c:v>31</c:v>
                </c:pt>
                <c:pt idx="19">
                  <c:v>13</c:v>
                </c:pt>
                <c:pt idx="20">
                  <c:v>0</c:v>
                </c:pt>
                <c:pt idx="21">
                  <c:v>29</c:v>
                </c:pt>
                <c:pt idx="22">
                  <c:v>10</c:v>
                </c:pt>
                <c:pt idx="23">
                  <c:v>17</c:v>
                </c:pt>
                <c:pt idx="24">
                  <c:v>0</c:v>
                </c:pt>
                <c:pt idx="25">
                  <c:v>76</c:v>
                </c:pt>
                <c:pt idx="26">
                  <c:v>27</c:v>
                </c:pt>
                <c:pt idx="27">
                  <c:v>10</c:v>
                </c:pt>
                <c:pt idx="28">
                  <c:v>12</c:v>
                </c:pt>
                <c:pt idx="29">
                  <c:v>26</c:v>
                </c:pt>
                <c:pt idx="30">
                  <c:v>14</c:v>
                </c:pt>
                <c:pt idx="31">
                  <c:v>9</c:v>
                </c:pt>
                <c:pt idx="32">
                  <c:v>19</c:v>
                </c:pt>
                <c:pt idx="33">
                  <c:v>0</c:v>
                </c:pt>
                <c:pt idx="34">
                  <c:v>15</c:v>
                </c:pt>
                <c:pt idx="35">
                  <c:v>20</c:v>
                </c:pt>
                <c:pt idx="36">
                  <c:v>28</c:v>
                </c:pt>
                <c:pt idx="37">
                  <c:v>8</c:v>
                </c:pt>
                <c:pt idx="38">
                  <c:v>13</c:v>
                </c:pt>
                <c:pt idx="39">
                  <c:v>15</c:v>
                </c:pt>
                <c:pt idx="40">
                  <c:v>12</c:v>
                </c:pt>
                <c:pt idx="41">
                  <c:v>12</c:v>
                </c:pt>
                <c:pt idx="42">
                  <c:v>6</c:v>
                </c:pt>
                <c:pt idx="43">
                  <c:v>10</c:v>
                </c:pt>
                <c:pt idx="44">
                  <c:v>25</c:v>
                </c:pt>
                <c:pt idx="45">
                  <c:v>18</c:v>
                </c:pt>
                <c:pt idx="46">
                  <c:v>16</c:v>
                </c:pt>
                <c:pt idx="47">
                  <c:v>11</c:v>
                </c:pt>
                <c:pt idx="48">
                  <c:v>11</c:v>
                </c:pt>
                <c:pt idx="49">
                  <c:v>10</c:v>
                </c:pt>
                <c:pt idx="50">
                  <c:v>17</c:v>
                </c:pt>
                <c:pt idx="51">
                  <c:v>23</c:v>
                </c:pt>
                <c:pt idx="52">
                  <c:v>15</c:v>
                </c:pt>
                <c:pt idx="53">
                  <c:v>30</c:v>
                </c:pt>
                <c:pt idx="54">
                  <c:v>13</c:v>
                </c:pt>
                <c:pt idx="55">
                  <c:v>0</c:v>
                </c:pt>
                <c:pt idx="56">
                  <c:v>30</c:v>
                </c:pt>
                <c:pt idx="57">
                  <c:v>27</c:v>
                </c:pt>
                <c:pt idx="58">
                  <c:v>23</c:v>
                </c:pt>
                <c:pt idx="59">
                  <c:v>13</c:v>
                </c:pt>
                <c:pt idx="60">
                  <c:v>29</c:v>
                </c:pt>
                <c:pt idx="61">
                  <c:v>67</c:v>
                </c:pt>
                <c:pt idx="62">
                  <c:v>100</c:v>
                </c:pt>
                <c:pt idx="63">
                  <c:v>57</c:v>
                </c:pt>
                <c:pt idx="64">
                  <c:v>29</c:v>
                </c:pt>
                <c:pt idx="65">
                  <c:v>35</c:v>
                </c:pt>
                <c:pt idx="66">
                  <c:v>34</c:v>
                </c:pt>
                <c:pt idx="67">
                  <c:v>20</c:v>
                </c:pt>
                <c:pt idx="68">
                  <c:v>26</c:v>
                </c:pt>
                <c:pt idx="69">
                  <c:v>23</c:v>
                </c:pt>
                <c:pt idx="70">
                  <c:v>36</c:v>
                </c:pt>
                <c:pt idx="71">
                  <c:v>28</c:v>
                </c:pt>
                <c:pt idx="72">
                  <c:v>20</c:v>
                </c:pt>
                <c:pt idx="73">
                  <c:v>22</c:v>
                </c:pt>
                <c:pt idx="74">
                  <c:v>26</c:v>
                </c:pt>
                <c:pt idx="75">
                  <c:v>24</c:v>
                </c:pt>
                <c:pt idx="76">
                  <c:v>37</c:v>
                </c:pt>
                <c:pt idx="77">
                  <c:v>29</c:v>
                </c:pt>
                <c:pt idx="78">
                  <c:v>25</c:v>
                </c:pt>
                <c:pt idx="79">
                  <c:v>23</c:v>
                </c:pt>
                <c:pt idx="80">
                  <c:v>22</c:v>
                </c:pt>
                <c:pt idx="81">
                  <c:v>22</c:v>
                </c:pt>
                <c:pt idx="82">
                  <c:v>28</c:v>
                </c:pt>
                <c:pt idx="83">
                  <c:v>16</c:v>
                </c:pt>
                <c:pt idx="84">
                  <c:v>27</c:v>
                </c:pt>
                <c:pt idx="85">
                  <c:v>17</c:v>
                </c:pt>
                <c:pt idx="86">
                  <c:v>20</c:v>
                </c:pt>
                <c:pt idx="87">
                  <c:v>25</c:v>
                </c:pt>
                <c:pt idx="88">
                  <c:v>18</c:v>
                </c:pt>
                <c:pt idx="89">
                  <c:v>27</c:v>
                </c:pt>
                <c:pt idx="90">
                  <c:v>14</c:v>
                </c:pt>
                <c:pt idx="91">
                  <c:v>20</c:v>
                </c:pt>
                <c:pt idx="92">
                  <c:v>22</c:v>
                </c:pt>
                <c:pt idx="93">
                  <c:v>18</c:v>
                </c:pt>
                <c:pt idx="94">
                  <c:v>22</c:v>
                </c:pt>
                <c:pt idx="95">
                  <c:v>13</c:v>
                </c:pt>
                <c:pt idx="96">
                  <c:v>16</c:v>
                </c:pt>
                <c:pt idx="97">
                  <c:v>17</c:v>
                </c:pt>
                <c:pt idx="98">
                  <c:v>15</c:v>
                </c:pt>
                <c:pt idx="99">
                  <c:v>22</c:v>
                </c:pt>
                <c:pt idx="100">
                  <c:v>19</c:v>
                </c:pt>
                <c:pt idx="101">
                  <c:v>15</c:v>
                </c:pt>
                <c:pt idx="102">
                  <c:v>16</c:v>
                </c:pt>
                <c:pt idx="103">
                  <c:v>14</c:v>
                </c:pt>
                <c:pt idx="104">
                  <c:v>20</c:v>
                </c:pt>
                <c:pt idx="105">
                  <c:v>15</c:v>
                </c:pt>
                <c:pt idx="106">
                  <c:v>23</c:v>
                </c:pt>
                <c:pt idx="107">
                  <c:v>11</c:v>
                </c:pt>
                <c:pt idx="108">
                  <c:v>15</c:v>
                </c:pt>
                <c:pt idx="109">
                  <c:v>15</c:v>
                </c:pt>
                <c:pt idx="110">
                  <c:v>16</c:v>
                </c:pt>
                <c:pt idx="111">
                  <c:v>17</c:v>
                </c:pt>
                <c:pt idx="112">
                  <c:v>14</c:v>
                </c:pt>
                <c:pt idx="113">
                  <c:v>12</c:v>
                </c:pt>
                <c:pt idx="114">
                  <c:v>11</c:v>
                </c:pt>
                <c:pt idx="115">
                  <c:v>9</c:v>
                </c:pt>
                <c:pt idx="116">
                  <c:v>11</c:v>
                </c:pt>
                <c:pt idx="117">
                  <c:v>17</c:v>
                </c:pt>
                <c:pt idx="118">
                  <c:v>17</c:v>
                </c:pt>
                <c:pt idx="119">
                  <c:v>12</c:v>
                </c:pt>
                <c:pt idx="120">
                  <c:v>12</c:v>
                </c:pt>
                <c:pt idx="121">
                  <c:v>10</c:v>
                </c:pt>
                <c:pt idx="122">
                  <c:v>14</c:v>
                </c:pt>
                <c:pt idx="123">
                  <c:v>15</c:v>
                </c:pt>
                <c:pt idx="124">
                  <c:v>17</c:v>
                </c:pt>
                <c:pt idx="125">
                  <c:v>13</c:v>
                </c:pt>
                <c:pt idx="126">
                  <c:v>11</c:v>
                </c:pt>
                <c:pt idx="127">
                  <c:v>7</c:v>
                </c:pt>
                <c:pt idx="128">
                  <c:v>13</c:v>
                </c:pt>
                <c:pt idx="129">
                  <c:v>16</c:v>
                </c:pt>
                <c:pt idx="130">
                  <c:v>15</c:v>
                </c:pt>
                <c:pt idx="131">
                  <c:v>10</c:v>
                </c:pt>
                <c:pt idx="132">
                  <c:v>13</c:v>
                </c:pt>
                <c:pt idx="133">
                  <c:v>12</c:v>
                </c:pt>
                <c:pt idx="134">
                  <c:v>15</c:v>
                </c:pt>
                <c:pt idx="135">
                  <c:v>14</c:v>
                </c:pt>
                <c:pt idx="136">
                  <c:v>15</c:v>
                </c:pt>
                <c:pt idx="137">
                  <c:v>17</c:v>
                </c:pt>
                <c:pt idx="138">
                  <c:v>11</c:v>
                </c:pt>
                <c:pt idx="139">
                  <c:v>11</c:v>
                </c:pt>
                <c:pt idx="140">
                  <c:v>11</c:v>
                </c:pt>
                <c:pt idx="141">
                  <c:v>14</c:v>
                </c:pt>
                <c:pt idx="142">
                  <c:v>11</c:v>
                </c:pt>
                <c:pt idx="143">
                  <c:v>13</c:v>
                </c:pt>
                <c:pt idx="144">
                  <c:v>11</c:v>
                </c:pt>
                <c:pt idx="145">
                  <c:v>13</c:v>
                </c:pt>
                <c:pt idx="146">
                  <c:v>14</c:v>
                </c:pt>
                <c:pt idx="147">
                  <c:v>10</c:v>
                </c:pt>
                <c:pt idx="148">
                  <c:v>12</c:v>
                </c:pt>
                <c:pt idx="149">
                  <c:v>10</c:v>
                </c:pt>
                <c:pt idx="150">
                  <c:v>14</c:v>
                </c:pt>
                <c:pt idx="151">
                  <c:v>12</c:v>
                </c:pt>
                <c:pt idx="152">
                  <c:v>14</c:v>
                </c:pt>
                <c:pt idx="153">
                  <c:v>8</c:v>
                </c:pt>
                <c:pt idx="154">
                  <c:v>12</c:v>
                </c:pt>
                <c:pt idx="155">
                  <c:v>10</c:v>
                </c:pt>
                <c:pt idx="156">
                  <c:v>14</c:v>
                </c:pt>
                <c:pt idx="157">
                  <c:v>15</c:v>
                </c:pt>
                <c:pt idx="158">
                  <c:v>12</c:v>
                </c:pt>
                <c:pt idx="159">
                  <c:v>15</c:v>
                </c:pt>
                <c:pt idx="160">
                  <c:v>16</c:v>
                </c:pt>
                <c:pt idx="161">
                  <c:v>11</c:v>
                </c:pt>
                <c:pt idx="162">
                  <c:v>14</c:v>
                </c:pt>
                <c:pt idx="163">
                  <c:v>14</c:v>
                </c:pt>
                <c:pt idx="164">
                  <c:v>11</c:v>
                </c:pt>
                <c:pt idx="165">
                  <c:v>13</c:v>
                </c:pt>
                <c:pt idx="166">
                  <c:v>15</c:v>
                </c:pt>
                <c:pt idx="167">
                  <c:v>9</c:v>
                </c:pt>
                <c:pt idx="168">
                  <c:v>11</c:v>
                </c:pt>
                <c:pt idx="169">
                  <c:v>14</c:v>
                </c:pt>
                <c:pt idx="170">
                  <c:v>13</c:v>
                </c:pt>
                <c:pt idx="171">
                  <c:v>13</c:v>
                </c:pt>
                <c:pt idx="172">
                  <c:v>13</c:v>
                </c:pt>
                <c:pt idx="173">
                  <c:v>13</c:v>
                </c:pt>
                <c:pt idx="174">
                  <c:v>11</c:v>
                </c:pt>
                <c:pt idx="175">
                  <c:v>10</c:v>
                </c:pt>
                <c:pt idx="176">
                  <c:v>10</c:v>
                </c:pt>
                <c:pt idx="177">
                  <c:v>12</c:v>
                </c:pt>
                <c:pt idx="178">
                  <c:v>17</c:v>
                </c:pt>
                <c:pt idx="179">
                  <c:v>11</c:v>
                </c:pt>
                <c:pt idx="180">
                  <c:v>13</c:v>
                </c:pt>
                <c:pt idx="181">
                  <c:v>11</c:v>
                </c:pt>
                <c:pt idx="182">
                  <c:v>10</c:v>
                </c:pt>
                <c:pt idx="183">
                  <c:v>9</c:v>
                </c:pt>
                <c:pt idx="184">
                  <c:v>12</c:v>
                </c:pt>
                <c:pt idx="185">
                  <c:v>12</c:v>
                </c:pt>
                <c:pt idx="186">
                  <c:v>13</c:v>
                </c:pt>
                <c:pt idx="187">
                  <c:v>9</c:v>
                </c:pt>
                <c:pt idx="188">
                  <c:v>12</c:v>
                </c:pt>
                <c:pt idx="189">
                  <c:v>10</c:v>
                </c:pt>
                <c:pt idx="190">
                  <c:v>15</c:v>
                </c:pt>
                <c:pt idx="191">
                  <c:v>11</c:v>
                </c:pt>
                <c:pt idx="192">
                  <c:v>12</c:v>
                </c:pt>
                <c:pt idx="193">
                  <c:v>9</c:v>
                </c:pt>
                <c:pt idx="194">
                  <c:v>11</c:v>
                </c:pt>
                <c:pt idx="195">
                  <c:v>9</c:v>
                </c:pt>
                <c:pt idx="196">
                  <c:v>15</c:v>
                </c:pt>
                <c:pt idx="197">
                  <c:v>13</c:v>
                </c:pt>
                <c:pt idx="198">
                  <c:v>11</c:v>
                </c:pt>
                <c:pt idx="199">
                  <c:v>10</c:v>
                </c:pt>
                <c:pt idx="200">
                  <c:v>11</c:v>
                </c:pt>
                <c:pt idx="201">
                  <c:v>10</c:v>
                </c:pt>
                <c:pt idx="202">
                  <c:v>9</c:v>
                </c:pt>
                <c:pt idx="203">
                  <c:v>11</c:v>
                </c:pt>
                <c:pt idx="204">
                  <c:v>8</c:v>
                </c:pt>
                <c:pt idx="205">
                  <c:v>11</c:v>
                </c:pt>
                <c:pt idx="206">
                  <c:v>9</c:v>
                </c:pt>
                <c:pt idx="207">
                  <c:v>9</c:v>
                </c:pt>
                <c:pt idx="208">
                  <c:v>13</c:v>
                </c:pt>
                <c:pt idx="209">
                  <c:v>10</c:v>
                </c:pt>
                <c:pt idx="210">
                  <c:v>11</c:v>
                </c:pt>
                <c:pt idx="211">
                  <c:v>8</c:v>
                </c:pt>
                <c:pt idx="212">
                  <c:v>11</c:v>
                </c:pt>
                <c:pt idx="213">
                  <c:v>13</c:v>
                </c:pt>
                <c:pt idx="214">
                  <c:v>12</c:v>
                </c:pt>
                <c:pt idx="215">
                  <c:v>8</c:v>
                </c:pt>
                <c:pt idx="216">
                  <c:v>10</c:v>
                </c:pt>
                <c:pt idx="217">
                  <c:v>14</c:v>
                </c:pt>
                <c:pt idx="218">
                  <c:v>15</c:v>
                </c:pt>
                <c:pt idx="219">
                  <c:v>11</c:v>
                </c:pt>
                <c:pt idx="220">
                  <c:v>13</c:v>
                </c:pt>
                <c:pt idx="221">
                  <c:v>12</c:v>
                </c:pt>
                <c:pt idx="222">
                  <c:v>13</c:v>
                </c:pt>
                <c:pt idx="223">
                  <c:v>11</c:v>
                </c:pt>
                <c:pt idx="224">
                  <c:v>10</c:v>
                </c:pt>
              </c:numCache>
            </c:numRef>
          </c:val>
          <c:extLst>
            <c:ext xmlns:c16="http://schemas.microsoft.com/office/drawing/2014/chart" uri="{C3380CC4-5D6E-409C-BE32-E72D297353CC}">
              <c16:uniqueId val="{00000000-7470-466C-B36D-E0C0CC0FAB80}"/>
            </c:ext>
          </c:extLst>
        </c:ser>
        <c:dLbls>
          <c:showLegendKey val="0"/>
          <c:showVal val="0"/>
          <c:showCatName val="0"/>
          <c:showSerName val="0"/>
          <c:showPercent val="0"/>
          <c:showBubbleSize val="0"/>
        </c:dLbls>
        <c:axId val="170655232"/>
        <c:axId val="289317440"/>
      </c:areaChart>
      <c:lineChart>
        <c:grouping val="standard"/>
        <c:varyColors val="0"/>
        <c:ser>
          <c:idx val="0"/>
          <c:order val="0"/>
          <c:tx>
            <c:strRef>
              <c:f>'multiTimeline (2)'!$B$3</c:f>
              <c:strCache>
                <c:ptCount val="1"/>
                <c:pt idx="0">
                  <c:v>Україна</c:v>
                </c:pt>
              </c:strCache>
            </c:strRef>
          </c:tx>
          <c:cat>
            <c:numRef>
              <c:f>'multiTimeline (2)'!$A$4:$A$228</c:f>
              <c:numCache>
                <c:formatCode>yyyy\-mm</c:formatCode>
                <c:ptCount val="225"/>
                <c:pt idx="0">
                  <c:v>37987</c:v>
                </c:pt>
                <c:pt idx="1">
                  <c:v>38018</c:v>
                </c:pt>
                <c:pt idx="2">
                  <c:v>38047</c:v>
                </c:pt>
                <c:pt idx="3">
                  <c:v>38078</c:v>
                </c:pt>
                <c:pt idx="4">
                  <c:v>38108</c:v>
                </c:pt>
                <c:pt idx="5">
                  <c:v>38139</c:v>
                </c:pt>
                <c:pt idx="6">
                  <c:v>38169</c:v>
                </c:pt>
                <c:pt idx="7">
                  <c:v>38200</c:v>
                </c:pt>
                <c:pt idx="8">
                  <c:v>38231</c:v>
                </c:pt>
                <c:pt idx="9" formatCode="yyyy\-m">
                  <c:v>38261</c:v>
                </c:pt>
                <c:pt idx="10" formatCode="yyyy\-m">
                  <c:v>38292</c:v>
                </c:pt>
                <c:pt idx="11" formatCode="yyyy\-m">
                  <c:v>38322</c:v>
                </c:pt>
                <c:pt idx="12">
                  <c:v>38353</c:v>
                </c:pt>
                <c:pt idx="13">
                  <c:v>38384</c:v>
                </c:pt>
                <c:pt idx="14">
                  <c:v>38412</c:v>
                </c:pt>
                <c:pt idx="15">
                  <c:v>38443</c:v>
                </c:pt>
                <c:pt idx="16">
                  <c:v>38473</c:v>
                </c:pt>
                <c:pt idx="17">
                  <c:v>38504</c:v>
                </c:pt>
                <c:pt idx="18">
                  <c:v>38534</c:v>
                </c:pt>
                <c:pt idx="19">
                  <c:v>38565</c:v>
                </c:pt>
                <c:pt idx="20">
                  <c:v>38596</c:v>
                </c:pt>
                <c:pt idx="21" formatCode="yyyy\-m">
                  <c:v>38626</c:v>
                </c:pt>
                <c:pt idx="22" formatCode="yyyy\-m">
                  <c:v>38657</c:v>
                </c:pt>
                <c:pt idx="23" formatCode="yyyy\-m">
                  <c:v>38687</c:v>
                </c:pt>
                <c:pt idx="24">
                  <c:v>38718</c:v>
                </c:pt>
                <c:pt idx="25">
                  <c:v>38749</c:v>
                </c:pt>
                <c:pt idx="26">
                  <c:v>38777</c:v>
                </c:pt>
                <c:pt idx="27">
                  <c:v>38808</c:v>
                </c:pt>
                <c:pt idx="28">
                  <c:v>38838</c:v>
                </c:pt>
                <c:pt idx="29">
                  <c:v>38869</c:v>
                </c:pt>
                <c:pt idx="30">
                  <c:v>38899</c:v>
                </c:pt>
                <c:pt idx="31">
                  <c:v>38930</c:v>
                </c:pt>
                <c:pt idx="32">
                  <c:v>38961</c:v>
                </c:pt>
                <c:pt idx="33" formatCode="yyyy\-m">
                  <c:v>38991</c:v>
                </c:pt>
                <c:pt idx="34" formatCode="yyyy\-m">
                  <c:v>39022</c:v>
                </c:pt>
                <c:pt idx="35" formatCode="yyyy\-m">
                  <c:v>39052</c:v>
                </c:pt>
                <c:pt idx="36">
                  <c:v>39083</c:v>
                </c:pt>
                <c:pt idx="37">
                  <c:v>39114</c:v>
                </c:pt>
                <c:pt idx="38">
                  <c:v>39142</c:v>
                </c:pt>
                <c:pt idx="39">
                  <c:v>39173</c:v>
                </c:pt>
                <c:pt idx="40">
                  <c:v>39203</c:v>
                </c:pt>
                <c:pt idx="41">
                  <c:v>39234</c:v>
                </c:pt>
                <c:pt idx="42">
                  <c:v>39264</c:v>
                </c:pt>
                <c:pt idx="43">
                  <c:v>39295</c:v>
                </c:pt>
                <c:pt idx="44">
                  <c:v>39326</c:v>
                </c:pt>
                <c:pt idx="45" formatCode="yyyy\-m">
                  <c:v>39356</c:v>
                </c:pt>
                <c:pt idx="46" formatCode="yyyy\-m">
                  <c:v>39387</c:v>
                </c:pt>
                <c:pt idx="47" formatCode="yyyy\-m">
                  <c:v>39417</c:v>
                </c:pt>
                <c:pt idx="48">
                  <c:v>39448</c:v>
                </c:pt>
                <c:pt idx="49">
                  <c:v>39479</c:v>
                </c:pt>
                <c:pt idx="50">
                  <c:v>39508</c:v>
                </c:pt>
                <c:pt idx="51">
                  <c:v>39539</c:v>
                </c:pt>
                <c:pt idx="52">
                  <c:v>39569</c:v>
                </c:pt>
                <c:pt idx="53">
                  <c:v>39600</c:v>
                </c:pt>
                <c:pt idx="54">
                  <c:v>39630</c:v>
                </c:pt>
                <c:pt idx="55">
                  <c:v>39661</c:v>
                </c:pt>
                <c:pt idx="56">
                  <c:v>39692</c:v>
                </c:pt>
                <c:pt idx="57" formatCode="yyyy\-m">
                  <c:v>39722</c:v>
                </c:pt>
                <c:pt idx="58" formatCode="yyyy\-m">
                  <c:v>39753</c:v>
                </c:pt>
                <c:pt idx="59" formatCode="yyyy\-m">
                  <c:v>39783</c:v>
                </c:pt>
                <c:pt idx="60">
                  <c:v>39814</c:v>
                </c:pt>
                <c:pt idx="61">
                  <c:v>39845</c:v>
                </c:pt>
                <c:pt idx="62">
                  <c:v>39873</c:v>
                </c:pt>
                <c:pt idx="63">
                  <c:v>39904</c:v>
                </c:pt>
                <c:pt idx="64">
                  <c:v>39934</c:v>
                </c:pt>
                <c:pt idx="65">
                  <c:v>39965</c:v>
                </c:pt>
                <c:pt idx="66">
                  <c:v>39995</c:v>
                </c:pt>
                <c:pt idx="67">
                  <c:v>40026</c:v>
                </c:pt>
                <c:pt idx="68">
                  <c:v>40057</c:v>
                </c:pt>
                <c:pt idx="69" formatCode="yyyy\-m">
                  <c:v>40087</c:v>
                </c:pt>
                <c:pt idx="70" formatCode="yyyy\-m">
                  <c:v>40118</c:v>
                </c:pt>
                <c:pt idx="71" formatCode="yyyy\-m">
                  <c:v>40148</c:v>
                </c:pt>
                <c:pt idx="72">
                  <c:v>40179</c:v>
                </c:pt>
                <c:pt idx="73">
                  <c:v>40210</c:v>
                </c:pt>
                <c:pt idx="74">
                  <c:v>40238</c:v>
                </c:pt>
                <c:pt idx="75">
                  <c:v>40269</c:v>
                </c:pt>
                <c:pt idx="76">
                  <c:v>40299</c:v>
                </c:pt>
                <c:pt idx="77">
                  <c:v>40330</c:v>
                </c:pt>
                <c:pt idx="78">
                  <c:v>40360</c:v>
                </c:pt>
                <c:pt idx="79">
                  <c:v>40391</c:v>
                </c:pt>
                <c:pt idx="80">
                  <c:v>40422</c:v>
                </c:pt>
                <c:pt idx="81" formatCode="yyyy\-m">
                  <c:v>40452</c:v>
                </c:pt>
                <c:pt idx="82" formatCode="yyyy\-m">
                  <c:v>40483</c:v>
                </c:pt>
                <c:pt idx="83" formatCode="yyyy\-m">
                  <c:v>40513</c:v>
                </c:pt>
                <c:pt idx="84">
                  <c:v>40544</c:v>
                </c:pt>
                <c:pt idx="85">
                  <c:v>40575</c:v>
                </c:pt>
                <c:pt idx="86">
                  <c:v>40603</c:v>
                </c:pt>
                <c:pt idx="87">
                  <c:v>40634</c:v>
                </c:pt>
                <c:pt idx="88">
                  <c:v>40664</c:v>
                </c:pt>
                <c:pt idx="89">
                  <c:v>40695</c:v>
                </c:pt>
                <c:pt idx="90">
                  <c:v>40725</c:v>
                </c:pt>
                <c:pt idx="91">
                  <c:v>40756</c:v>
                </c:pt>
                <c:pt idx="92">
                  <c:v>40787</c:v>
                </c:pt>
                <c:pt idx="93" formatCode="yyyy\-m">
                  <c:v>40817</c:v>
                </c:pt>
                <c:pt idx="94" formatCode="yyyy\-m">
                  <c:v>40848</c:v>
                </c:pt>
                <c:pt idx="95" formatCode="yyyy\-m">
                  <c:v>40878</c:v>
                </c:pt>
                <c:pt idx="96">
                  <c:v>40909</c:v>
                </c:pt>
                <c:pt idx="97">
                  <c:v>40940</c:v>
                </c:pt>
                <c:pt idx="98">
                  <c:v>40969</c:v>
                </c:pt>
                <c:pt idx="99">
                  <c:v>41000</c:v>
                </c:pt>
                <c:pt idx="100">
                  <c:v>41030</c:v>
                </c:pt>
                <c:pt idx="101">
                  <c:v>41061</c:v>
                </c:pt>
                <c:pt idx="102">
                  <c:v>41091</c:v>
                </c:pt>
                <c:pt idx="103">
                  <c:v>41122</c:v>
                </c:pt>
                <c:pt idx="104">
                  <c:v>41153</c:v>
                </c:pt>
                <c:pt idx="105" formatCode="yyyy\-m">
                  <c:v>41183</c:v>
                </c:pt>
                <c:pt idx="106" formatCode="yyyy\-m">
                  <c:v>41214</c:v>
                </c:pt>
                <c:pt idx="107" formatCode="yyyy\-m">
                  <c:v>41244</c:v>
                </c:pt>
                <c:pt idx="108">
                  <c:v>41275</c:v>
                </c:pt>
                <c:pt idx="109">
                  <c:v>41306</c:v>
                </c:pt>
                <c:pt idx="110">
                  <c:v>41334</c:v>
                </c:pt>
                <c:pt idx="111">
                  <c:v>41365</c:v>
                </c:pt>
                <c:pt idx="112">
                  <c:v>41395</c:v>
                </c:pt>
                <c:pt idx="113">
                  <c:v>41426</c:v>
                </c:pt>
                <c:pt idx="114">
                  <c:v>41456</c:v>
                </c:pt>
                <c:pt idx="115">
                  <c:v>41487</c:v>
                </c:pt>
                <c:pt idx="116">
                  <c:v>41518</c:v>
                </c:pt>
                <c:pt idx="117" formatCode="yyyy\-m">
                  <c:v>41548</c:v>
                </c:pt>
                <c:pt idx="118" formatCode="yyyy\-m">
                  <c:v>41579</c:v>
                </c:pt>
                <c:pt idx="119" formatCode="yyyy\-m">
                  <c:v>41609</c:v>
                </c:pt>
                <c:pt idx="120">
                  <c:v>41640</c:v>
                </c:pt>
                <c:pt idx="121">
                  <c:v>41671</c:v>
                </c:pt>
                <c:pt idx="122">
                  <c:v>41699</c:v>
                </c:pt>
                <c:pt idx="123">
                  <c:v>41730</c:v>
                </c:pt>
                <c:pt idx="124">
                  <c:v>41760</c:v>
                </c:pt>
                <c:pt idx="125">
                  <c:v>41791</c:v>
                </c:pt>
                <c:pt idx="126">
                  <c:v>41821</c:v>
                </c:pt>
                <c:pt idx="127">
                  <c:v>41852</c:v>
                </c:pt>
                <c:pt idx="128">
                  <c:v>41883</c:v>
                </c:pt>
                <c:pt idx="129" formatCode="yyyy\-m">
                  <c:v>41913</c:v>
                </c:pt>
                <c:pt idx="130" formatCode="yyyy\-m">
                  <c:v>41944</c:v>
                </c:pt>
                <c:pt idx="131" formatCode="yyyy\-m">
                  <c:v>41974</c:v>
                </c:pt>
                <c:pt idx="132">
                  <c:v>42005</c:v>
                </c:pt>
                <c:pt idx="133">
                  <c:v>42036</c:v>
                </c:pt>
                <c:pt idx="134">
                  <c:v>42064</c:v>
                </c:pt>
                <c:pt idx="135">
                  <c:v>42095</c:v>
                </c:pt>
                <c:pt idx="136">
                  <c:v>42125</c:v>
                </c:pt>
                <c:pt idx="137">
                  <c:v>42156</c:v>
                </c:pt>
                <c:pt idx="138">
                  <c:v>42186</c:v>
                </c:pt>
                <c:pt idx="139">
                  <c:v>42217</c:v>
                </c:pt>
                <c:pt idx="140">
                  <c:v>42248</c:v>
                </c:pt>
                <c:pt idx="141" formatCode="yyyy\-m">
                  <c:v>42278</c:v>
                </c:pt>
                <c:pt idx="142" formatCode="yyyy\-m">
                  <c:v>42309</c:v>
                </c:pt>
                <c:pt idx="143" formatCode="yyyy\-m">
                  <c:v>42339</c:v>
                </c:pt>
                <c:pt idx="144">
                  <c:v>42370</c:v>
                </c:pt>
                <c:pt idx="145">
                  <c:v>42401</c:v>
                </c:pt>
                <c:pt idx="146">
                  <c:v>42430</c:v>
                </c:pt>
                <c:pt idx="147">
                  <c:v>42461</c:v>
                </c:pt>
                <c:pt idx="148">
                  <c:v>42491</c:v>
                </c:pt>
                <c:pt idx="149">
                  <c:v>42522</c:v>
                </c:pt>
                <c:pt idx="150">
                  <c:v>42552</c:v>
                </c:pt>
                <c:pt idx="151">
                  <c:v>42583</c:v>
                </c:pt>
                <c:pt idx="152">
                  <c:v>42614</c:v>
                </c:pt>
                <c:pt idx="153" formatCode="yyyy\-m">
                  <c:v>42644</c:v>
                </c:pt>
                <c:pt idx="154" formatCode="yyyy\-m">
                  <c:v>42675</c:v>
                </c:pt>
                <c:pt idx="155" formatCode="yyyy\-m">
                  <c:v>42705</c:v>
                </c:pt>
                <c:pt idx="156">
                  <c:v>42736</c:v>
                </c:pt>
                <c:pt idx="157">
                  <c:v>42767</c:v>
                </c:pt>
                <c:pt idx="158">
                  <c:v>42795</c:v>
                </c:pt>
                <c:pt idx="159">
                  <c:v>42826</c:v>
                </c:pt>
                <c:pt idx="160">
                  <c:v>42856</c:v>
                </c:pt>
                <c:pt idx="161">
                  <c:v>42887</c:v>
                </c:pt>
                <c:pt idx="162">
                  <c:v>42917</c:v>
                </c:pt>
                <c:pt idx="163">
                  <c:v>42948</c:v>
                </c:pt>
                <c:pt idx="164">
                  <c:v>42979</c:v>
                </c:pt>
                <c:pt idx="165" formatCode="yyyy\-m">
                  <c:v>43009</c:v>
                </c:pt>
                <c:pt idx="166" formatCode="yyyy\-m">
                  <c:v>43040</c:v>
                </c:pt>
                <c:pt idx="167" formatCode="yyyy\-m">
                  <c:v>43070</c:v>
                </c:pt>
                <c:pt idx="168">
                  <c:v>43101</c:v>
                </c:pt>
                <c:pt idx="169">
                  <c:v>43132</c:v>
                </c:pt>
                <c:pt idx="170">
                  <c:v>43160</c:v>
                </c:pt>
                <c:pt idx="171">
                  <c:v>43191</c:v>
                </c:pt>
                <c:pt idx="172">
                  <c:v>43221</c:v>
                </c:pt>
                <c:pt idx="173">
                  <c:v>43252</c:v>
                </c:pt>
                <c:pt idx="174">
                  <c:v>43282</c:v>
                </c:pt>
                <c:pt idx="175">
                  <c:v>43313</c:v>
                </c:pt>
                <c:pt idx="176">
                  <c:v>43344</c:v>
                </c:pt>
                <c:pt idx="177" formatCode="yyyy\-m">
                  <c:v>43374</c:v>
                </c:pt>
                <c:pt idx="178" formatCode="yyyy\-m">
                  <c:v>43405</c:v>
                </c:pt>
                <c:pt idx="179" formatCode="yyyy\-m">
                  <c:v>43435</c:v>
                </c:pt>
                <c:pt idx="180">
                  <c:v>43466</c:v>
                </c:pt>
                <c:pt idx="181">
                  <c:v>43497</c:v>
                </c:pt>
                <c:pt idx="182">
                  <c:v>43525</c:v>
                </c:pt>
                <c:pt idx="183">
                  <c:v>43556</c:v>
                </c:pt>
                <c:pt idx="184">
                  <c:v>43586</c:v>
                </c:pt>
                <c:pt idx="185">
                  <c:v>43617</c:v>
                </c:pt>
                <c:pt idx="186">
                  <c:v>43647</c:v>
                </c:pt>
                <c:pt idx="187">
                  <c:v>43678</c:v>
                </c:pt>
                <c:pt idx="188">
                  <c:v>43709</c:v>
                </c:pt>
                <c:pt idx="189" formatCode="yyyy\-m">
                  <c:v>43739</c:v>
                </c:pt>
                <c:pt idx="190" formatCode="yyyy\-m">
                  <c:v>43770</c:v>
                </c:pt>
                <c:pt idx="191" formatCode="yyyy\-m">
                  <c:v>43800</c:v>
                </c:pt>
                <c:pt idx="192">
                  <c:v>43831</c:v>
                </c:pt>
                <c:pt idx="193">
                  <c:v>43862</c:v>
                </c:pt>
                <c:pt idx="194">
                  <c:v>43891</c:v>
                </c:pt>
                <c:pt idx="195">
                  <c:v>43922</c:v>
                </c:pt>
                <c:pt idx="196">
                  <c:v>43952</c:v>
                </c:pt>
                <c:pt idx="197">
                  <c:v>43983</c:v>
                </c:pt>
                <c:pt idx="198">
                  <c:v>44013</c:v>
                </c:pt>
                <c:pt idx="199">
                  <c:v>44044</c:v>
                </c:pt>
                <c:pt idx="200">
                  <c:v>44075</c:v>
                </c:pt>
                <c:pt idx="201" formatCode="yyyy\-m">
                  <c:v>44105</c:v>
                </c:pt>
                <c:pt idx="202" formatCode="yyyy\-m">
                  <c:v>44136</c:v>
                </c:pt>
                <c:pt idx="203" formatCode="yyyy\-m">
                  <c:v>44166</c:v>
                </c:pt>
                <c:pt idx="204">
                  <c:v>44197</c:v>
                </c:pt>
                <c:pt idx="205">
                  <c:v>44228</c:v>
                </c:pt>
                <c:pt idx="206">
                  <c:v>44256</c:v>
                </c:pt>
                <c:pt idx="207">
                  <c:v>44287</c:v>
                </c:pt>
                <c:pt idx="208">
                  <c:v>44317</c:v>
                </c:pt>
                <c:pt idx="209">
                  <c:v>44348</c:v>
                </c:pt>
                <c:pt idx="210">
                  <c:v>44378</c:v>
                </c:pt>
                <c:pt idx="211">
                  <c:v>44409</c:v>
                </c:pt>
                <c:pt idx="212">
                  <c:v>44440</c:v>
                </c:pt>
                <c:pt idx="213" formatCode="yyyy\-m">
                  <c:v>44470</c:v>
                </c:pt>
                <c:pt idx="214" formatCode="yyyy\-m">
                  <c:v>44501</c:v>
                </c:pt>
                <c:pt idx="215" formatCode="yyyy\-m">
                  <c:v>44531</c:v>
                </c:pt>
                <c:pt idx="216">
                  <c:v>44562</c:v>
                </c:pt>
                <c:pt idx="217">
                  <c:v>44593</c:v>
                </c:pt>
                <c:pt idx="218">
                  <c:v>44621</c:v>
                </c:pt>
                <c:pt idx="219">
                  <c:v>44652</c:v>
                </c:pt>
                <c:pt idx="220">
                  <c:v>44682</c:v>
                </c:pt>
                <c:pt idx="221">
                  <c:v>44713</c:v>
                </c:pt>
                <c:pt idx="222">
                  <c:v>44743</c:v>
                </c:pt>
                <c:pt idx="223">
                  <c:v>44774</c:v>
                </c:pt>
                <c:pt idx="224">
                  <c:v>44805</c:v>
                </c:pt>
              </c:numCache>
            </c:numRef>
          </c:cat>
          <c:val>
            <c:numRef>
              <c:f>'multiTimeline (2)'!$B$4:$B$228</c:f>
              <c:numCache>
                <c:formatCode>General</c:formatCode>
                <c:ptCount val="225"/>
                <c:pt idx="0">
                  <c:v>0</c:v>
                </c:pt>
                <c:pt idx="1">
                  <c:v>0</c:v>
                </c:pt>
                <c:pt idx="2">
                  <c:v>0</c:v>
                </c:pt>
                <c:pt idx="3">
                  <c:v>0</c:v>
                </c:pt>
                <c:pt idx="4">
                  <c:v>94</c:v>
                </c:pt>
                <c:pt idx="5">
                  <c:v>0</c:v>
                </c:pt>
                <c:pt idx="6">
                  <c:v>0</c:v>
                </c:pt>
                <c:pt idx="7">
                  <c:v>0</c:v>
                </c:pt>
                <c:pt idx="8">
                  <c:v>0</c:v>
                </c:pt>
                <c:pt idx="9">
                  <c:v>100</c:v>
                </c:pt>
                <c:pt idx="10">
                  <c:v>0</c:v>
                </c:pt>
                <c:pt idx="11">
                  <c:v>87</c:v>
                </c:pt>
                <c:pt idx="12">
                  <c:v>0</c:v>
                </c:pt>
                <c:pt idx="13">
                  <c:v>0</c:v>
                </c:pt>
                <c:pt idx="14">
                  <c:v>0</c:v>
                </c:pt>
                <c:pt idx="15">
                  <c:v>0</c:v>
                </c:pt>
                <c:pt idx="16">
                  <c:v>0</c:v>
                </c:pt>
                <c:pt idx="17">
                  <c:v>0</c:v>
                </c:pt>
                <c:pt idx="18">
                  <c:v>0</c:v>
                </c:pt>
                <c:pt idx="19">
                  <c:v>0</c:v>
                </c:pt>
                <c:pt idx="20">
                  <c:v>92</c:v>
                </c:pt>
                <c:pt idx="21">
                  <c:v>0</c:v>
                </c:pt>
                <c:pt idx="22">
                  <c:v>53</c:v>
                </c:pt>
                <c:pt idx="23">
                  <c:v>0</c:v>
                </c:pt>
                <c:pt idx="24">
                  <c:v>0</c:v>
                </c:pt>
                <c:pt idx="25">
                  <c:v>0</c:v>
                </c:pt>
                <c:pt idx="26">
                  <c:v>28</c:v>
                </c:pt>
                <c:pt idx="27">
                  <c:v>0</c:v>
                </c:pt>
                <c:pt idx="28">
                  <c:v>0</c:v>
                </c:pt>
                <c:pt idx="29">
                  <c:v>0</c:v>
                </c:pt>
                <c:pt idx="30">
                  <c:v>0</c:v>
                </c:pt>
                <c:pt idx="31">
                  <c:v>0</c:v>
                </c:pt>
                <c:pt idx="32">
                  <c:v>0</c:v>
                </c:pt>
                <c:pt idx="33">
                  <c:v>64</c:v>
                </c:pt>
                <c:pt idx="34">
                  <c:v>0</c:v>
                </c:pt>
                <c:pt idx="35">
                  <c:v>0</c:v>
                </c:pt>
                <c:pt idx="36">
                  <c:v>0</c:v>
                </c:pt>
                <c:pt idx="37">
                  <c:v>0</c:v>
                </c:pt>
                <c:pt idx="38">
                  <c:v>18</c:v>
                </c:pt>
                <c:pt idx="39">
                  <c:v>0</c:v>
                </c:pt>
                <c:pt idx="40">
                  <c:v>0</c:v>
                </c:pt>
                <c:pt idx="41">
                  <c:v>0</c:v>
                </c:pt>
                <c:pt idx="42">
                  <c:v>0</c:v>
                </c:pt>
                <c:pt idx="43">
                  <c:v>30</c:v>
                </c:pt>
                <c:pt idx="44">
                  <c:v>0</c:v>
                </c:pt>
                <c:pt idx="45">
                  <c:v>16</c:v>
                </c:pt>
                <c:pt idx="46">
                  <c:v>21</c:v>
                </c:pt>
                <c:pt idx="47">
                  <c:v>0</c:v>
                </c:pt>
                <c:pt idx="48">
                  <c:v>0</c:v>
                </c:pt>
                <c:pt idx="49">
                  <c:v>0</c:v>
                </c:pt>
                <c:pt idx="50">
                  <c:v>13</c:v>
                </c:pt>
                <c:pt idx="51">
                  <c:v>0</c:v>
                </c:pt>
                <c:pt idx="52">
                  <c:v>0</c:v>
                </c:pt>
                <c:pt idx="53">
                  <c:v>0</c:v>
                </c:pt>
                <c:pt idx="54">
                  <c:v>0</c:v>
                </c:pt>
                <c:pt idx="55">
                  <c:v>0</c:v>
                </c:pt>
                <c:pt idx="56">
                  <c:v>0</c:v>
                </c:pt>
                <c:pt idx="57">
                  <c:v>0</c:v>
                </c:pt>
                <c:pt idx="58">
                  <c:v>17</c:v>
                </c:pt>
                <c:pt idx="59">
                  <c:v>16</c:v>
                </c:pt>
                <c:pt idx="60">
                  <c:v>20</c:v>
                </c:pt>
                <c:pt idx="61">
                  <c:v>0</c:v>
                </c:pt>
                <c:pt idx="62">
                  <c:v>0</c:v>
                </c:pt>
                <c:pt idx="63">
                  <c:v>0</c:v>
                </c:pt>
                <c:pt idx="64">
                  <c:v>0</c:v>
                </c:pt>
                <c:pt idx="65">
                  <c:v>0</c:v>
                </c:pt>
                <c:pt idx="66">
                  <c:v>0</c:v>
                </c:pt>
                <c:pt idx="67">
                  <c:v>15</c:v>
                </c:pt>
                <c:pt idx="68">
                  <c:v>0</c:v>
                </c:pt>
                <c:pt idx="69">
                  <c:v>0</c:v>
                </c:pt>
                <c:pt idx="70">
                  <c:v>0</c:v>
                </c:pt>
                <c:pt idx="71">
                  <c:v>0</c:v>
                </c:pt>
                <c:pt idx="72">
                  <c:v>22</c:v>
                </c:pt>
                <c:pt idx="73">
                  <c:v>7</c:v>
                </c:pt>
                <c:pt idx="74">
                  <c:v>0</c:v>
                </c:pt>
                <c:pt idx="75">
                  <c:v>10</c:v>
                </c:pt>
                <c:pt idx="76">
                  <c:v>12</c:v>
                </c:pt>
                <c:pt idx="77">
                  <c:v>7</c:v>
                </c:pt>
                <c:pt idx="78">
                  <c:v>0</c:v>
                </c:pt>
                <c:pt idx="79">
                  <c:v>0</c:v>
                </c:pt>
                <c:pt idx="80">
                  <c:v>10</c:v>
                </c:pt>
                <c:pt idx="81">
                  <c:v>0</c:v>
                </c:pt>
                <c:pt idx="82">
                  <c:v>12</c:v>
                </c:pt>
                <c:pt idx="83">
                  <c:v>0</c:v>
                </c:pt>
                <c:pt idx="84">
                  <c:v>9</c:v>
                </c:pt>
                <c:pt idx="85">
                  <c:v>28</c:v>
                </c:pt>
                <c:pt idx="86">
                  <c:v>7</c:v>
                </c:pt>
                <c:pt idx="87">
                  <c:v>8</c:v>
                </c:pt>
                <c:pt idx="88">
                  <c:v>15</c:v>
                </c:pt>
                <c:pt idx="89">
                  <c:v>6</c:v>
                </c:pt>
                <c:pt idx="90">
                  <c:v>0</c:v>
                </c:pt>
                <c:pt idx="91">
                  <c:v>0</c:v>
                </c:pt>
                <c:pt idx="92">
                  <c:v>0</c:v>
                </c:pt>
                <c:pt idx="93">
                  <c:v>0</c:v>
                </c:pt>
                <c:pt idx="94">
                  <c:v>9</c:v>
                </c:pt>
                <c:pt idx="95">
                  <c:v>0</c:v>
                </c:pt>
                <c:pt idx="96">
                  <c:v>14</c:v>
                </c:pt>
                <c:pt idx="97">
                  <c:v>0</c:v>
                </c:pt>
                <c:pt idx="98">
                  <c:v>0</c:v>
                </c:pt>
                <c:pt idx="99">
                  <c:v>9</c:v>
                </c:pt>
                <c:pt idx="100">
                  <c:v>6</c:v>
                </c:pt>
                <c:pt idx="101">
                  <c:v>5</c:v>
                </c:pt>
                <c:pt idx="102">
                  <c:v>0</c:v>
                </c:pt>
                <c:pt idx="103">
                  <c:v>0</c:v>
                </c:pt>
                <c:pt idx="104">
                  <c:v>0</c:v>
                </c:pt>
                <c:pt idx="105">
                  <c:v>0</c:v>
                </c:pt>
                <c:pt idx="106">
                  <c:v>5</c:v>
                </c:pt>
                <c:pt idx="107">
                  <c:v>6</c:v>
                </c:pt>
                <c:pt idx="108">
                  <c:v>0</c:v>
                </c:pt>
                <c:pt idx="109">
                  <c:v>0</c:v>
                </c:pt>
                <c:pt idx="110">
                  <c:v>6</c:v>
                </c:pt>
                <c:pt idx="111">
                  <c:v>10</c:v>
                </c:pt>
                <c:pt idx="112">
                  <c:v>0</c:v>
                </c:pt>
                <c:pt idx="113">
                  <c:v>0</c:v>
                </c:pt>
                <c:pt idx="114">
                  <c:v>0</c:v>
                </c:pt>
                <c:pt idx="115">
                  <c:v>0</c:v>
                </c:pt>
                <c:pt idx="116">
                  <c:v>6</c:v>
                </c:pt>
                <c:pt idx="117">
                  <c:v>0</c:v>
                </c:pt>
                <c:pt idx="118">
                  <c:v>0</c:v>
                </c:pt>
                <c:pt idx="119">
                  <c:v>21</c:v>
                </c:pt>
                <c:pt idx="120">
                  <c:v>0</c:v>
                </c:pt>
                <c:pt idx="121">
                  <c:v>4</c:v>
                </c:pt>
                <c:pt idx="122">
                  <c:v>0</c:v>
                </c:pt>
                <c:pt idx="123">
                  <c:v>8</c:v>
                </c:pt>
                <c:pt idx="124">
                  <c:v>11</c:v>
                </c:pt>
                <c:pt idx="125">
                  <c:v>4</c:v>
                </c:pt>
                <c:pt idx="126">
                  <c:v>6</c:v>
                </c:pt>
                <c:pt idx="127">
                  <c:v>0</c:v>
                </c:pt>
                <c:pt idx="128">
                  <c:v>7</c:v>
                </c:pt>
                <c:pt idx="129">
                  <c:v>0</c:v>
                </c:pt>
                <c:pt idx="130">
                  <c:v>5</c:v>
                </c:pt>
                <c:pt idx="131">
                  <c:v>0</c:v>
                </c:pt>
                <c:pt idx="132">
                  <c:v>0</c:v>
                </c:pt>
                <c:pt idx="133">
                  <c:v>0</c:v>
                </c:pt>
                <c:pt idx="134">
                  <c:v>0</c:v>
                </c:pt>
                <c:pt idx="135">
                  <c:v>3</c:v>
                </c:pt>
                <c:pt idx="136">
                  <c:v>5</c:v>
                </c:pt>
                <c:pt idx="137">
                  <c:v>0</c:v>
                </c:pt>
                <c:pt idx="138">
                  <c:v>0</c:v>
                </c:pt>
                <c:pt idx="139">
                  <c:v>7</c:v>
                </c:pt>
                <c:pt idx="140">
                  <c:v>0</c:v>
                </c:pt>
                <c:pt idx="141">
                  <c:v>7</c:v>
                </c:pt>
                <c:pt idx="142">
                  <c:v>0</c:v>
                </c:pt>
                <c:pt idx="143">
                  <c:v>0</c:v>
                </c:pt>
                <c:pt idx="144">
                  <c:v>0</c:v>
                </c:pt>
                <c:pt idx="145">
                  <c:v>0</c:v>
                </c:pt>
                <c:pt idx="146">
                  <c:v>5</c:v>
                </c:pt>
                <c:pt idx="147">
                  <c:v>10</c:v>
                </c:pt>
                <c:pt idx="148">
                  <c:v>4</c:v>
                </c:pt>
                <c:pt idx="149">
                  <c:v>17</c:v>
                </c:pt>
                <c:pt idx="150">
                  <c:v>0</c:v>
                </c:pt>
                <c:pt idx="151">
                  <c:v>0</c:v>
                </c:pt>
                <c:pt idx="152">
                  <c:v>0</c:v>
                </c:pt>
                <c:pt idx="153">
                  <c:v>0</c:v>
                </c:pt>
                <c:pt idx="154">
                  <c:v>5</c:v>
                </c:pt>
                <c:pt idx="155">
                  <c:v>14</c:v>
                </c:pt>
                <c:pt idx="156">
                  <c:v>10</c:v>
                </c:pt>
                <c:pt idx="157">
                  <c:v>6</c:v>
                </c:pt>
                <c:pt idx="158">
                  <c:v>9</c:v>
                </c:pt>
                <c:pt idx="159">
                  <c:v>9</c:v>
                </c:pt>
                <c:pt idx="160">
                  <c:v>13</c:v>
                </c:pt>
                <c:pt idx="161">
                  <c:v>4</c:v>
                </c:pt>
                <c:pt idx="162">
                  <c:v>0</c:v>
                </c:pt>
                <c:pt idx="163">
                  <c:v>0</c:v>
                </c:pt>
                <c:pt idx="164">
                  <c:v>0</c:v>
                </c:pt>
                <c:pt idx="165">
                  <c:v>0</c:v>
                </c:pt>
                <c:pt idx="166">
                  <c:v>5</c:v>
                </c:pt>
                <c:pt idx="167">
                  <c:v>8</c:v>
                </c:pt>
                <c:pt idx="168">
                  <c:v>10</c:v>
                </c:pt>
                <c:pt idx="169">
                  <c:v>3</c:v>
                </c:pt>
                <c:pt idx="170">
                  <c:v>0</c:v>
                </c:pt>
                <c:pt idx="171">
                  <c:v>3</c:v>
                </c:pt>
                <c:pt idx="172">
                  <c:v>7</c:v>
                </c:pt>
                <c:pt idx="173">
                  <c:v>4</c:v>
                </c:pt>
                <c:pt idx="174">
                  <c:v>3</c:v>
                </c:pt>
                <c:pt idx="175">
                  <c:v>7</c:v>
                </c:pt>
                <c:pt idx="176">
                  <c:v>5</c:v>
                </c:pt>
                <c:pt idx="177">
                  <c:v>0</c:v>
                </c:pt>
                <c:pt idx="178">
                  <c:v>6</c:v>
                </c:pt>
                <c:pt idx="179">
                  <c:v>3</c:v>
                </c:pt>
                <c:pt idx="180">
                  <c:v>2</c:v>
                </c:pt>
                <c:pt idx="181">
                  <c:v>4</c:v>
                </c:pt>
                <c:pt idx="182">
                  <c:v>7</c:v>
                </c:pt>
                <c:pt idx="183">
                  <c:v>6</c:v>
                </c:pt>
                <c:pt idx="184">
                  <c:v>8</c:v>
                </c:pt>
                <c:pt idx="185">
                  <c:v>8</c:v>
                </c:pt>
                <c:pt idx="186">
                  <c:v>2</c:v>
                </c:pt>
                <c:pt idx="187">
                  <c:v>3</c:v>
                </c:pt>
                <c:pt idx="188">
                  <c:v>2</c:v>
                </c:pt>
                <c:pt idx="189">
                  <c:v>5</c:v>
                </c:pt>
                <c:pt idx="190">
                  <c:v>5</c:v>
                </c:pt>
                <c:pt idx="191">
                  <c:v>6</c:v>
                </c:pt>
                <c:pt idx="192">
                  <c:v>5</c:v>
                </c:pt>
                <c:pt idx="193">
                  <c:v>4</c:v>
                </c:pt>
                <c:pt idx="194">
                  <c:v>6</c:v>
                </c:pt>
                <c:pt idx="195">
                  <c:v>3</c:v>
                </c:pt>
                <c:pt idx="196">
                  <c:v>6</c:v>
                </c:pt>
                <c:pt idx="197">
                  <c:v>3</c:v>
                </c:pt>
                <c:pt idx="198">
                  <c:v>0</c:v>
                </c:pt>
                <c:pt idx="199">
                  <c:v>0</c:v>
                </c:pt>
                <c:pt idx="200">
                  <c:v>0</c:v>
                </c:pt>
                <c:pt idx="201">
                  <c:v>2</c:v>
                </c:pt>
                <c:pt idx="202">
                  <c:v>7</c:v>
                </c:pt>
                <c:pt idx="203">
                  <c:v>3</c:v>
                </c:pt>
                <c:pt idx="204">
                  <c:v>7</c:v>
                </c:pt>
                <c:pt idx="205">
                  <c:v>3</c:v>
                </c:pt>
                <c:pt idx="206">
                  <c:v>3</c:v>
                </c:pt>
                <c:pt idx="207">
                  <c:v>4</c:v>
                </c:pt>
                <c:pt idx="208">
                  <c:v>6</c:v>
                </c:pt>
                <c:pt idx="209">
                  <c:v>0</c:v>
                </c:pt>
                <c:pt idx="210">
                  <c:v>0</c:v>
                </c:pt>
                <c:pt idx="211">
                  <c:v>0</c:v>
                </c:pt>
                <c:pt idx="212">
                  <c:v>0</c:v>
                </c:pt>
                <c:pt idx="213">
                  <c:v>0</c:v>
                </c:pt>
                <c:pt idx="214">
                  <c:v>0</c:v>
                </c:pt>
                <c:pt idx="215">
                  <c:v>4</c:v>
                </c:pt>
                <c:pt idx="216">
                  <c:v>9</c:v>
                </c:pt>
                <c:pt idx="217">
                  <c:v>0</c:v>
                </c:pt>
                <c:pt idx="218">
                  <c:v>4</c:v>
                </c:pt>
                <c:pt idx="219">
                  <c:v>5</c:v>
                </c:pt>
                <c:pt idx="220">
                  <c:v>5</c:v>
                </c:pt>
                <c:pt idx="221">
                  <c:v>0</c:v>
                </c:pt>
                <c:pt idx="222">
                  <c:v>0</c:v>
                </c:pt>
                <c:pt idx="223">
                  <c:v>0</c:v>
                </c:pt>
                <c:pt idx="224">
                  <c:v>2</c:v>
                </c:pt>
              </c:numCache>
            </c:numRef>
          </c:val>
          <c:smooth val="0"/>
          <c:extLst>
            <c:ext xmlns:c16="http://schemas.microsoft.com/office/drawing/2014/chart" uri="{C3380CC4-5D6E-409C-BE32-E72D297353CC}">
              <c16:uniqueId val="{00000001-7470-466C-B36D-E0C0CC0FAB80}"/>
            </c:ext>
          </c:extLst>
        </c:ser>
        <c:dLbls>
          <c:showLegendKey val="0"/>
          <c:showVal val="0"/>
          <c:showCatName val="0"/>
          <c:showSerName val="0"/>
          <c:showPercent val="0"/>
          <c:showBubbleSize val="0"/>
        </c:dLbls>
        <c:marker val="1"/>
        <c:smooth val="0"/>
        <c:axId val="169766912"/>
        <c:axId val="289316864"/>
      </c:lineChart>
      <c:dateAx>
        <c:axId val="169766912"/>
        <c:scaling>
          <c:orientation val="minMax"/>
        </c:scaling>
        <c:delete val="0"/>
        <c:axPos val="b"/>
        <c:numFmt formatCode="yyyy\-mm" sourceLinked="1"/>
        <c:majorTickMark val="out"/>
        <c:minorTickMark val="none"/>
        <c:tickLblPos val="nextTo"/>
        <c:crossAx val="289316864"/>
        <c:crosses val="autoZero"/>
        <c:auto val="1"/>
        <c:lblOffset val="100"/>
        <c:baseTimeUnit val="months"/>
      </c:dateAx>
      <c:valAx>
        <c:axId val="289316864"/>
        <c:scaling>
          <c:orientation val="minMax"/>
        </c:scaling>
        <c:delete val="0"/>
        <c:axPos val="l"/>
        <c:majorGridlines/>
        <c:numFmt formatCode="General" sourceLinked="1"/>
        <c:majorTickMark val="out"/>
        <c:minorTickMark val="none"/>
        <c:tickLblPos val="nextTo"/>
        <c:crossAx val="169766912"/>
        <c:crosses val="autoZero"/>
        <c:crossBetween val="between"/>
      </c:valAx>
      <c:valAx>
        <c:axId val="289317440"/>
        <c:scaling>
          <c:orientation val="minMax"/>
        </c:scaling>
        <c:delete val="0"/>
        <c:axPos val="r"/>
        <c:numFmt formatCode="General" sourceLinked="1"/>
        <c:majorTickMark val="out"/>
        <c:minorTickMark val="none"/>
        <c:tickLblPos val="nextTo"/>
        <c:crossAx val="170655232"/>
        <c:crosses val="max"/>
        <c:crossBetween val="between"/>
      </c:valAx>
      <c:dateAx>
        <c:axId val="170655232"/>
        <c:scaling>
          <c:orientation val="minMax"/>
        </c:scaling>
        <c:delete val="1"/>
        <c:axPos val="b"/>
        <c:numFmt formatCode="yyyy\-mm" sourceLinked="1"/>
        <c:majorTickMark val="out"/>
        <c:minorTickMark val="none"/>
        <c:tickLblPos val="nextTo"/>
        <c:crossAx val="289317440"/>
        <c:crosses val="autoZero"/>
        <c:auto val="1"/>
        <c:lblOffset val="100"/>
        <c:baseTimeUnit val="months"/>
      </c:dateAx>
      <c:spPr>
        <a:noFill/>
        <a:ln w="25400">
          <a:noFill/>
        </a:ln>
      </c:spPr>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6220507526440633"/>
          <c:y val="8.0840483174897268E-2"/>
          <c:w val="0.73947445540685752"/>
          <c:h val="0.4939823698508275"/>
        </c:manualLayout>
      </c:layout>
      <c:lineChart>
        <c:grouping val="standard"/>
        <c:varyColors val="0"/>
        <c:ser>
          <c:idx val="0"/>
          <c:order val="0"/>
          <c:tx>
            <c:strRef>
              <c:f>Лист2!$D$2</c:f>
              <c:strCache>
                <c:ptCount val="1"/>
                <c:pt idx="0">
                  <c:v>на вимогу</c:v>
                </c:pt>
              </c:strCache>
            </c:strRef>
          </c:tx>
          <c:spPr>
            <a:ln w="28575" cap="rnd">
              <a:solidFill>
                <a:schemeClr val="dk1">
                  <a:tint val="88500"/>
                </a:schemeClr>
              </a:solidFill>
              <a:round/>
            </a:ln>
            <a:effectLst/>
          </c:spPr>
          <c:marker>
            <c:symbol val="none"/>
          </c:marker>
          <c:cat>
            <c:multiLvlStrRef>
              <c:f>Лист2!$A$3:$C$66</c:f>
              <c:multiLvlStrCache>
                <c:ptCount val="64"/>
                <c:lvl>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січень</c:v>
                  </c:pt>
                  <c:pt idx="13">
                    <c:v>лютий</c:v>
                  </c:pt>
                  <c:pt idx="14">
                    <c:v>березень</c:v>
                  </c:pt>
                  <c:pt idx="15">
                    <c:v>квітень</c:v>
                  </c:pt>
                  <c:pt idx="16">
                    <c:v>травень</c:v>
                  </c:pt>
                  <c:pt idx="17">
                    <c:v>червень</c:v>
                  </c:pt>
                  <c:pt idx="18">
                    <c:v>липень</c:v>
                  </c:pt>
                  <c:pt idx="19">
                    <c:v>серпень</c:v>
                  </c:pt>
                  <c:pt idx="20">
                    <c:v>вересень</c:v>
                  </c:pt>
                  <c:pt idx="21">
                    <c:v>жовтень</c:v>
                  </c:pt>
                  <c:pt idx="22">
                    <c:v>листопад</c:v>
                  </c:pt>
                  <c:pt idx="23">
                    <c:v>грудень</c:v>
                  </c:pt>
                  <c:pt idx="24">
                    <c:v>січень</c:v>
                  </c:pt>
                  <c:pt idx="25">
                    <c:v>лютий</c:v>
                  </c:pt>
                  <c:pt idx="26">
                    <c:v>березень</c:v>
                  </c:pt>
                  <c:pt idx="27">
                    <c:v>квітень</c:v>
                  </c:pt>
                  <c:pt idx="28">
                    <c:v>травень</c:v>
                  </c:pt>
                  <c:pt idx="29">
                    <c:v>червень</c:v>
                  </c:pt>
                  <c:pt idx="30">
                    <c:v>липень</c:v>
                  </c:pt>
                  <c:pt idx="31">
                    <c:v>серпень</c:v>
                  </c:pt>
                  <c:pt idx="32">
                    <c:v>вересень</c:v>
                  </c:pt>
                  <c:pt idx="33">
                    <c:v>жовтень</c:v>
                  </c:pt>
                  <c:pt idx="34">
                    <c:v>листопад</c:v>
                  </c:pt>
                  <c:pt idx="35">
                    <c:v>грудень</c:v>
                  </c:pt>
                  <c:pt idx="36">
                    <c:v>січень</c:v>
                  </c:pt>
                  <c:pt idx="37">
                    <c:v>лютий</c:v>
                  </c:pt>
                  <c:pt idx="38">
                    <c:v>березень</c:v>
                  </c:pt>
                  <c:pt idx="39">
                    <c:v>квітень</c:v>
                  </c:pt>
                  <c:pt idx="40">
                    <c:v>травень</c:v>
                  </c:pt>
                  <c:pt idx="41">
                    <c:v>червень</c:v>
                  </c:pt>
                  <c:pt idx="42">
                    <c:v>липень</c:v>
                  </c:pt>
                  <c:pt idx="43">
                    <c:v>серпень</c:v>
                  </c:pt>
                  <c:pt idx="44">
                    <c:v>вересень</c:v>
                  </c:pt>
                  <c:pt idx="45">
                    <c:v>жовтень</c:v>
                  </c:pt>
                  <c:pt idx="46">
                    <c:v>листопад</c:v>
                  </c:pt>
                  <c:pt idx="47">
                    <c:v>грудень</c:v>
                  </c:pt>
                  <c:pt idx="48">
                    <c:v>січень</c:v>
                  </c:pt>
                  <c:pt idx="49">
                    <c:v>лютий</c:v>
                  </c:pt>
                  <c:pt idx="50">
                    <c:v>березень</c:v>
                  </c:pt>
                  <c:pt idx="51">
                    <c:v>квітень</c:v>
                  </c:pt>
                  <c:pt idx="52">
                    <c:v>травень</c:v>
                  </c:pt>
                  <c:pt idx="53">
                    <c:v>червень</c:v>
                  </c:pt>
                  <c:pt idx="54">
                    <c:v>липень</c:v>
                  </c:pt>
                  <c:pt idx="55">
                    <c:v>серпень</c:v>
                  </c:pt>
                  <c:pt idx="56">
                    <c:v>вересень</c:v>
                  </c:pt>
                  <c:pt idx="57">
                    <c:v>жовтень</c:v>
                  </c:pt>
                  <c:pt idx="58">
                    <c:v>листопад</c:v>
                  </c:pt>
                  <c:pt idx="59">
                    <c:v>грудень</c:v>
                  </c:pt>
                  <c:pt idx="60">
                    <c:v>січень</c:v>
                  </c:pt>
                  <c:pt idx="61">
                    <c:v>лютий</c:v>
                  </c:pt>
                  <c:pt idx="62">
                    <c:v>березень</c:v>
                  </c:pt>
                  <c:pt idx="63">
                    <c:v>квітень</c:v>
                  </c:pt>
                </c:lvl>
                <c:lvl>
                  <c:pt idx="0">
                    <c:v>2018</c:v>
                  </c:pt>
                  <c:pt idx="12">
                    <c:v>2019</c:v>
                  </c:pt>
                  <c:pt idx="24">
                    <c:v>2020</c:v>
                  </c:pt>
                  <c:pt idx="36">
                    <c:v>2021</c:v>
                  </c:pt>
                  <c:pt idx="48">
                    <c:v>2022</c:v>
                  </c:pt>
                  <c:pt idx="60">
                    <c:v>2023</c:v>
                  </c:pt>
                </c:lvl>
              </c:multiLvlStrCache>
            </c:multiLvlStrRef>
          </c:cat>
          <c:val>
            <c:numRef>
              <c:f>Лист2!$D$3:$D$66</c:f>
              <c:numCache>
                <c:formatCode>#\ ##0;\–#\ ##0;"–"</c:formatCode>
                <c:ptCount val="64"/>
                <c:pt idx="0">
                  <c:v>201466.72634285007</c:v>
                </c:pt>
                <c:pt idx="1">
                  <c:v>203232.55271323991</c:v>
                </c:pt>
                <c:pt idx="2">
                  <c:v>198627.78420663974</c:v>
                </c:pt>
                <c:pt idx="3">
                  <c:v>207461.81390936</c:v>
                </c:pt>
                <c:pt idx="4">
                  <c:v>217062.47765100008</c:v>
                </c:pt>
                <c:pt idx="5">
                  <c:v>199542.08611065999</c:v>
                </c:pt>
                <c:pt idx="6">
                  <c:v>217295.92229573999</c:v>
                </c:pt>
                <c:pt idx="7">
                  <c:v>211326.4885564599</c:v>
                </c:pt>
                <c:pt idx="8">
                  <c:v>214790.67710177999</c:v>
                </c:pt>
                <c:pt idx="9">
                  <c:v>217760.0820933599</c:v>
                </c:pt>
                <c:pt idx="10">
                  <c:v>194169.30491169999</c:v>
                </c:pt>
                <c:pt idx="11">
                  <c:v>214575.63864506001</c:v>
                </c:pt>
                <c:pt idx="12">
                  <c:v>220373.78719814992</c:v>
                </c:pt>
                <c:pt idx="13">
                  <c:v>219658.31432097999</c:v>
                </c:pt>
                <c:pt idx="14">
                  <c:v>212345.04047005888</c:v>
                </c:pt>
                <c:pt idx="15">
                  <c:v>211434.24893228</c:v>
                </c:pt>
                <c:pt idx="16">
                  <c:v>215685.32363251998</c:v>
                </c:pt>
                <c:pt idx="17">
                  <c:v>218350.57321639001</c:v>
                </c:pt>
                <c:pt idx="18">
                  <c:v>251157.58978672008</c:v>
                </c:pt>
                <c:pt idx="19">
                  <c:v>238593.82843311003</c:v>
                </c:pt>
                <c:pt idx="20">
                  <c:v>238882.81683382008</c:v>
                </c:pt>
                <c:pt idx="21">
                  <c:v>249212.68219153001</c:v>
                </c:pt>
                <c:pt idx="22">
                  <c:v>247736.527446069</c:v>
                </c:pt>
                <c:pt idx="23">
                  <c:v>313147.08226679999</c:v>
                </c:pt>
                <c:pt idx="24">
                  <c:v>333933.78324580996</c:v>
                </c:pt>
                <c:pt idx="25">
                  <c:v>331213.57653060998</c:v>
                </c:pt>
                <c:pt idx="26">
                  <c:v>324952.7876234001</c:v>
                </c:pt>
                <c:pt idx="27">
                  <c:v>318518.68233377999</c:v>
                </c:pt>
                <c:pt idx="28">
                  <c:v>317600.22094453999</c:v>
                </c:pt>
                <c:pt idx="29">
                  <c:v>317097.66604043002</c:v>
                </c:pt>
                <c:pt idx="30">
                  <c:v>334562.7065807599</c:v>
                </c:pt>
                <c:pt idx="31">
                  <c:v>337286.67464143969</c:v>
                </c:pt>
                <c:pt idx="32">
                  <c:v>354508.44030945003</c:v>
                </c:pt>
                <c:pt idx="33">
                  <c:v>365707.73808129982</c:v>
                </c:pt>
                <c:pt idx="34">
                  <c:v>370341.14631024003</c:v>
                </c:pt>
                <c:pt idx="35">
                  <c:v>383757.828231939</c:v>
                </c:pt>
                <c:pt idx="36">
                  <c:v>381282.34608559002</c:v>
                </c:pt>
                <c:pt idx="37">
                  <c:v>380031.10779919912</c:v>
                </c:pt>
                <c:pt idx="38">
                  <c:v>395904.21936606104</c:v>
                </c:pt>
                <c:pt idx="39">
                  <c:v>399827.07470752002</c:v>
                </c:pt>
                <c:pt idx="40">
                  <c:v>424263.30094885</c:v>
                </c:pt>
                <c:pt idx="41">
                  <c:v>420132.72966277</c:v>
                </c:pt>
                <c:pt idx="42">
                  <c:v>412540.85180443001</c:v>
                </c:pt>
                <c:pt idx="43">
                  <c:v>396685.69899011002</c:v>
                </c:pt>
                <c:pt idx="44">
                  <c:v>433800.03424236999</c:v>
                </c:pt>
                <c:pt idx="45">
                  <c:v>438282.70459050004</c:v>
                </c:pt>
                <c:pt idx="46">
                  <c:v>453527.95037709002</c:v>
                </c:pt>
                <c:pt idx="47">
                  <c:v>482803.60979685996</c:v>
                </c:pt>
                <c:pt idx="48">
                  <c:v>481205.52446972998</c:v>
                </c:pt>
                <c:pt idx="49">
                  <c:v>453353.0297021601</c:v>
                </c:pt>
                <c:pt idx="50">
                  <c:v>453443.20454483095</c:v>
                </c:pt>
                <c:pt idx="51">
                  <c:v>483760.91128814884</c:v>
                </c:pt>
                <c:pt idx="52">
                  <c:v>480621.02442189015</c:v>
                </c:pt>
                <c:pt idx="53">
                  <c:v>469176.67198081902</c:v>
                </c:pt>
                <c:pt idx="54">
                  <c:v>475668.06653277</c:v>
                </c:pt>
                <c:pt idx="55">
                  <c:v>481839.8053381287</c:v>
                </c:pt>
                <c:pt idx="56">
                  <c:v>481650.06066857907</c:v>
                </c:pt>
                <c:pt idx="57">
                  <c:v>517400.61422675883</c:v>
                </c:pt>
                <c:pt idx="58">
                  <c:v>516699.9365457379</c:v>
                </c:pt>
                <c:pt idx="59">
                  <c:v>545500.96914335014</c:v>
                </c:pt>
                <c:pt idx="60">
                  <c:v>566479.68696455983</c:v>
                </c:pt>
                <c:pt idx="61">
                  <c:v>551443.39034189004</c:v>
                </c:pt>
                <c:pt idx="62">
                  <c:v>553709.24767241906</c:v>
                </c:pt>
                <c:pt idx="63">
                  <c:v>563170.93240912003</c:v>
                </c:pt>
              </c:numCache>
            </c:numRef>
          </c:val>
          <c:smooth val="0"/>
          <c:extLst>
            <c:ext xmlns:c16="http://schemas.microsoft.com/office/drawing/2014/chart" uri="{C3380CC4-5D6E-409C-BE32-E72D297353CC}">
              <c16:uniqueId val="{00000000-8AF3-4DFF-B7DB-F3DD1073FCA7}"/>
            </c:ext>
          </c:extLst>
        </c:ser>
        <c:ser>
          <c:idx val="1"/>
          <c:order val="1"/>
          <c:tx>
            <c:strRef>
              <c:f>Лист2!$E$2</c:f>
              <c:strCache>
                <c:ptCount val="1"/>
                <c:pt idx="0">
                  <c:v>до 1 року</c:v>
                </c:pt>
              </c:strCache>
            </c:strRef>
          </c:tx>
          <c:spPr>
            <a:ln w="28575" cap="rnd">
              <a:solidFill>
                <a:schemeClr val="dk1">
                  <a:tint val="55000"/>
                </a:schemeClr>
              </a:solidFill>
              <a:round/>
            </a:ln>
            <a:effectLst/>
          </c:spPr>
          <c:marker>
            <c:symbol val="none"/>
          </c:marker>
          <c:cat>
            <c:multiLvlStrRef>
              <c:f>Лист2!$A$3:$C$66</c:f>
              <c:multiLvlStrCache>
                <c:ptCount val="64"/>
                <c:lvl>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січень</c:v>
                  </c:pt>
                  <c:pt idx="13">
                    <c:v>лютий</c:v>
                  </c:pt>
                  <c:pt idx="14">
                    <c:v>березень</c:v>
                  </c:pt>
                  <c:pt idx="15">
                    <c:v>квітень</c:v>
                  </c:pt>
                  <c:pt idx="16">
                    <c:v>травень</c:v>
                  </c:pt>
                  <c:pt idx="17">
                    <c:v>червень</c:v>
                  </c:pt>
                  <c:pt idx="18">
                    <c:v>липень</c:v>
                  </c:pt>
                  <c:pt idx="19">
                    <c:v>серпень</c:v>
                  </c:pt>
                  <c:pt idx="20">
                    <c:v>вересень</c:v>
                  </c:pt>
                  <c:pt idx="21">
                    <c:v>жовтень</c:v>
                  </c:pt>
                  <c:pt idx="22">
                    <c:v>листопад</c:v>
                  </c:pt>
                  <c:pt idx="23">
                    <c:v>грудень</c:v>
                  </c:pt>
                  <c:pt idx="24">
                    <c:v>січень</c:v>
                  </c:pt>
                  <c:pt idx="25">
                    <c:v>лютий</c:v>
                  </c:pt>
                  <c:pt idx="26">
                    <c:v>березень</c:v>
                  </c:pt>
                  <c:pt idx="27">
                    <c:v>квітень</c:v>
                  </c:pt>
                  <c:pt idx="28">
                    <c:v>травень</c:v>
                  </c:pt>
                  <c:pt idx="29">
                    <c:v>червень</c:v>
                  </c:pt>
                  <c:pt idx="30">
                    <c:v>липень</c:v>
                  </c:pt>
                  <c:pt idx="31">
                    <c:v>серпень</c:v>
                  </c:pt>
                  <c:pt idx="32">
                    <c:v>вересень</c:v>
                  </c:pt>
                  <c:pt idx="33">
                    <c:v>жовтень</c:v>
                  </c:pt>
                  <c:pt idx="34">
                    <c:v>листопад</c:v>
                  </c:pt>
                  <c:pt idx="35">
                    <c:v>грудень</c:v>
                  </c:pt>
                  <c:pt idx="36">
                    <c:v>січень</c:v>
                  </c:pt>
                  <c:pt idx="37">
                    <c:v>лютий</c:v>
                  </c:pt>
                  <c:pt idx="38">
                    <c:v>березень</c:v>
                  </c:pt>
                  <c:pt idx="39">
                    <c:v>квітень</c:v>
                  </c:pt>
                  <c:pt idx="40">
                    <c:v>травень</c:v>
                  </c:pt>
                  <c:pt idx="41">
                    <c:v>червень</c:v>
                  </c:pt>
                  <c:pt idx="42">
                    <c:v>липень</c:v>
                  </c:pt>
                  <c:pt idx="43">
                    <c:v>серпень</c:v>
                  </c:pt>
                  <c:pt idx="44">
                    <c:v>вересень</c:v>
                  </c:pt>
                  <c:pt idx="45">
                    <c:v>жовтень</c:v>
                  </c:pt>
                  <c:pt idx="46">
                    <c:v>листопад</c:v>
                  </c:pt>
                  <c:pt idx="47">
                    <c:v>грудень</c:v>
                  </c:pt>
                  <c:pt idx="48">
                    <c:v>січень</c:v>
                  </c:pt>
                  <c:pt idx="49">
                    <c:v>лютий</c:v>
                  </c:pt>
                  <c:pt idx="50">
                    <c:v>березень</c:v>
                  </c:pt>
                  <c:pt idx="51">
                    <c:v>квітень</c:v>
                  </c:pt>
                  <c:pt idx="52">
                    <c:v>травень</c:v>
                  </c:pt>
                  <c:pt idx="53">
                    <c:v>червень</c:v>
                  </c:pt>
                  <c:pt idx="54">
                    <c:v>липень</c:v>
                  </c:pt>
                  <c:pt idx="55">
                    <c:v>серпень</c:v>
                  </c:pt>
                  <c:pt idx="56">
                    <c:v>вересень</c:v>
                  </c:pt>
                  <c:pt idx="57">
                    <c:v>жовтень</c:v>
                  </c:pt>
                  <c:pt idx="58">
                    <c:v>листопад</c:v>
                  </c:pt>
                  <c:pt idx="59">
                    <c:v>грудень</c:v>
                  </c:pt>
                  <c:pt idx="60">
                    <c:v>січень</c:v>
                  </c:pt>
                  <c:pt idx="61">
                    <c:v>лютий</c:v>
                  </c:pt>
                  <c:pt idx="62">
                    <c:v>березень</c:v>
                  </c:pt>
                  <c:pt idx="63">
                    <c:v>квітень</c:v>
                  </c:pt>
                </c:lvl>
                <c:lvl>
                  <c:pt idx="0">
                    <c:v>2018</c:v>
                  </c:pt>
                  <c:pt idx="12">
                    <c:v>2019</c:v>
                  </c:pt>
                  <c:pt idx="24">
                    <c:v>2020</c:v>
                  </c:pt>
                  <c:pt idx="36">
                    <c:v>2021</c:v>
                  </c:pt>
                  <c:pt idx="48">
                    <c:v>2022</c:v>
                  </c:pt>
                  <c:pt idx="60">
                    <c:v>2023</c:v>
                  </c:pt>
                </c:lvl>
              </c:multiLvlStrCache>
            </c:multiLvlStrRef>
          </c:cat>
          <c:val>
            <c:numRef>
              <c:f>Лист2!$E$3:$E$66</c:f>
              <c:numCache>
                <c:formatCode>#\ ##0;\–#\ ##0;"–"</c:formatCode>
                <c:ptCount val="64"/>
                <c:pt idx="0">
                  <c:v>88153.429432529971</c:v>
                </c:pt>
                <c:pt idx="1">
                  <c:v>85205.055125599945</c:v>
                </c:pt>
                <c:pt idx="2">
                  <c:v>82869.336663339956</c:v>
                </c:pt>
                <c:pt idx="3">
                  <c:v>87319.4321376601</c:v>
                </c:pt>
                <c:pt idx="4">
                  <c:v>84029.1201915602</c:v>
                </c:pt>
                <c:pt idx="5">
                  <c:v>88568.784704999998</c:v>
                </c:pt>
                <c:pt idx="6">
                  <c:v>88215.078673140102</c:v>
                </c:pt>
                <c:pt idx="7">
                  <c:v>85435.173687050003</c:v>
                </c:pt>
                <c:pt idx="8">
                  <c:v>85884.915609789896</c:v>
                </c:pt>
                <c:pt idx="9">
                  <c:v>84638.094324189908</c:v>
                </c:pt>
                <c:pt idx="10">
                  <c:v>84587.757920300108</c:v>
                </c:pt>
                <c:pt idx="11">
                  <c:v>93529.806840170189</c:v>
                </c:pt>
                <c:pt idx="12">
                  <c:v>88731.495066399802</c:v>
                </c:pt>
                <c:pt idx="13">
                  <c:v>86358.779135960111</c:v>
                </c:pt>
                <c:pt idx="14">
                  <c:v>86309.793702630006</c:v>
                </c:pt>
                <c:pt idx="15">
                  <c:v>91518.926467330006</c:v>
                </c:pt>
                <c:pt idx="16">
                  <c:v>90147.253899799907</c:v>
                </c:pt>
                <c:pt idx="17">
                  <c:v>88518.396343570101</c:v>
                </c:pt>
                <c:pt idx="18">
                  <c:v>87654.066249430005</c:v>
                </c:pt>
                <c:pt idx="19">
                  <c:v>86722.281554749905</c:v>
                </c:pt>
                <c:pt idx="20">
                  <c:v>91187.088214849995</c:v>
                </c:pt>
                <c:pt idx="21">
                  <c:v>86796.735477380091</c:v>
                </c:pt>
                <c:pt idx="22">
                  <c:v>87323.059494310088</c:v>
                </c:pt>
                <c:pt idx="23">
                  <c:v>90261.762430400195</c:v>
                </c:pt>
                <c:pt idx="24">
                  <c:v>89679.990351970104</c:v>
                </c:pt>
                <c:pt idx="25">
                  <c:v>90055.330726280008</c:v>
                </c:pt>
                <c:pt idx="26">
                  <c:v>89581.98641225</c:v>
                </c:pt>
                <c:pt idx="27">
                  <c:v>88341.3965628601</c:v>
                </c:pt>
                <c:pt idx="28">
                  <c:v>102259.3250443899</c:v>
                </c:pt>
                <c:pt idx="29">
                  <c:v>107217.23556869981</c:v>
                </c:pt>
                <c:pt idx="30">
                  <c:v>115975.26593903999</c:v>
                </c:pt>
                <c:pt idx="31">
                  <c:v>115392.35222575</c:v>
                </c:pt>
                <c:pt idx="32">
                  <c:v>123151.47653889</c:v>
                </c:pt>
                <c:pt idx="33">
                  <c:v>125605.91550232</c:v>
                </c:pt>
                <c:pt idx="34">
                  <c:v>122581.7131008</c:v>
                </c:pt>
                <c:pt idx="35">
                  <c:v>136944.89546376999</c:v>
                </c:pt>
                <c:pt idx="36">
                  <c:v>128696.88441497</c:v>
                </c:pt>
                <c:pt idx="37">
                  <c:v>124986.44287316999</c:v>
                </c:pt>
                <c:pt idx="38">
                  <c:v>123090.69402398</c:v>
                </c:pt>
                <c:pt idx="39">
                  <c:v>122794.97881707</c:v>
                </c:pt>
                <c:pt idx="40">
                  <c:v>106745.5381887499</c:v>
                </c:pt>
                <c:pt idx="41">
                  <c:v>108691.1424741798</c:v>
                </c:pt>
                <c:pt idx="42">
                  <c:v>124620.40851225001</c:v>
                </c:pt>
                <c:pt idx="43">
                  <c:v>129194.77134343999</c:v>
                </c:pt>
                <c:pt idx="44">
                  <c:v>110628.2269576401</c:v>
                </c:pt>
                <c:pt idx="45">
                  <c:v>111339.62042489991</c:v>
                </c:pt>
                <c:pt idx="46">
                  <c:v>109028.4735279499</c:v>
                </c:pt>
                <c:pt idx="47">
                  <c:v>121158.10647708</c:v>
                </c:pt>
                <c:pt idx="48">
                  <c:v>115047.86370627</c:v>
                </c:pt>
                <c:pt idx="49">
                  <c:v>93134.597547639802</c:v>
                </c:pt>
                <c:pt idx="50">
                  <c:v>77713.148558379908</c:v>
                </c:pt>
                <c:pt idx="51">
                  <c:v>75455.244904339997</c:v>
                </c:pt>
                <c:pt idx="52">
                  <c:v>78961.200748730102</c:v>
                </c:pt>
                <c:pt idx="53">
                  <c:v>85907.795401790005</c:v>
                </c:pt>
                <c:pt idx="54">
                  <c:v>98133.361634840112</c:v>
                </c:pt>
                <c:pt idx="55">
                  <c:v>94327.034390630099</c:v>
                </c:pt>
                <c:pt idx="56">
                  <c:v>109110.3170948599</c:v>
                </c:pt>
                <c:pt idx="57">
                  <c:v>106758.5053358101</c:v>
                </c:pt>
                <c:pt idx="58">
                  <c:v>115280.39912483961</c:v>
                </c:pt>
                <c:pt idx="59">
                  <c:v>125821.84970203</c:v>
                </c:pt>
                <c:pt idx="60">
                  <c:v>129843.34133234</c:v>
                </c:pt>
                <c:pt idx="61">
                  <c:v>165401.02927259001</c:v>
                </c:pt>
                <c:pt idx="62">
                  <c:v>210731.44512521001</c:v>
                </c:pt>
                <c:pt idx="63">
                  <c:v>236401.71024774</c:v>
                </c:pt>
              </c:numCache>
            </c:numRef>
          </c:val>
          <c:smooth val="0"/>
          <c:extLst>
            <c:ext xmlns:c16="http://schemas.microsoft.com/office/drawing/2014/chart" uri="{C3380CC4-5D6E-409C-BE32-E72D297353CC}">
              <c16:uniqueId val="{00000001-8AF3-4DFF-B7DB-F3DD1073FCA7}"/>
            </c:ext>
          </c:extLst>
        </c:ser>
        <c:ser>
          <c:idx val="2"/>
          <c:order val="2"/>
          <c:tx>
            <c:strRef>
              <c:f>Лист2!$F$2</c:f>
              <c:strCache>
                <c:ptCount val="1"/>
                <c:pt idx="0">
                  <c:v>від  1 року до 2 років</c:v>
                </c:pt>
              </c:strCache>
            </c:strRef>
          </c:tx>
          <c:spPr>
            <a:ln w="28575" cap="rnd">
              <a:solidFill>
                <a:schemeClr val="dk1">
                  <a:tint val="75000"/>
                </a:schemeClr>
              </a:solidFill>
              <a:round/>
            </a:ln>
            <a:effectLst/>
          </c:spPr>
          <c:marker>
            <c:symbol val="none"/>
          </c:marker>
          <c:cat>
            <c:multiLvlStrRef>
              <c:f>Лист2!$A$3:$C$66</c:f>
              <c:multiLvlStrCache>
                <c:ptCount val="64"/>
                <c:lvl>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січень</c:v>
                  </c:pt>
                  <c:pt idx="13">
                    <c:v>лютий</c:v>
                  </c:pt>
                  <c:pt idx="14">
                    <c:v>березень</c:v>
                  </c:pt>
                  <c:pt idx="15">
                    <c:v>квітень</c:v>
                  </c:pt>
                  <c:pt idx="16">
                    <c:v>травень</c:v>
                  </c:pt>
                  <c:pt idx="17">
                    <c:v>червень</c:v>
                  </c:pt>
                  <c:pt idx="18">
                    <c:v>липень</c:v>
                  </c:pt>
                  <c:pt idx="19">
                    <c:v>серпень</c:v>
                  </c:pt>
                  <c:pt idx="20">
                    <c:v>вересень</c:v>
                  </c:pt>
                  <c:pt idx="21">
                    <c:v>жовтень</c:v>
                  </c:pt>
                  <c:pt idx="22">
                    <c:v>листопад</c:v>
                  </c:pt>
                  <c:pt idx="23">
                    <c:v>грудень</c:v>
                  </c:pt>
                  <c:pt idx="24">
                    <c:v>січень</c:v>
                  </c:pt>
                  <c:pt idx="25">
                    <c:v>лютий</c:v>
                  </c:pt>
                  <c:pt idx="26">
                    <c:v>березень</c:v>
                  </c:pt>
                  <c:pt idx="27">
                    <c:v>квітень</c:v>
                  </c:pt>
                  <c:pt idx="28">
                    <c:v>травень</c:v>
                  </c:pt>
                  <c:pt idx="29">
                    <c:v>червень</c:v>
                  </c:pt>
                  <c:pt idx="30">
                    <c:v>липень</c:v>
                  </c:pt>
                  <c:pt idx="31">
                    <c:v>серпень</c:v>
                  </c:pt>
                  <c:pt idx="32">
                    <c:v>вересень</c:v>
                  </c:pt>
                  <c:pt idx="33">
                    <c:v>жовтень</c:v>
                  </c:pt>
                  <c:pt idx="34">
                    <c:v>листопад</c:v>
                  </c:pt>
                  <c:pt idx="35">
                    <c:v>грудень</c:v>
                  </c:pt>
                  <c:pt idx="36">
                    <c:v>січень</c:v>
                  </c:pt>
                  <c:pt idx="37">
                    <c:v>лютий</c:v>
                  </c:pt>
                  <c:pt idx="38">
                    <c:v>березень</c:v>
                  </c:pt>
                  <c:pt idx="39">
                    <c:v>квітень</c:v>
                  </c:pt>
                  <c:pt idx="40">
                    <c:v>травень</c:v>
                  </c:pt>
                  <c:pt idx="41">
                    <c:v>червень</c:v>
                  </c:pt>
                  <c:pt idx="42">
                    <c:v>липень</c:v>
                  </c:pt>
                  <c:pt idx="43">
                    <c:v>серпень</c:v>
                  </c:pt>
                  <c:pt idx="44">
                    <c:v>вересень</c:v>
                  </c:pt>
                  <c:pt idx="45">
                    <c:v>жовтень</c:v>
                  </c:pt>
                  <c:pt idx="46">
                    <c:v>листопад</c:v>
                  </c:pt>
                  <c:pt idx="47">
                    <c:v>грудень</c:v>
                  </c:pt>
                  <c:pt idx="48">
                    <c:v>січень</c:v>
                  </c:pt>
                  <c:pt idx="49">
                    <c:v>лютий</c:v>
                  </c:pt>
                  <c:pt idx="50">
                    <c:v>березень</c:v>
                  </c:pt>
                  <c:pt idx="51">
                    <c:v>квітень</c:v>
                  </c:pt>
                  <c:pt idx="52">
                    <c:v>травень</c:v>
                  </c:pt>
                  <c:pt idx="53">
                    <c:v>червень</c:v>
                  </c:pt>
                  <c:pt idx="54">
                    <c:v>липень</c:v>
                  </c:pt>
                  <c:pt idx="55">
                    <c:v>серпень</c:v>
                  </c:pt>
                  <c:pt idx="56">
                    <c:v>вересень</c:v>
                  </c:pt>
                  <c:pt idx="57">
                    <c:v>жовтень</c:v>
                  </c:pt>
                  <c:pt idx="58">
                    <c:v>листопад</c:v>
                  </c:pt>
                  <c:pt idx="59">
                    <c:v>грудень</c:v>
                  </c:pt>
                  <c:pt idx="60">
                    <c:v>січень</c:v>
                  </c:pt>
                  <c:pt idx="61">
                    <c:v>лютий</c:v>
                  </c:pt>
                  <c:pt idx="62">
                    <c:v>березень</c:v>
                  </c:pt>
                  <c:pt idx="63">
                    <c:v>квітень</c:v>
                  </c:pt>
                </c:lvl>
                <c:lvl>
                  <c:pt idx="0">
                    <c:v>2018</c:v>
                  </c:pt>
                  <c:pt idx="12">
                    <c:v>2019</c:v>
                  </c:pt>
                  <c:pt idx="24">
                    <c:v>2020</c:v>
                  </c:pt>
                  <c:pt idx="36">
                    <c:v>2021</c:v>
                  </c:pt>
                  <c:pt idx="48">
                    <c:v>2022</c:v>
                  </c:pt>
                  <c:pt idx="60">
                    <c:v>2023</c:v>
                  </c:pt>
                </c:lvl>
              </c:multiLvlStrCache>
            </c:multiLvlStrRef>
          </c:cat>
          <c:val>
            <c:numRef>
              <c:f>Лист2!$F$3:$F$66</c:f>
              <c:numCache>
                <c:formatCode>#\ ##0;\–#\ ##0;"–"</c:formatCode>
                <c:ptCount val="64"/>
                <c:pt idx="0">
                  <c:v>8479.8331765600014</c:v>
                </c:pt>
                <c:pt idx="1">
                  <c:v>8077.6725327100021</c:v>
                </c:pt>
                <c:pt idx="2">
                  <c:v>9860.8552696200004</c:v>
                </c:pt>
                <c:pt idx="3">
                  <c:v>5674.94244626001</c:v>
                </c:pt>
                <c:pt idx="4">
                  <c:v>7331.84484256001</c:v>
                </c:pt>
                <c:pt idx="5">
                  <c:v>7533.2869364800208</c:v>
                </c:pt>
                <c:pt idx="6">
                  <c:v>7768.5231886500105</c:v>
                </c:pt>
                <c:pt idx="7">
                  <c:v>8390.7151078500101</c:v>
                </c:pt>
                <c:pt idx="8">
                  <c:v>8592.4243236500097</c:v>
                </c:pt>
                <c:pt idx="9">
                  <c:v>8661.8874434300196</c:v>
                </c:pt>
                <c:pt idx="10">
                  <c:v>12735.071306649999</c:v>
                </c:pt>
                <c:pt idx="11">
                  <c:v>13037.245874710001</c:v>
                </c:pt>
                <c:pt idx="12">
                  <c:v>7711.5447094499996</c:v>
                </c:pt>
                <c:pt idx="13">
                  <c:v>13099.28112227</c:v>
                </c:pt>
                <c:pt idx="14">
                  <c:v>11991.407397930001</c:v>
                </c:pt>
                <c:pt idx="15">
                  <c:v>11607.938921590001</c:v>
                </c:pt>
                <c:pt idx="16">
                  <c:v>11707.284162219999</c:v>
                </c:pt>
                <c:pt idx="17">
                  <c:v>10917.771154170001</c:v>
                </c:pt>
                <c:pt idx="18">
                  <c:v>12185.473940779999</c:v>
                </c:pt>
                <c:pt idx="19">
                  <c:v>10970.688632270001</c:v>
                </c:pt>
                <c:pt idx="20">
                  <c:v>11490.88900254</c:v>
                </c:pt>
                <c:pt idx="21">
                  <c:v>12126.644873310001</c:v>
                </c:pt>
                <c:pt idx="22">
                  <c:v>11986.063149880001</c:v>
                </c:pt>
                <c:pt idx="23">
                  <c:v>12225.21361088</c:v>
                </c:pt>
                <c:pt idx="24">
                  <c:v>15281.712569859999</c:v>
                </c:pt>
                <c:pt idx="25">
                  <c:v>15244.77182</c:v>
                </c:pt>
                <c:pt idx="26">
                  <c:v>15060.384005350001</c:v>
                </c:pt>
                <c:pt idx="27">
                  <c:v>16043.659966020001</c:v>
                </c:pt>
                <c:pt idx="28">
                  <c:v>16476.60162125</c:v>
                </c:pt>
                <c:pt idx="29">
                  <c:v>17766.508119049999</c:v>
                </c:pt>
                <c:pt idx="30">
                  <c:v>19535.091993090002</c:v>
                </c:pt>
                <c:pt idx="31">
                  <c:v>20060.496523239999</c:v>
                </c:pt>
                <c:pt idx="32">
                  <c:v>19864.131672799998</c:v>
                </c:pt>
                <c:pt idx="33">
                  <c:v>19966.676216110001</c:v>
                </c:pt>
                <c:pt idx="34">
                  <c:v>17912.003391169997</c:v>
                </c:pt>
                <c:pt idx="35">
                  <c:v>21565.095173229998</c:v>
                </c:pt>
                <c:pt idx="36">
                  <c:v>23985.389690740001</c:v>
                </c:pt>
                <c:pt idx="37">
                  <c:v>23680.27182093</c:v>
                </c:pt>
                <c:pt idx="38">
                  <c:v>23723.653140940001</c:v>
                </c:pt>
                <c:pt idx="39">
                  <c:v>25417.858424059999</c:v>
                </c:pt>
                <c:pt idx="40">
                  <c:v>25570.46915972</c:v>
                </c:pt>
                <c:pt idx="41">
                  <c:v>24705.47395648</c:v>
                </c:pt>
                <c:pt idx="42">
                  <c:v>27120.852173840001</c:v>
                </c:pt>
                <c:pt idx="43">
                  <c:v>21682.697917850001</c:v>
                </c:pt>
                <c:pt idx="44">
                  <c:v>21775.561240479998</c:v>
                </c:pt>
                <c:pt idx="45">
                  <c:v>23279.81733301</c:v>
                </c:pt>
                <c:pt idx="46">
                  <c:v>20608.47852375</c:v>
                </c:pt>
                <c:pt idx="47">
                  <c:v>22506.821136540002</c:v>
                </c:pt>
                <c:pt idx="48">
                  <c:v>24304.413571730001</c:v>
                </c:pt>
                <c:pt idx="49">
                  <c:v>25493.900515609999</c:v>
                </c:pt>
                <c:pt idx="50">
                  <c:v>21873.39395261</c:v>
                </c:pt>
                <c:pt idx="51">
                  <c:v>22321.169530179999</c:v>
                </c:pt>
                <c:pt idx="52">
                  <c:v>22428.586705640002</c:v>
                </c:pt>
                <c:pt idx="53">
                  <c:v>24974.472788320003</c:v>
                </c:pt>
                <c:pt idx="54">
                  <c:v>27591.357455930003</c:v>
                </c:pt>
                <c:pt idx="55">
                  <c:v>25849.239953819997</c:v>
                </c:pt>
                <c:pt idx="56">
                  <c:v>27708.607586210001</c:v>
                </c:pt>
                <c:pt idx="57">
                  <c:v>27970.464388790002</c:v>
                </c:pt>
                <c:pt idx="58">
                  <c:v>26635.30381659</c:v>
                </c:pt>
                <c:pt idx="59">
                  <c:v>27750.58238874</c:v>
                </c:pt>
                <c:pt idx="60">
                  <c:v>30768.655231620003</c:v>
                </c:pt>
                <c:pt idx="61">
                  <c:v>30131.10118401</c:v>
                </c:pt>
                <c:pt idx="62">
                  <c:v>23429.789984679999</c:v>
                </c:pt>
                <c:pt idx="63">
                  <c:v>25953.328162489997</c:v>
                </c:pt>
              </c:numCache>
            </c:numRef>
          </c:val>
          <c:smooth val="0"/>
          <c:extLst>
            <c:ext xmlns:c16="http://schemas.microsoft.com/office/drawing/2014/chart" uri="{C3380CC4-5D6E-409C-BE32-E72D297353CC}">
              <c16:uniqueId val="{00000002-8AF3-4DFF-B7DB-F3DD1073FCA7}"/>
            </c:ext>
          </c:extLst>
        </c:ser>
        <c:ser>
          <c:idx val="3"/>
          <c:order val="3"/>
          <c:tx>
            <c:strRef>
              <c:f>Лист2!$G$2</c:f>
              <c:strCache>
                <c:ptCount val="1"/>
                <c:pt idx="0">
                  <c:v>більше 2 років</c:v>
                </c:pt>
              </c:strCache>
            </c:strRef>
          </c:tx>
          <c:spPr>
            <a:ln w="28575" cap="rnd">
              <a:solidFill>
                <a:schemeClr val="dk1">
                  <a:tint val="98500"/>
                </a:schemeClr>
              </a:solidFill>
              <a:round/>
            </a:ln>
            <a:effectLst/>
          </c:spPr>
          <c:marker>
            <c:symbol val="none"/>
          </c:marker>
          <c:cat>
            <c:multiLvlStrRef>
              <c:f>Лист2!$A$3:$C$66</c:f>
              <c:multiLvlStrCache>
                <c:ptCount val="64"/>
                <c:lvl>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січень</c:v>
                  </c:pt>
                  <c:pt idx="13">
                    <c:v>лютий</c:v>
                  </c:pt>
                  <c:pt idx="14">
                    <c:v>березень</c:v>
                  </c:pt>
                  <c:pt idx="15">
                    <c:v>квітень</c:v>
                  </c:pt>
                  <c:pt idx="16">
                    <c:v>травень</c:v>
                  </c:pt>
                  <c:pt idx="17">
                    <c:v>червень</c:v>
                  </c:pt>
                  <c:pt idx="18">
                    <c:v>липень</c:v>
                  </c:pt>
                  <c:pt idx="19">
                    <c:v>серпень</c:v>
                  </c:pt>
                  <c:pt idx="20">
                    <c:v>вересень</c:v>
                  </c:pt>
                  <c:pt idx="21">
                    <c:v>жовтень</c:v>
                  </c:pt>
                  <c:pt idx="22">
                    <c:v>листопад</c:v>
                  </c:pt>
                  <c:pt idx="23">
                    <c:v>грудень</c:v>
                  </c:pt>
                  <c:pt idx="24">
                    <c:v>січень</c:v>
                  </c:pt>
                  <c:pt idx="25">
                    <c:v>лютий</c:v>
                  </c:pt>
                  <c:pt idx="26">
                    <c:v>березень</c:v>
                  </c:pt>
                  <c:pt idx="27">
                    <c:v>квітень</c:v>
                  </c:pt>
                  <c:pt idx="28">
                    <c:v>травень</c:v>
                  </c:pt>
                  <c:pt idx="29">
                    <c:v>червень</c:v>
                  </c:pt>
                  <c:pt idx="30">
                    <c:v>липень</c:v>
                  </c:pt>
                  <c:pt idx="31">
                    <c:v>серпень</c:v>
                  </c:pt>
                  <c:pt idx="32">
                    <c:v>вересень</c:v>
                  </c:pt>
                  <c:pt idx="33">
                    <c:v>жовтень</c:v>
                  </c:pt>
                  <c:pt idx="34">
                    <c:v>листопад</c:v>
                  </c:pt>
                  <c:pt idx="35">
                    <c:v>грудень</c:v>
                  </c:pt>
                  <c:pt idx="36">
                    <c:v>січень</c:v>
                  </c:pt>
                  <c:pt idx="37">
                    <c:v>лютий</c:v>
                  </c:pt>
                  <c:pt idx="38">
                    <c:v>березень</c:v>
                  </c:pt>
                  <c:pt idx="39">
                    <c:v>квітень</c:v>
                  </c:pt>
                  <c:pt idx="40">
                    <c:v>травень</c:v>
                  </c:pt>
                  <c:pt idx="41">
                    <c:v>червень</c:v>
                  </c:pt>
                  <c:pt idx="42">
                    <c:v>липень</c:v>
                  </c:pt>
                  <c:pt idx="43">
                    <c:v>серпень</c:v>
                  </c:pt>
                  <c:pt idx="44">
                    <c:v>вересень</c:v>
                  </c:pt>
                  <c:pt idx="45">
                    <c:v>жовтень</c:v>
                  </c:pt>
                  <c:pt idx="46">
                    <c:v>листопад</c:v>
                  </c:pt>
                  <c:pt idx="47">
                    <c:v>грудень</c:v>
                  </c:pt>
                  <c:pt idx="48">
                    <c:v>січень</c:v>
                  </c:pt>
                  <c:pt idx="49">
                    <c:v>лютий</c:v>
                  </c:pt>
                  <c:pt idx="50">
                    <c:v>березень</c:v>
                  </c:pt>
                  <c:pt idx="51">
                    <c:v>квітень</c:v>
                  </c:pt>
                  <c:pt idx="52">
                    <c:v>травень</c:v>
                  </c:pt>
                  <c:pt idx="53">
                    <c:v>червень</c:v>
                  </c:pt>
                  <c:pt idx="54">
                    <c:v>липень</c:v>
                  </c:pt>
                  <c:pt idx="55">
                    <c:v>серпень</c:v>
                  </c:pt>
                  <c:pt idx="56">
                    <c:v>вересень</c:v>
                  </c:pt>
                  <c:pt idx="57">
                    <c:v>жовтень</c:v>
                  </c:pt>
                  <c:pt idx="58">
                    <c:v>листопад</c:v>
                  </c:pt>
                  <c:pt idx="59">
                    <c:v>грудень</c:v>
                  </c:pt>
                  <c:pt idx="60">
                    <c:v>січень</c:v>
                  </c:pt>
                  <c:pt idx="61">
                    <c:v>лютий</c:v>
                  </c:pt>
                  <c:pt idx="62">
                    <c:v>березень</c:v>
                  </c:pt>
                  <c:pt idx="63">
                    <c:v>квітень</c:v>
                  </c:pt>
                </c:lvl>
                <c:lvl>
                  <c:pt idx="0">
                    <c:v>2018</c:v>
                  </c:pt>
                  <c:pt idx="12">
                    <c:v>2019</c:v>
                  </c:pt>
                  <c:pt idx="24">
                    <c:v>2020</c:v>
                  </c:pt>
                  <c:pt idx="36">
                    <c:v>2021</c:v>
                  </c:pt>
                  <c:pt idx="48">
                    <c:v>2022</c:v>
                  </c:pt>
                  <c:pt idx="60">
                    <c:v>2023</c:v>
                  </c:pt>
                </c:lvl>
              </c:multiLvlStrCache>
            </c:multiLvlStrRef>
          </c:cat>
          <c:val>
            <c:numRef>
              <c:f>Лист2!$G$3:$G$66</c:f>
              <c:numCache>
                <c:formatCode>#\ ##0;\–#\ ##0;"–"</c:formatCode>
                <c:ptCount val="64"/>
                <c:pt idx="0">
                  <c:v>27194.170795069997</c:v>
                </c:pt>
                <c:pt idx="1">
                  <c:v>26389.913894590005</c:v>
                </c:pt>
                <c:pt idx="2">
                  <c:v>26810.523512900007</c:v>
                </c:pt>
                <c:pt idx="3">
                  <c:v>27420.7001705</c:v>
                </c:pt>
                <c:pt idx="4">
                  <c:v>27982.262106639999</c:v>
                </c:pt>
                <c:pt idx="5">
                  <c:v>27249.343829199999</c:v>
                </c:pt>
                <c:pt idx="6">
                  <c:v>24122.667868469998</c:v>
                </c:pt>
                <c:pt idx="7">
                  <c:v>25221.830797270002</c:v>
                </c:pt>
                <c:pt idx="8">
                  <c:v>23786.176122599998</c:v>
                </c:pt>
                <c:pt idx="9">
                  <c:v>20348.530702709999</c:v>
                </c:pt>
                <c:pt idx="10">
                  <c:v>20890.733240789999</c:v>
                </c:pt>
                <c:pt idx="11">
                  <c:v>21360.435558069999</c:v>
                </c:pt>
                <c:pt idx="12">
                  <c:v>18655.45575813</c:v>
                </c:pt>
                <c:pt idx="13">
                  <c:v>18534.013430359999</c:v>
                </c:pt>
                <c:pt idx="14">
                  <c:v>19882.221892690002</c:v>
                </c:pt>
                <c:pt idx="15">
                  <c:v>19443.198048819999</c:v>
                </c:pt>
                <c:pt idx="16">
                  <c:v>19547.336018049999</c:v>
                </c:pt>
                <c:pt idx="17">
                  <c:v>20767.838491439998</c:v>
                </c:pt>
                <c:pt idx="18">
                  <c:v>26912.882338119998</c:v>
                </c:pt>
                <c:pt idx="19">
                  <c:v>26005.144955629999</c:v>
                </c:pt>
                <c:pt idx="20">
                  <c:v>23857.952046210001</c:v>
                </c:pt>
                <c:pt idx="21">
                  <c:v>23901.922603219999</c:v>
                </c:pt>
                <c:pt idx="22">
                  <c:v>18489.098313070001</c:v>
                </c:pt>
                <c:pt idx="23">
                  <c:v>18096.5112008</c:v>
                </c:pt>
                <c:pt idx="24">
                  <c:v>16675.464775029999</c:v>
                </c:pt>
                <c:pt idx="25">
                  <c:v>17101.540532309999</c:v>
                </c:pt>
                <c:pt idx="26">
                  <c:v>16464.21619454</c:v>
                </c:pt>
                <c:pt idx="27">
                  <c:v>16418.3702085</c:v>
                </c:pt>
                <c:pt idx="28">
                  <c:v>12543.43882834</c:v>
                </c:pt>
                <c:pt idx="29">
                  <c:v>12241.34390543</c:v>
                </c:pt>
                <c:pt idx="30">
                  <c:v>9561.3918137000001</c:v>
                </c:pt>
                <c:pt idx="31">
                  <c:v>8956.7446430300006</c:v>
                </c:pt>
                <c:pt idx="32">
                  <c:v>9178.6793867100005</c:v>
                </c:pt>
                <c:pt idx="33">
                  <c:v>8641.1167331700017</c:v>
                </c:pt>
                <c:pt idx="34">
                  <c:v>6588.3533380999997</c:v>
                </c:pt>
                <c:pt idx="35">
                  <c:v>7219.88668108</c:v>
                </c:pt>
                <c:pt idx="36">
                  <c:v>7439.0134336699994</c:v>
                </c:pt>
                <c:pt idx="37">
                  <c:v>6255.5312018999994</c:v>
                </c:pt>
                <c:pt idx="38">
                  <c:v>6990.9139772600001</c:v>
                </c:pt>
                <c:pt idx="39">
                  <c:v>6989.91141599</c:v>
                </c:pt>
                <c:pt idx="40">
                  <c:v>7394.6905850399999</c:v>
                </c:pt>
                <c:pt idx="41">
                  <c:v>8355.2466501099989</c:v>
                </c:pt>
                <c:pt idx="42">
                  <c:v>8748.4062187500003</c:v>
                </c:pt>
                <c:pt idx="43">
                  <c:v>10522.928744090001</c:v>
                </c:pt>
                <c:pt idx="44">
                  <c:v>10985.3531133</c:v>
                </c:pt>
                <c:pt idx="45">
                  <c:v>8851.4485002399997</c:v>
                </c:pt>
                <c:pt idx="46">
                  <c:v>6937.4764830799995</c:v>
                </c:pt>
                <c:pt idx="47">
                  <c:v>7337.1804196100002</c:v>
                </c:pt>
                <c:pt idx="48">
                  <c:v>7218.1107894899997</c:v>
                </c:pt>
                <c:pt idx="49">
                  <c:v>7362.2310548099995</c:v>
                </c:pt>
                <c:pt idx="50">
                  <c:v>5688.01643504</c:v>
                </c:pt>
                <c:pt idx="51">
                  <c:v>5511.0661384300001</c:v>
                </c:pt>
                <c:pt idx="52">
                  <c:v>5335.5456228800003</c:v>
                </c:pt>
                <c:pt idx="53">
                  <c:v>5489.6860122899998</c:v>
                </c:pt>
                <c:pt idx="54">
                  <c:v>4706.2980156800004</c:v>
                </c:pt>
                <c:pt idx="55">
                  <c:v>4188.2765890399996</c:v>
                </c:pt>
                <c:pt idx="56">
                  <c:v>4180.8488660799994</c:v>
                </c:pt>
                <c:pt idx="57">
                  <c:v>4323.9731480800001</c:v>
                </c:pt>
                <c:pt idx="58">
                  <c:v>4299.1997671400004</c:v>
                </c:pt>
                <c:pt idx="59">
                  <c:v>4464.8496573100001</c:v>
                </c:pt>
                <c:pt idx="60">
                  <c:v>4689.2755064699995</c:v>
                </c:pt>
                <c:pt idx="61">
                  <c:v>4562.4305432599995</c:v>
                </c:pt>
                <c:pt idx="62">
                  <c:v>4776.7103662700001</c:v>
                </c:pt>
                <c:pt idx="63">
                  <c:v>4476.0159959899993</c:v>
                </c:pt>
              </c:numCache>
            </c:numRef>
          </c:val>
          <c:smooth val="0"/>
          <c:extLst>
            <c:ext xmlns:c16="http://schemas.microsoft.com/office/drawing/2014/chart" uri="{C3380CC4-5D6E-409C-BE32-E72D297353CC}">
              <c16:uniqueId val="{00000003-8AF3-4DFF-B7DB-F3DD1073FCA7}"/>
            </c:ext>
          </c:extLst>
        </c:ser>
        <c:ser>
          <c:idx val="4"/>
          <c:order val="4"/>
          <c:tx>
            <c:strRef>
              <c:f>Лист2!$H$2</c:f>
              <c:strCache>
                <c:ptCount val="1"/>
              </c:strCache>
            </c:strRef>
          </c:tx>
          <c:spPr>
            <a:ln w="28575" cap="rnd">
              <a:solidFill>
                <a:schemeClr val="dk1">
                  <a:tint val="30000"/>
                </a:schemeClr>
              </a:solidFill>
              <a:round/>
            </a:ln>
            <a:effectLst/>
          </c:spPr>
          <c:marker>
            <c:symbol val="circle"/>
            <c:size val="5"/>
            <c:spPr>
              <a:solidFill>
                <a:schemeClr val="dk1">
                  <a:tint val="30000"/>
                </a:schemeClr>
              </a:solidFill>
              <a:ln w="9525">
                <a:solidFill>
                  <a:schemeClr val="dk1">
                    <a:tint val="30000"/>
                  </a:schemeClr>
                </a:solidFill>
              </a:ln>
              <a:effectLst/>
            </c:spPr>
          </c:marker>
          <c:cat>
            <c:multiLvlStrRef>
              <c:f>Лист2!$A$3:$C$66</c:f>
              <c:multiLvlStrCache>
                <c:ptCount val="64"/>
                <c:lvl>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січень</c:v>
                  </c:pt>
                  <c:pt idx="13">
                    <c:v>лютий</c:v>
                  </c:pt>
                  <c:pt idx="14">
                    <c:v>березень</c:v>
                  </c:pt>
                  <c:pt idx="15">
                    <c:v>квітень</c:v>
                  </c:pt>
                  <c:pt idx="16">
                    <c:v>травень</c:v>
                  </c:pt>
                  <c:pt idx="17">
                    <c:v>червень</c:v>
                  </c:pt>
                  <c:pt idx="18">
                    <c:v>липень</c:v>
                  </c:pt>
                  <c:pt idx="19">
                    <c:v>серпень</c:v>
                  </c:pt>
                  <c:pt idx="20">
                    <c:v>вересень</c:v>
                  </c:pt>
                  <c:pt idx="21">
                    <c:v>жовтень</c:v>
                  </c:pt>
                  <c:pt idx="22">
                    <c:v>листопад</c:v>
                  </c:pt>
                  <c:pt idx="23">
                    <c:v>грудень</c:v>
                  </c:pt>
                  <c:pt idx="24">
                    <c:v>січень</c:v>
                  </c:pt>
                  <c:pt idx="25">
                    <c:v>лютий</c:v>
                  </c:pt>
                  <c:pt idx="26">
                    <c:v>березень</c:v>
                  </c:pt>
                  <c:pt idx="27">
                    <c:v>квітень</c:v>
                  </c:pt>
                  <c:pt idx="28">
                    <c:v>травень</c:v>
                  </c:pt>
                  <c:pt idx="29">
                    <c:v>червень</c:v>
                  </c:pt>
                  <c:pt idx="30">
                    <c:v>липень</c:v>
                  </c:pt>
                  <c:pt idx="31">
                    <c:v>серпень</c:v>
                  </c:pt>
                  <c:pt idx="32">
                    <c:v>вересень</c:v>
                  </c:pt>
                  <c:pt idx="33">
                    <c:v>жовтень</c:v>
                  </c:pt>
                  <c:pt idx="34">
                    <c:v>листопад</c:v>
                  </c:pt>
                  <c:pt idx="35">
                    <c:v>грудень</c:v>
                  </c:pt>
                  <c:pt idx="36">
                    <c:v>січень</c:v>
                  </c:pt>
                  <c:pt idx="37">
                    <c:v>лютий</c:v>
                  </c:pt>
                  <c:pt idx="38">
                    <c:v>березень</c:v>
                  </c:pt>
                  <c:pt idx="39">
                    <c:v>квітень</c:v>
                  </c:pt>
                  <c:pt idx="40">
                    <c:v>травень</c:v>
                  </c:pt>
                  <c:pt idx="41">
                    <c:v>червень</c:v>
                  </c:pt>
                  <c:pt idx="42">
                    <c:v>липень</c:v>
                  </c:pt>
                  <c:pt idx="43">
                    <c:v>серпень</c:v>
                  </c:pt>
                  <c:pt idx="44">
                    <c:v>вересень</c:v>
                  </c:pt>
                  <c:pt idx="45">
                    <c:v>жовтень</c:v>
                  </c:pt>
                  <c:pt idx="46">
                    <c:v>листопад</c:v>
                  </c:pt>
                  <c:pt idx="47">
                    <c:v>грудень</c:v>
                  </c:pt>
                  <c:pt idx="48">
                    <c:v>січень</c:v>
                  </c:pt>
                  <c:pt idx="49">
                    <c:v>лютий</c:v>
                  </c:pt>
                  <c:pt idx="50">
                    <c:v>березень</c:v>
                  </c:pt>
                  <c:pt idx="51">
                    <c:v>квітень</c:v>
                  </c:pt>
                  <c:pt idx="52">
                    <c:v>травень</c:v>
                  </c:pt>
                  <c:pt idx="53">
                    <c:v>червень</c:v>
                  </c:pt>
                  <c:pt idx="54">
                    <c:v>липень</c:v>
                  </c:pt>
                  <c:pt idx="55">
                    <c:v>серпень</c:v>
                  </c:pt>
                  <c:pt idx="56">
                    <c:v>вересень</c:v>
                  </c:pt>
                  <c:pt idx="57">
                    <c:v>жовтень</c:v>
                  </c:pt>
                  <c:pt idx="58">
                    <c:v>листопад</c:v>
                  </c:pt>
                  <c:pt idx="59">
                    <c:v>грудень</c:v>
                  </c:pt>
                  <c:pt idx="60">
                    <c:v>січень</c:v>
                  </c:pt>
                  <c:pt idx="61">
                    <c:v>лютий</c:v>
                  </c:pt>
                  <c:pt idx="62">
                    <c:v>березень</c:v>
                  </c:pt>
                  <c:pt idx="63">
                    <c:v>квітень</c:v>
                  </c:pt>
                </c:lvl>
                <c:lvl>
                  <c:pt idx="0">
                    <c:v>2018</c:v>
                  </c:pt>
                  <c:pt idx="12">
                    <c:v>2019</c:v>
                  </c:pt>
                  <c:pt idx="24">
                    <c:v>2020</c:v>
                  </c:pt>
                  <c:pt idx="36">
                    <c:v>2021</c:v>
                  </c:pt>
                  <c:pt idx="48">
                    <c:v>2022</c:v>
                  </c:pt>
                  <c:pt idx="60">
                    <c:v>2023</c:v>
                  </c:pt>
                </c:lvl>
              </c:multiLvlStrCache>
            </c:multiLvlStrRef>
          </c:cat>
          <c:val>
            <c:numRef>
              <c:f>Лист2!$H$3:$H$66</c:f>
            </c:numRef>
          </c:val>
          <c:smooth val="0"/>
          <c:extLst>
            <c:ext xmlns:c16="http://schemas.microsoft.com/office/drawing/2014/chart" uri="{C3380CC4-5D6E-409C-BE32-E72D297353CC}">
              <c16:uniqueId val="{00000004-8AF3-4DFF-B7DB-F3DD1073FCA7}"/>
            </c:ext>
          </c:extLst>
        </c:ser>
        <c:dLbls>
          <c:showLegendKey val="0"/>
          <c:showVal val="0"/>
          <c:showCatName val="0"/>
          <c:showSerName val="0"/>
          <c:showPercent val="0"/>
          <c:showBubbleSize val="0"/>
        </c:dLbls>
        <c:marker val="1"/>
        <c:smooth val="0"/>
        <c:axId val="1732996416"/>
        <c:axId val="1732997376"/>
      </c:lineChart>
      <c:lineChart>
        <c:grouping val="standard"/>
        <c:varyColors val="0"/>
        <c:ser>
          <c:idx val="5"/>
          <c:order val="5"/>
          <c:tx>
            <c:strRef>
              <c:f>Лист2!$I$2</c:f>
              <c:strCache>
                <c:ptCount val="1"/>
                <c:pt idx="0">
                  <c:v>частка коштів на вимогу</c:v>
                </c:pt>
              </c:strCache>
            </c:strRef>
          </c:tx>
          <c:spPr>
            <a:ln w="53975" cap="rnd">
              <a:solidFill>
                <a:schemeClr val="tx1"/>
              </a:solidFill>
              <a:round/>
            </a:ln>
            <a:effectLst/>
          </c:spPr>
          <c:marker>
            <c:symbol val="none"/>
          </c:marker>
          <c:cat>
            <c:multiLvlStrRef>
              <c:f>Лист2!$A$3:$C$66</c:f>
              <c:multiLvlStrCache>
                <c:ptCount val="64"/>
                <c:lvl>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січень</c:v>
                  </c:pt>
                  <c:pt idx="13">
                    <c:v>лютий</c:v>
                  </c:pt>
                  <c:pt idx="14">
                    <c:v>березень</c:v>
                  </c:pt>
                  <c:pt idx="15">
                    <c:v>квітень</c:v>
                  </c:pt>
                  <c:pt idx="16">
                    <c:v>травень</c:v>
                  </c:pt>
                  <c:pt idx="17">
                    <c:v>червень</c:v>
                  </c:pt>
                  <c:pt idx="18">
                    <c:v>липень</c:v>
                  </c:pt>
                  <c:pt idx="19">
                    <c:v>серпень</c:v>
                  </c:pt>
                  <c:pt idx="20">
                    <c:v>вересень</c:v>
                  </c:pt>
                  <c:pt idx="21">
                    <c:v>жовтень</c:v>
                  </c:pt>
                  <c:pt idx="22">
                    <c:v>листопад</c:v>
                  </c:pt>
                  <c:pt idx="23">
                    <c:v>грудень</c:v>
                  </c:pt>
                  <c:pt idx="24">
                    <c:v>січень</c:v>
                  </c:pt>
                  <c:pt idx="25">
                    <c:v>лютий</c:v>
                  </c:pt>
                  <c:pt idx="26">
                    <c:v>березень</c:v>
                  </c:pt>
                  <c:pt idx="27">
                    <c:v>квітень</c:v>
                  </c:pt>
                  <c:pt idx="28">
                    <c:v>травень</c:v>
                  </c:pt>
                  <c:pt idx="29">
                    <c:v>червень</c:v>
                  </c:pt>
                  <c:pt idx="30">
                    <c:v>липень</c:v>
                  </c:pt>
                  <c:pt idx="31">
                    <c:v>серпень</c:v>
                  </c:pt>
                  <c:pt idx="32">
                    <c:v>вересень</c:v>
                  </c:pt>
                  <c:pt idx="33">
                    <c:v>жовтень</c:v>
                  </c:pt>
                  <c:pt idx="34">
                    <c:v>листопад</c:v>
                  </c:pt>
                  <c:pt idx="35">
                    <c:v>грудень</c:v>
                  </c:pt>
                  <c:pt idx="36">
                    <c:v>січень</c:v>
                  </c:pt>
                  <c:pt idx="37">
                    <c:v>лютий</c:v>
                  </c:pt>
                  <c:pt idx="38">
                    <c:v>березень</c:v>
                  </c:pt>
                  <c:pt idx="39">
                    <c:v>квітень</c:v>
                  </c:pt>
                  <c:pt idx="40">
                    <c:v>травень</c:v>
                  </c:pt>
                  <c:pt idx="41">
                    <c:v>червень</c:v>
                  </c:pt>
                  <c:pt idx="42">
                    <c:v>липень</c:v>
                  </c:pt>
                  <c:pt idx="43">
                    <c:v>серпень</c:v>
                  </c:pt>
                  <c:pt idx="44">
                    <c:v>вересень</c:v>
                  </c:pt>
                  <c:pt idx="45">
                    <c:v>жовтень</c:v>
                  </c:pt>
                  <c:pt idx="46">
                    <c:v>листопад</c:v>
                  </c:pt>
                  <c:pt idx="47">
                    <c:v>грудень</c:v>
                  </c:pt>
                  <c:pt idx="48">
                    <c:v>січень</c:v>
                  </c:pt>
                  <c:pt idx="49">
                    <c:v>лютий</c:v>
                  </c:pt>
                  <c:pt idx="50">
                    <c:v>березень</c:v>
                  </c:pt>
                  <c:pt idx="51">
                    <c:v>квітень</c:v>
                  </c:pt>
                  <c:pt idx="52">
                    <c:v>травень</c:v>
                  </c:pt>
                  <c:pt idx="53">
                    <c:v>червень</c:v>
                  </c:pt>
                  <c:pt idx="54">
                    <c:v>липень</c:v>
                  </c:pt>
                  <c:pt idx="55">
                    <c:v>серпень</c:v>
                  </c:pt>
                  <c:pt idx="56">
                    <c:v>вересень</c:v>
                  </c:pt>
                  <c:pt idx="57">
                    <c:v>жовтень</c:v>
                  </c:pt>
                  <c:pt idx="58">
                    <c:v>листопад</c:v>
                  </c:pt>
                  <c:pt idx="59">
                    <c:v>грудень</c:v>
                  </c:pt>
                  <c:pt idx="60">
                    <c:v>січень</c:v>
                  </c:pt>
                  <c:pt idx="61">
                    <c:v>лютий</c:v>
                  </c:pt>
                  <c:pt idx="62">
                    <c:v>березень</c:v>
                  </c:pt>
                  <c:pt idx="63">
                    <c:v>квітень</c:v>
                  </c:pt>
                </c:lvl>
                <c:lvl>
                  <c:pt idx="0">
                    <c:v>2018</c:v>
                  </c:pt>
                  <c:pt idx="12">
                    <c:v>2019</c:v>
                  </c:pt>
                  <c:pt idx="24">
                    <c:v>2020</c:v>
                  </c:pt>
                  <c:pt idx="36">
                    <c:v>2021</c:v>
                  </c:pt>
                  <c:pt idx="48">
                    <c:v>2022</c:v>
                  </c:pt>
                  <c:pt idx="60">
                    <c:v>2023</c:v>
                  </c:pt>
                </c:lvl>
              </c:multiLvlStrCache>
            </c:multiLvlStrRef>
          </c:cat>
          <c:val>
            <c:numRef>
              <c:f>Лист2!$I$3:$I$66</c:f>
              <c:numCache>
                <c:formatCode>0</c:formatCode>
                <c:ptCount val="64"/>
                <c:pt idx="0">
                  <c:v>61.933705326752907</c:v>
                </c:pt>
                <c:pt idx="1">
                  <c:v>62.938768506069543</c:v>
                </c:pt>
                <c:pt idx="2">
                  <c:v>62.428488182701592</c:v>
                </c:pt>
                <c:pt idx="3">
                  <c:v>63.274302362342119</c:v>
                </c:pt>
                <c:pt idx="4">
                  <c:v>64.524018041062874</c:v>
                </c:pt>
                <c:pt idx="5">
                  <c:v>61.798111492929308</c:v>
                </c:pt>
                <c:pt idx="6">
                  <c:v>64.402640952313433</c:v>
                </c:pt>
                <c:pt idx="7">
                  <c:v>63.965794951338204</c:v>
                </c:pt>
                <c:pt idx="8">
                  <c:v>64.491209393061169</c:v>
                </c:pt>
                <c:pt idx="9">
                  <c:v>65.707433562502544</c:v>
                </c:pt>
                <c:pt idx="10">
                  <c:v>62.157475709399137</c:v>
                </c:pt>
                <c:pt idx="11">
                  <c:v>62.649249534129368</c:v>
                </c:pt>
                <c:pt idx="12">
                  <c:v>65.690609490416691</c:v>
                </c:pt>
                <c:pt idx="13">
                  <c:v>65.054956878875018</c:v>
                </c:pt>
                <c:pt idx="14">
                  <c:v>64.244101172131209</c:v>
                </c:pt>
                <c:pt idx="15">
                  <c:v>63.302850023698731</c:v>
                </c:pt>
                <c:pt idx="16">
                  <c:v>63.985023784979042</c:v>
                </c:pt>
                <c:pt idx="17">
                  <c:v>64.494940144882122</c:v>
                </c:pt>
                <c:pt idx="18">
                  <c:v>66.459628377704632</c:v>
                </c:pt>
                <c:pt idx="19">
                  <c:v>65.856785574150351</c:v>
                </c:pt>
                <c:pt idx="20">
                  <c:v>65.372348678065435</c:v>
                </c:pt>
                <c:pt idx="21">
                  <c:v>66.98581654077762</c:v>
                </c:pt>
                <c:pt idx="22">
                  <c:v>67.773728360488946</c:v>
                </c:pt>
                <c:pt idx="23">
                  <c:v>72.198526984478235</c:v>
                </c:pt>
                <c:pt idx="24">
                  <c:v>73.300060628280249</c:v>
                </c:pt>
                <c:pt idx="25">
                  <c:v>73.01641616345195</c:v>
                </c:pt>
                <c:pt idx="26">
                  <c:v>72.849671230496313</c:v>
                </c:pt>
                <c:pt idx="27">
                  <c:v>72.502311119103553</c:v>
                </c:pt>
                <c:pt idx="28">
                  <c:v>70.753990722641078</c:v>
                </c:pt>
                <c:pt idx="29">
                  <c:v>69.795682365526972</c:v>
                </c:pt>
                <c:pt idx="30">
                  <c:v>69.75368474214693</c:v>
                </c:pt>
                <c:pt idx="31">
                  <c:v>70.020611955002948</c:v>
                </c:pt>
                <c:pt idx="32">
                  <c:v>69.963791545626265</c:v>
                </c:pt>
                <c:pt idx="33">
                  <c:v>70.3390368910582</c:v>
                </c:pt>
                <c:pt idx="34">
                  <c:v>71.574126316321752</c:v>
                </c:pt>
                <c:pt idx="35">
                  <c:v>69.839201924965749</c:v>
                </c:pt>
                <c:pt idx="36">
                  <c:v>70.424785207426964</c:v>
                </c:pt>
                <c:pt idx="37">
                  <c:v>71.040045860845254</c:v>
                </c:pt>
                <c:pt idx="38">
                  <c:v>72.020627877842429</c:v>
                </c:pt>
                <c:pt idx="39">
                  <c:v>72.037043394124808</c:v>
                </c:pt>
                <c:pt idx="40">
                  <c:v>75.227457611454113</c:v>
                </c:pt>
                <c:pt idx="41">
                  <c:v>74.772067981321314</c:v>
                </c:pt>
                <c:pt idx="42">
                  <c:v>71.992823826148538</c:v>
                </c:pt>
                <c:pt idx="43">
                  <c:v>71.079659773949842</c:v>
                </c:pt>
                <c:pt idx="44">
                  <c:v>75.157340541973255</c:v>
                </c:pt>
                <c:pt idx="45">
                  <c:v>75.338203577075021</c:v>
                </c:pt>
                <c:pt idx="46">
                  <c:v>76.855807836833549</c:v>
                </c:pt>
                <c:pt idx="47">
                  <c:v>76.175332000758232</c:v>
                </c:pt>
                <c:pt idx="48">
                  <c:v>76.652435185811612</c:v>
                </c:pt>
                <c:pt idx="49">
                  <c:v>78.252854682575972</c:v>
                </c:pt>
                <c:pt idx="50">
                  <c:v>81.157828545082239</c:v>
                </c:pt>
                <c:pt idx="51">
                  <c:v>82.405627541964392</c:v>
                </c:pt>
                <c:pt idx="52">
                  <c:v>81.829233855867358</c:v>
                </c:pt>
                <c:pt idx="53">
                  <c:v>80.125996544309714</c:v>
                </c:pt>
                <c:pt idx="54">
                  <c:v>78.480248423525239</c:v>
                </c:pt>
                <c:pt idx="55">
                  <c:v>79.484715072260769</c:v>
                </c:pt>
                <c:pt idx="56">
                  <c:v>77.354884591794843</c:v>
                </c:pt>
                <c:pt idx="57">
                  <c:v>78.817550553448129</c:v>
                </c:pt>
                <c:pt idx="58">
                  <c:v>77.943637093258886</c:v>
                </c:pt>
                <c:pt idx="59">
                  <c:v>77.536789002184861</c:v>
                </c:pt>
                <c:pt idx="60">
                  <c:v>77.411099587994855</c:v>
                </c:pt>
                <c:pt idx="61">
                  <c:v>73.375321812741007</c:v>
                </c:pt>
                <c:pt idx="62">
                  <c:v>69.855700298761818</c:v>
                </c:pt>
                <c:pt idx="63">
                  <c:v>67.851757146988007</c:v>
                </c:pt>
              </c:numCache>
            </c:numRef>
          </c:val>
          <c:smooth val="0"/>
          <c:extLst>
            <c:ext xmlns:c16="http://schemas.microsoft.com/office/drawing/2014/chart" uri="{C3380CC4-5D6E-409C-BE32-E72D297353CC}">
              <c16:uniqueId val="{00000005-8AF3-4DFF-B7DB-F3DD1073FCA7}"/>
            </c:ext>
          </c:extLst>
        </c:ser>
        <c:dLbls>
          <c:showLegendKey val="0"/>
          <c:showVal val="0"/>
          <c:showCatName val="0"/>
          <c:showSerName val="0"/>
          <c:showPercent val="0"/>
          <c:showBubbleSize val="0"/>
        </c:dLbls>
        <c:marker val="1"/>
        <c:smooth val="0"/>
        <c:axId val="1733001216"/>
        <c:axId val="1732998336"/>
      </c:lineChart>
      <c:catAx>
        <c:axId val="1732996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32997376"/>
        <c:crosses val="autoZero"/>
        <c:auto val="1"/>
        <c:lblAlgn val="ctr"/>
        <c:lblOffset val="100"/>
        <c:noMultiLvlLbl val="0"/>
      </c:catAx>
      <c:valAx>
        <c:axId val="17329973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млн грн</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 ##0;\–#\ ##0;&quot;–&quot;"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32996416"/>
        <c:crosses val="autoZero"/>
        <c:crossBetween val="between"/>
      </c:valAx>
      <c:valAx>
        <c:axId val="1732998336"/>
        <c:scaling>
          <c:orientation val="minMax"/>
        </c:scaling>
        <c:delete val="0"/>
        <c:axPos val="r"/>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33001216"/>
        <c:crosses val="max"/>
        <c:crossBetween val="between"/>
      </c:valAx>
      <c:catAx>
        <c:axId val="1733001216"/>
        <c:scaling>
          <c:orientation val="minMax"/>
        </c:scaling>
        <c:delete val="1"/>
        <c:axPos val="b"/>
        <c:numFmt formatCode="General" sourceLinked="1"/>
        <c:majorTickMark val="out"/>
        <c:minorTickMark val="none"/>
        <c:tickLblPos val="nextTo"/>
        <c:crossAx val="1732998336"/>
        <c:crosses val="autoZero"/>
        <c:auto val="1"/>
        <c:lblAlgn val="ctr"/>
        <c:lblOffset val="100"/>
        <c:noMultiLvlLbl val="0"/>
      </c:catAx>
      <c:spPr>
        <a:noFill/>
        <a:ln>
          <a:noFill/>
        </a:ln>
        <a:effectLst/>
      </c:spPr>
    </c:plotArea>
    <c:legend>
      <c:legendPos val="b"/>
      <c:layout>
        <c:manualLayout>
          <c:xMode val="edge"/>
          <c:yMode val="edge"/>
          <c:x val="1.992771319722576E-2"/>
          <c:y val="0.84697942168993579"/>
          <c:w val="0.96220536734540885"/>
          <c:h val="0.13061161472463001"/>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2"/>
          <c:order val="2"/>
          <c:tx>
            <c:strRef>
              <c:f>Лист4!$A$4</c:f>
              <c:strCache>
                <c:ptCount val="1"/>
                <c:pt idx="0">
                  <c:v>Кредити в іноземній валюті, тис. грн</c:v>
                </c:pt>
              </c:strCache>
            </c:strRef>
          </c:tx>
          <c:spPr>
            <a:solidFill>
              <a:schemeClr val="dk1">
                <a:tint val="75000"/>
              </a:schemeClr>
            </a:solidFill>
            <a:ln>
              <a:noFill/>
            </a:ln>
            <a:effectLst/>
          </c:spPr>
          <c:invertIfNegative val="0"/>
          <c:cat>
            <c:strRef>
              <c:f>Лист4!$B$1:$J$1</c:f>
              <c:strCache>
                <c:ptCount val="9"/>
                <c:pt idx="0">
                  <c:v>2014Q4</c:v>
                </c:pt>
                <c:pt idx="1">
                  <c:v>2015Q4</c:v>
                </c:pt>
                <c:pt idx="2">
                  <c:v>2016Q4</c:v>
                </c:pt>
                <c:pt idx="3">
                  <c:v>2017Q4</c:v>
                </c:pt>
                <c:pt idx="4">
                  <c:v>2018Q4</c:v>
                </c:pt>
                <c:pt idx="5">
                  <c:v>2019Q4</c:v>
                </c:pt>
                <c:pt idx="6">
                  <c:v>2020Q4</c:v>
                </c:pt>
                <c:pt idx="7">
                  <c:v>2021Q4</c:v>
                </c:pt>
                <c:pt idx="8">
                  <c:v>2022Q3</c:v>
                </c:pt>
              </c:strCache>
            </c:strRef>
          </c:cat>
          <c:val>
            <c:numRef>
              <c:f>Лист4!$B$4:$J$4</c:f>
              <c:numCache>
                <c:formatCode>#,##0.00</c:formatCode>
                <c:ptCount val="9"/>
                <c:pt idx="0">
                  <c:v>513705.19026581995</c:v>
                </c:pt>
                <c:pt idx="1">
                  <c:v>605762.95946746995</c:v>
                </c:pt>
                <c:pt idx="2">
                  <c:v>537411.59542240005</c:v>
                </c:pt>
                <c:pt idx="3">
                  <c:v>510598.90550574998</c:v>
                </c:pt>
                <c:pt idx="4">
                  <c:v>539247.72243850003</c:v>
                </c:pt>
                <c:pt idx="5">
                  <c:v>433242.83457213</c:v>
                </c:pt>
                <c:pt idx="6">
                  <c:v>386701.23394557001</c:v>
                </c:pt>
                <c:pt idx="7">
                  <c:v>343342.40909895994</c:v>
                </c:pt>
                <c:pt idx="8">
                  <c:v>346768.07306622999</c:v>
                </c:pt>
              </c:numCache>
            </c:numRef>
          </c:val>
          <c:extLst>
            <c:ext xmlns:c16="http://schemas.microsoft.com/office/drawing/2014/chart" uri="{C3380CC4-5D6E-409C-BE32-E72D297353CC}">
              <c16:uniqueId val="{00000000-7C8F-4E7F-B722-C986B29C9BFF}"/>
            </c:ext>
          </c:extLst>
        </c:ser>
        <c:dLbls>
          <c:showLegendKey val="0"/>
          <c:showVal val="0"/>
          <c:showCatName val="0"/>
          <c:showSerName val="0"/>
          <c:showPercent val="0"/>
          <c:showBubbleSize val="0"/>
        </c:dLbls>
        <c:gapWidth val="247"/>
        <c:axId val="1864738304"/>
        <c:axId val="-1288547264"/>
      </c:barChart>
      <c:lineChart>
        <c:grouping val="standard"/>
        <c:varyColors val="0"/>
        <c:ser>
          <c:idx val="0"/>
          <c:order val="0"/>
          <c:tx>
            <c:strRef>
              <c:f>Лист4!$A$2</c:f>
              <c:strCache>
                <c:ptCount val="1"/>
                <c:pt idx="0">
                  <c:v>Cпіввідношення чистої відкритої позиції в іноземній валюті до капіталу, %</c:v>
                </c:pt>
              </c:strCache>
            </c:strRef>
          </c:tx>
          <c:spPr>
            <a:ln w="22225" cap="rnd">
              <a:solidFill>
                <a:schemeClr val="dk1">
                  <a:tint val="88500"/>
                </a:schemeClr>
              </a:solidFill>
              <a:round/>
            </a:ln>
            <a:effectLst/>
          </c:spPr>
          <c:marker>
            <c:symbol val="circle"/>
            <c:size val="6"/>
            <c:spPr>
              <a:solidFill>
                <a:schemeClr val="lt1"/>
              </a:solidFill>
              <a:ln w="15875">
                <a:solidFill>
                  <a:schemeClr val="dk1">
                    <a:tint val="88500"/>
                  </a:schemeClr>
                </a:solidFill>
                <a:round/>
              </a:ln>
              <a:effectLst/>
            </c:spPr>
          </c:marker>
          <c:cat>
            <c:strRef>
              <c:f>Лист4!$B$1:$J$1</c:f>
              <c:strCache>
                <c:ptCount val="9"/>
                <c:pt idx="0">
                  <c:v>2014Q4</c:v>
                </c:pt>
                <c:pt idx="1">
                  <c:v>2015Q4</c:v>
                </c:pt>
                <c:pt idx="2">
                  <c:v>2016Q4</c:v>
                </c:pt>
                <c:pt idx="3">
                  <c:v>2017Q4</c:v>
                </c:pt>
                <c:pt idx="4">
                  <c:v>2018Q4</c:v>
                </c:pt>
                <c:pt idx="5">
                  <c:v>2019Q4</c:v>
                </c:pt>
                <c:pt idx="6">
                  <c:v>2020Q4</c:v>
                </c:pt>
                <c:pt idx="7">
                  <c:v>2021Q4</c:v>
                </c:pt>
                <c:pt idx="8">
                  <c:v>2022Q3</c:v>
                </c:pt>
              </c:strCache>
            </c:strRef>
          </c:cat>
          <c:val>
            <c:numRef>
              <c:f>Лист4!$B$2:$J$2</c:f>
              <c:numCache>
                <c:formatCode>#,##0.00</c:formatCode>
                <c:ptCount val="9"/>
                <c:pt idx="0">
                  <c:v>35.47</c:v>
                </c:pt>
                <c:pt idx="1">
                  <c:v>36.15</c:v>
                </c:pt>
                <c:pt idx="2">
                  <c:v>57.07</c:v>
                </c:pt>
                <c:pt idx="3">
                  <c:v>43.31</c:v>
                </c:pt>
                <c:pt idx="4">
                  <c:v>46.99</c:v>
                </c:pt>
                <c:pt idx="5">
                  <c:v>47.44</c:v>
                </c:pt>
                <c:pt idx="6">
                  <c:v>32.85</c:v>
                </c:pt>
                <c:pt idx="7">
                  <c:v>30.67</c:v>
                </c:pt>
                <c:pt idx="8">
                  <c:v>43.7</c:v>
                </c:pt>
              </c:numCache>
            </c:numRef>
          </c:val>
          <c:smooth val="0"/>
          <c:extLst>
            <c:ext xmlns:c16="http://schemas.microsoft.com/office/drawing/2014/chart" uri="{C3380CC4-5D6E-409C-BE32-E72D297353CC}">
              <c16:uniqueId val="{00000001-7C8F-4E7F-B722-C986B29C9BFF}"/>
            </c:ext>
          </c:extLst>
        </c:ser>
        <c:ser>
          <c:idx val="1"/>
          <c:order val="1"/>
          <c:tx>
            <c:strRef>
              <c:f>Лист4!$A$3</c:f>
              <c:strCache>
                <c:ptCount val="1"/>
                <c:pt idx="0">
                  <c:v>Cпіввідношення кредитів в іноземній валюті до сукупних валових кредитів, %</c:v>
                </c:pt>
              </c:strCache>
            </c:strRef>
          </c:tx>
          <c:spPr>
            <a:ln w="22225" cap="rnd">
              <a:solidFill>
                <a:schemeClr val="dk1">
                  <a:tint val="55000"/>
                </a:schemeClr>
              </a:solidFill>
              <a:round/>
            </a:ln>
            <a:effectLst/>
          </c:spPr>
          <c:marker>
            <c:symbol val="circle"/>
            <c:size val="6"/>
            <c:spPr>
              <a:solidFill>
                <a:schemeClr val="lt1"/>
              </a:solidFill>
              <a:ln w="15875">
                <a:solidFill>
                  <a:schemeClr val="dk1">
                    <a:tint val="55000"/>
                  </a:schemeClr>
                </a:solidFill>
                <a:round/>
              </a:ln>
              <a:effectLst/>
            </c:spPr>
          </c:marker>
          <c:cat>
            <c:strRef>
              <c:f>Лист4!$B$1:$J$1</c:f>
              <c:strCache>
                <c:ptCount val="9"/>
                <c:pt idx="0">
                  <c:v>2014Q4</c:v>
                </c:pt>
                <c:pt idx="1">
                  <c:v>2015Q4</c:v>
                </c:pt>
                <c:pt idx="2">
                  <c:v>2016Q4</c:v>
                </c:pt>
                <c:pt idx="3">
                  <c:v>2017Q4</c:v>
                </c:pt>
                <c:pt idx="4">
                  <c:v>2018Q4</c:v>
                </c:pt>
                <c:pt idx="5">
                  <c:v>2019Q4</c:v>
                </c:pt>
                <c:pt idx="6">
                  <c:v>2020Q4</c:v>
                </c:pt>
                <c:pt idx="7">
                  <c:v>2021Q4</c:v>
                </c:pt>
                <c:pt idx="8">
                  <c:v>2022Q3</c:v>
                </c:pt>
              </c:strCache>
            </c:strRef>
          </c:cat>
          <c:val>
            <c:numRef>
              <c:f>Лист4!$B$3:$J$3</c:f>
              <c:numCache>
                <c:formatCode>#,##0.00</c:formatCode>
                <c:ptCount val="9"/>
                <c:pt idx="0">
                  <c:v>47.77</c:v>
                </c:pt>
                <c:pt idx="1">
                  <c:v>57.9</c:v>
                </c:pt>
                <c:pt idx="2">
                  <c:v>51.35</c:v>
                </c:pt>
                <c:pt idx="3">
                  <c:v>47.05</c:v>
                </c:pt>
                <c:pt idx="4">
                  <c:v>46.52</c:v>
                </c:pt>
                <c:pt idx="5">
                  <c:v>41.24</c:v>
                </c:pt>
                <c:pt idx="6">
                  <c:v>39.06</c:v>
                </c:pt>
                <c:pt idx="7">
                  <c:v>31.55</c:v>
                </c:pt>
                <c:pt idx="8">
                  <c:v>31.24</c:v>
                </c:pt>
              </c:numCache>
            </c:numRef>
          </c:val>
          <c:smooth val="0"/>
          <c:extLst>
            <c:ext xmlns:c16="http://schemas.microsoft.com/office/drawing/2014/chart" uri="{C3380CC4-5D6E-409C-BE32-E72D297353CC}">
              <c16:uniqueId val="{00000002-7C8F-4E7F-B722-C986B29C9BFF}"/>
            </c:ext>
          </c:extLst>
        </c:ser>
        <c:ser>
          <c:idx val="4"/>
          <c:order val="3"/>
          <c:tx>
            <c:strRef>
              <c:f>Лист4!$A$6</c:f>
              <c:strCache>
                <c:ptCount val="1"/>
                <c:pt idx="0">
                  <c:v>Cпіввідношення зобов’язань в іноземній валюті до сукупних зобов’язань, %</c:v>
                </c:pt>
              </c:strCache>
            </c:strRef>
          </c:tx>
          <c:spPr>
            <a:ln w="22225" cap="rnd">
              <a:solidFill>
                <a:schemeClr val="dk1">
                  <a:tint val="30000"/>
                </a:schemeClr>
              </a:solidFill>
              <a:round/>
            </a:ln>
            <a:effectLst/>
          </c:spPr>
          <c:marker>
            <c:symbol val="circle"/>
            <c:size val="6"/>
            <c:spPr>
              <a:solidFill>
                <a:schemeClr val="lt1"/>
              </a:solidFill>
              <a:ln w="15875">
                <a:solidFill>
                  <a:schemeClr val="dk1">
                    <a:tint val="30000"/>
                  </a:schemeClr>
                </a:solidFill>
                <a:round/>
              </a:ln>
              <a:effectLst/>
            </c:spPr>
          </c:marker>
          <c:cat>
            <c:strRef>
              <c:f>Лист4!$B$1:$J$1</c:f>
              <c:strCache>
                <c:ptCount val="9"/>
                <c:pt idx="0">
                  <c:v>2014Q4</c:v>
                </c:pt>
                <c:pt idx="1">
                  <c:v>2015Q4</c:v>
                </c:pt>
                <c:pt idx="2">
                  <c:v>2016Q4</c:v>
                </c:pt>
                <c:pt idx="3">
                  <c:v>2017Q4</c:v>
                </c:pt>
                <c:pt idx="4">
                  <c:v>2018Q4</c:v>
                </c:pt>
                <c:pt idx="5">
                  <c:v>2019Q4</c:v>
                </c:pt>
                <c:pt idx="6">
                  <c:v>2020Q4</c:v>
                </c:pt>
                <c:pt idx="7">
                  <c:v>2021Q4</c:v>
                </c:pt>
                <c:pt idx="8">
                  <c:v>2022Q3</c:v>
                </c:pt>
              </c:strCache>
            </c:strRef>
          </c:cat>
          <c:val>
            <c:numRef>
              <c:f>Лист4!$B$6:$J$6</c:f>
              <c:numCache>
                <c:formatCode>#,##0.00</c:formatCode>
                <c:ptCount val="9"/>
                <c:pt idx="0">
                  <c:v>49.27</c:v>
                </c:pt>
                <c:pt idx="1">
                  <c:v>52.82</c:v>
                </c:pt>
                <c:pt idx="2">
                  <c:v>55.92</c:v>
                </c:pt>
                <c:pt idx="3">
                  <c:v>52.81</c:v>
                </c:pt>
                <c:pt idx="4">
                  <c:v>46.9</c:v>
                </c:pt>
                <c:pt idx="5">
                  <c:v>42.82</c:v>
                </c:pt>
                <c:pt idx="6">
                  <c:v>39.130000000000003</c:v>
                </c:pt>
                <c:pt idx="7">
                  <c:v>33.65</c:v>
                </c:pt>
                <c:pt idx="8">
                  <c:v>37.49</c:v>
                </c:pt>
              </c:numCache>
            </c:numRef>
          </c:val>
          <c:smooth val="0"/>
          <c:extLst>
            <c:ext xmlns:c16="http://schemas.microsoft.com/office/drawing/2014/chart" uri="{C3380CC4-5D6E-409C-BE32-E72D297353CC}">
              <c16:uniqueId val="{00000003-7C8F-4E7F-B722-C986B29C9BFF}"/>
            </c:ext>
          </c:extLst>
        </c:ser>
        <c:dLbls>
          <c:showLegendKey val="0"/>
          <c:showVal val="0"/>
          <c:showCatName val="0"/>
          <c:showSerName val="0"/>
          <c:showPercent val="0"/>
          <c:showBubbleSize val="0"/>
        </c:dLbls>
        <c:marker val="1"/>
        <c:smooth val="0"/>
        <c:axId val="-286568448"/>
        <c:axId val="-1288546112"/>
      </c:lineChart>
      <c:catAx>
        <c:axId val="1864738304"/>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0"/>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288547264"/>
        <c:crosses val="autoZero"/>
        <c:auto val="1"/>
        <c:lblAlgn val="ctr"/>
        <c:lblOffset val="100"/>
        <c:noMultiLvlLbl val="0"/>
      </c:catAx>
      <c:valAx>
        <c:axId val="-1288547264"/>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64738304"/>
        <c:crosses val="autoZero"/>
        <c:crossBetween val="between"/>
      </c:valAx>
      <c:valAx>
        <c:axId val="-1288546112"/>
        <c:scaling>
          <c:orientation val="minMax"/>
        </c:scaling>
        <c:delete val="0"/>
        <c:axPos val="r"/>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86568448"/>
        <c:crosses val="max"/>
        <c:crossBetween val="between"/>
      </c:valAx>
      <c:catAx>
        <c:axId val="-286568448"/>
        <c:scaling>
          <c:orientation val="minMax"/>
        </c:scaling>
        <c:delete val="1"/>
        <c:axPos val="b"/>
        <c:numFmt formatCode="General" sourceLinked="1"/>
        <c:majorTickMark val="out"/>
        <c:minorTickMark val="none"/>
        <c:tickLblPos val="nextTo"/>
        <c:crossAx val="-1288546112"/>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lt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капітал!$A$22</c:f>
              <c:strCache>
                <c:ptCount val="1"/>
                <c:pt idx="0">
                  <c:v>Статутний капітал           </c:v>
                </c:pt>
              </c:strCache>
            </c:strRef>
          </c:tx>
          <c:spPr>
            <a:solidFill>
              <a:schemeClr val="dk1">
                <a:tint val="88500"/>
              </a:schemeClr>
            </a:solidFill>
            <a:ln>
              <a:noFill/>
            </a:ln>
            <a:effectLst/>
          </c:spPr>
          <c:invertIfNegative val="0"/>
          <c:cat>
            <c:numRef>
              <c:f>капітал!$B$21:$J$21</c:f>
              <c:numCache>
                <c:formatCode>m/d/yyyy</c:formatCode>
                <c:ptCount val="9"/>
                <c:pt idx="0">
                  <c:v>42005</c:v>
                </c:pt>
                <c:pt idx="1">
                  <c:v>42370</c:v>
                </c:pt>
                <c:pt idx="2">
                  <c:v>42736</c:v>
                </c:pt>
                <c:pt idx="3">
                  <c:v>43101</c:v>
                </c:pt>
                <c:pt idx="4">
                  <c:v>43466</c:v>
                </c:pt>
                <c:pt idx="5">
                  <c:v>43831</c:v>
                </c:pt>
                <c:pt idx="6">
                  <c:v>44197</c:v>
                </c:pt>
                <c:pt idx="7">
                  <c:v>44562</c:v>
                </c:pt>
                <c:pt idx="8">
                  <c:v>44927</c:v>
                </c:pt>
              </c:numCache>
            </c:numRef>
          </c:cat>
          <c:val>
            <c:numRef>
              <c:f>капітал!$B$22:$J$22</c:f>
              <c:numCache>
                <c:formatCode>General</c:formatCode>
                <c:ptCount val="9"/>
                <c:pt idx="0" formatCode="#,##0">
                  <c:v>19101.152999999998</c:v>
                </c:pt>
                <c:pt idx="1">
                  <c:v>21257</c:v>
                </c:pt>
                <c:pt idx="2">
                  <c:v>162286</c:v>
                </c:pt>
                <c:pt idx="3">
                  <c:v>206060</c:v>
                </c:pt>
                <c:pt idx="4" formatCode="#,##0">
                  <c:v>206059.74396000002</c:v>
                </c:pt>
                <c:pt idx="5" formatCode="#,##0">
                  <c:v>206059.74396000002</c:v>
                </c:pt>
                <c:pt idx="6" formatCode="#,##0">
                  <c:v>206059.74396000002</c:v>
                </c:pt>
                <c:pt idx="7" formatCode="#,##0">
                  <c:v>206059.74396000002</c:v>
                </c:pt>
                <c:pt idx="8" formatCode="#,##0">
                  <c:v>206059.74396000002</c:v>
                </c:pt>
              </c:numCache>
            </c:numRef>
          </c:val>
          <c:extLst>
            <c:ext xmlns:c16="http://schemas.microsoft.com/office/drawing/2014/chart" uri="{C3380CC4-5D6E-409C-BE32-E72D297353CC}">
              <c16:uniqueId val="{00000000-929A-47B9-8D36-E297DE60BCD3}"/>
            </c:ext>
          </c:extLst>
        </c:ser>
        <c:ser>
          <c:idx val="1"/>
          <c:order val="1"/>
          <c:tx>
            <c:strRef>
              <c:f>капітал!$A$27</c:f>
              <c:strCache>
                <c:ptCount val="1"/>
                <c:pt idx="0">
                  <c:v>Нерозподілений прибуток (непокритий збиток) минулих років    </c:v>
                </c:pt>
              </c:strCache>
            </c:strRef>
          </c:tx>
          <c:spPr>
            <a:solidFill>
              <a:schemeClr val="dk1">
                <a:tint val="55000"/>
              </a:schemeClr>
            </a:solidFill>
            <a:ln>
              <a:noFill/>
            </a:ln>
            <a:effectLst/>
          </c:spPr>
          <c:invertIfNegative val="0"/>
          <c:cat>
            <c:numRef>
              <c:f>капітал!$B$21:$J$21</c:f>
              <c:numCache>
                <c:formatCode>m/d/yyyy</c:formatCode>
                <c:ptCount val="9"/>
                <c:pt idx="0">
                  <c:v>42005</c:v>
                </c:pt>
                <c:pt idx="1">
                  <c:v>42370</c:v>
                </c:pt>
                <c:pt idx="2">
                  <c:v>42736</c:v>
                </c:pt>
                <c:pt idx="3">
                  <c:v>43101</c:v>
                </c:pt>
                <c:pt idx="4">
                  <c:v>43466</c:v>
                </c:pt>
                <c:pt idx="5">
                  <c:v>43831</c:v>
                </c:pt>
                <c:pt idx="6">
                  <c:v>44197</c:v>
                </c:pt>
                <c:pt idx="7">
                  <c:v>44562</c:v>
                </c:pt>
                <c:pt idx="8">
                  <c:v>44927</c:v>
                </c:pt>
              </c:numCache>
            </c:numRef>
          </c:cat>
          <c:val>
            <c:numRef>
              <c:f>капітал!$B$27:$J$27</c:f>
              <c:numCache>
                <c:formatCode>General</c:formatCode>
                <c:ptCount val="9"/>
                <c:pt idx="0" formatCode="#,##0">
                  <c:v>882.08342752999806</c:v>
                </c:pt>
                <c:pt idx="1">
                  <c:v>0</c:v>
                </c:pt>
                <c:pt idx="2">
                  <c:v>-176048</c:v>
                </c:pt>
                <c:pt idx="3">
                  <c:v>-199943</c:v>
                </c:pt>
                <c:pt idx="4" formatCode="#,##0">
                  <c:v>-190389.44289573</c:v>
                </c:pt>
                <c:pt idx="5" formatCode="#,##0">
                  <c:v>-169918.73678872999</c:v>
                </c:pt>
                <c:pt idx="6">
                  <c:v>-169124.19500000001</c:v>
                </c:pt>
                <c:pt idx="7">
                  <c:v>-157247</c:v>
                </c:pt>
                <c:pt idx="8">
                  <c:v>-156628</c:v>
                </c:pt>
              </c:numCache>
            </c:numRef>
          </c:val>
          <c:extLst>
            <c:ext xmlns:c16="http://schemas.microsoft.com/office/drawing/2014/chart" uri="{C3380CC4-5D6E-409C-BE32-E72D297353CC}">
              <c16:uniqueId val="{00000001-929A-47B9-8D36-E297DE60BCD3}"/>
            </c:ext>
          </c:extLst>
        </c:ser>
        <c:dLbls>
          <c:showLegendKey val="0"/>
          <c:showVal val="0"/>
          <c:showCatName val="0"/>
          <c:showSerName val="0"/>
          <c:showPercent val="0"/>
          <c:showBubbleSize val="0"/>
        </c:dLbls>
        <c:gapWidth val="247"/>
        <c:axId val="1764780544"/>
        <c:axId val="1883023040"/>
      </c:barChart>
      <c:lineChart>
        <c:grouping val="standard"/>
        <c:varyColors val="0"/>
        <c:ser>
          <c:idx val="2"/>
          <c:order val="2"/>
          <c:tx>
            <c:strRef>
              <c:f>капітал!$A$29</c:f>
              <c:strCache>
                <c:ptCount val="1"/>
                <c:pt idx="0">
                  <c:v>Усього капіталу</c:v>
                </c:pt>
              </c:strCache>
            </c:strRef>
          </c:tx>
          <c:spPr>
            <a:ln w="22225" cap="rnd">
              <a:solidFill>
                <a:schemeClr val="dk1">
                  <a:tint val="75000"/>
                </a:schemeClr>
              </a:solidFill>
              <a:round/>
            </a:ln>
            <a:effectLst/>
          </c:spPr>
          <c:marker>
            <c:symbol val="circle"/>
            <c:size val="6"/>
            <c:spPr>
              <a:solidFill>
                <a:schemeClr val="lt1"/>
              </a:solidFill>
              <a:ln w="15875">
                <a:solidFill>
                  <a:schemeClr val="dk1">
                    <a:tint val="75000"/>
                  </a:schemeClr>
                </a:solidFill>
                <a:round/>
              </a:ln>
              <a:effectLst/>
            </c:spPr>
          </c:marker>
          <c:cat>
            <c:numRef>
              <c:f>капітал!$B$21:$J$21</c:f>
              <c:numCache>
                <c:formatCode>m/d/yyyy</c:formatCode>
                <c:ptCount val="9"/>
                <c:pt idx="0">
                  <c:v>42005</c:v>
                </c:pt>
                <c:pt idx="1">
                  <c:v>42370</c:v>
                </c:pt>
                <c:pt idx="2">
                  <c:v>42736</c:v>
                </c:pt>
                <c:pt idx="3">
                  <c:v>43101</c:v>
                </c:pt>
                <c:pt idx="4">
                  <c:v>43466</c:v>
                </c:pt>
                <c:pt idx="5">
                  <c:v>43831</c:v>
                </c:pt>
                <c:pt idx="6">
                  <c:v>44197</c:v>
                </c:pt>
                <c:pt idx="7">
                  <c:v>44562</c:v>
                </c:pt>
                <c:pt idx="8">
                  <c:v>44927</c:v>
                </c:pt>
              </c:numCache>
            </c:numRef>
          </c:cat>
          <c:val>
            <c:numRef>
              <c:f>капітал!$B$29:$J$29</c:f>
              <c:numCache>
                <c:formatCode>#,##0</c:formatCode>
                <c:ptCount val="9"/>
                <c:pt idx="0">
                  <c:v>22696</c:v>
                </c:pt>
                <c:pt idx="1">
                  <c:v>29045</c:v>
                </c:pt>
                <c:pt idx="2">
                  <c:v>-882</c:v>
                </c:pt>
                <c:pt idx="3">
                  <c:v>24793</c:v>
                </c:pt>
                <c:pt idx="4">
                  <c:v>31462</c:v>
                </c:pt>
                <c:pt idx="5">
                  <c:v>54528.931444890011</c:v>
                </c:pt>
                <c:pt idx="6">
                  <c:v>55021.993795869988</c:v>
                </c:pt>
                <c:pt idx="7">
                  <c:v>66614.743960000022</c:v>
                </c:pt>
                <c:pt idx="8">
                  <c:v>57936.743960000022</c:v>
                </c:pt>
              </c:numCache>
            </c:numRef>
          </c:val>
          <c:smooth val="0"/>
          <c:extLst>
            <c:ext xmlns:c16="http://schemas.microsoft.com/office/drawing/2014/chart" uri="{C3380CC4-5D6E-409C-BE32-E72D297353CC}">
              <c16:uniqueId val="{00000002-929A-47B9-8D36-E297DE60BCD3}"/>
            </c:ext>
          </c:extLst>
        </c:ser>
        <c:dLbls>
          <c:showLegendKey val="0"/>
          <c:showVal val="0"/>
          <c:showCatName val="0"/>
          <c:showSerName val="0"/>
          <c:showPercent val="0"/>
          <c:showBubbleSize val="0"/>
        </c:dLbls>
        <c:marker val="1"/>
        <c:smooth val="0"/>
        <c:axId val="1483347968"/>
        <c:axId val="1883023616"/>
      </c:lineChart>
      <c:dateAx>
        <c:axId val="1764780544"/>
        <c:scaling>
          <c:orientation val="minMax"/>
        </c:scaling>
        <c:delete val="0"/>
        <c:axPos val="b"/>
        <c:numFmt formatCode="m/d/yyyy"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83023040"/>
        <c:crosses val="autoZero"/>
        <c:auto val="1"/>
        <c:lblOffset val="100"/>
        <c:baseTimeUnit val="years"/>
      </c:dateAx>
      <c:valAx>
        <c:axId val="1883023040"/>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64780544"/>
        <c:crosses val="autoZero"/>
        <c:crossBetween val="between"/>
      </c:valAx>
      <c:valAx>
        <c:axId val="1883023616"/>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83347968"/>
        <c:crosses val="max"/>
        <c:crossBetween val="between"/>
      </c:valAx>
      <c:dateAx>
        <c:axId val="1483347968"/>
        <c:scaling>
          <c:orientation val="minMax"/>
        </c:scaling>
        <c:delete val="1"/>
        <c:axPos val="b"/>
        <c:numFmt formatCode="m/d/yyyy" sourceLinked="1"/>
        <c:majorTickMark val="out"/>
        <c:minorTickMark val="none"/>
        <c:tickLblPos val="nextTo"/>
        <c:crossAx val="1883023616"/>
        <c:crosses val="autoZero"/>
        <c:auto val="1"/>
        <c:lblOffset val="100"/>
        <c:baseTimeUnit val="years"/>
      </c:date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lt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NPL_Усього!$BZ$5</c:f>
              <c:strCache>
                <c:ptCount val="1"/>
                <c:pt idx="0">
                  <c:v>    непрацюючі кредити, млн грн</c:v>
                </c:pt>
              </c:strCache>
            </c:strRef>
          </c:tx>
          <c:spPr>
            <a:solidFill>
              <a:schemeClr val="dk1">
                <a:tint val="88500"/>
              </a:schemeClr>
            </a:solidFill>
            <a:ln>
              <a:solidFill>
                <a:schemeClr val="tx1"/>
              </a:solidFill>
            </a:ln>
            <a:effectLst/>
          </c:spPr>
          <c:invertIfNegative val="0"/>
          <c:cat>
            <c:numRef>
              <c:f>NPL_Усього!$CA$4:$EM$4</c:f>
              <c:numCache>
                <c:formatCode>m/d/yyyy</c:formatCode>
                <c:ptCount val="65"/>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pt idx="38">
                  <c:v>44256</c:v>
                </c:pt>
                <c:pt idx="39">
                  <c:v>44287</c:v>
                </c:pt>
                <c:pt idx="40">
                  <c:v>44317</c:v>
                </c:pt>
                <c:pt idx="41">
                  <c:v>44348</c:v>
                </c:pt>
                <c:pt idx="42">
                  <c:v>44378</c:v>
                </c:pt>
                <c:pt idx="43">
                  <c:v>44409</c:v>
                </c:pt>
                <c:pt idx="44">
                  <c:v>44440</c:v>
                </c:pt>
                <c:pt idx="45">
                  <c:v>44470</c:v>
                </c:pt>
                <c:pt idx="46">
                  <c:v>44501</c:v>
                </c:pt>
                <c:pt idx="47">
                  <c:v>44531</c:v>
                </c:pt>
                <c:pt idx="48">
                  <c:v>44562</c:v>
                </c:pt>
                <c:pt idx="49">
                  <c:v>44593</c:v>
                </c:pt>
                <c:pt idx="50">
                  <c:v>44621</c:v>
                </c:pt>
                <c:pt idx="51">
                  <c:v>44652</c:v>
                </c:pt>
                <c:pt idx="52">
                  <c:v>44682</c:v>
                </c:pt>
                <c:pt idx="53">
                  <c:v>44713</c:v>
                </c:pt>
                <c:pt idx="54">
                  <c:v>44743</c:v>
                </c:pt>
                <c:pt idx="55">
                  <c:v>44774</c:v>
                </c:pt>
                <c:pt idx="56">
                  <c:v>44805</c:v>
                </c:pt>
                <c:pt idx="57">
                  <c:v>44835</c:v>
                </c:pt>
                <c:pt idx="58">
                  <c:v>44866</c:v>
                </c:pt>
                <c:pt idx="59">
                  <c:v>44896</c:v>
                </c:pt>
                <c:pt idx="60">
                  <c:v>44927</c:v>
                </c:pt>
                <c:pt idx="61">
                  <c:v>44958</c:v>
                </c:pt>
                <c:pt idx="62">
                  <c:v>44986</c:v>
                </c:pt>
                <c:pt idx="63">
                  <c:v>45017</c:v>
                </c:pt>
                <c:pt idx="64">
                  <c:v>45047</c:v>
                </c:pt>
              </c:numCache>
            </c:numRef>
          </c:cat>
          <c:val>
            <c:numRef>
              <c:f>NPL_Усього!$CA$5:$EM$5</c:f>
              <c:numCache>
                <c:formatCode>#,##0</c:formatCode>
                <c:ptCount val="65"/>
                <c:pt idx="0">
                  <c:v>236211.15802725</c:v>
                </c:pt>
                <c:pt idx="1">
                  <c:v>236923.15899972999</c:v>
                </c:pt>
                <c:pt idx="2">
                  <c:v>235555.1036837</c:v>
                </c:pt>
                <c:pt idx="3">
                  <c:v>229516.50758892001</c:v>
                </c:pt>
                <c:pt idx="4">
                  <c:v>229481.59501531001</c:v>
                </c:pt>
                <c:pt idx="5">
                  <c:v>229631.53865865999</c:v>
                </c:pt>
                <c:pt idx="6">
                  <c:v>230263.32081234999</c:v>
                </c:pt>
                <c:pt idx="7">
                  <c:v>232078.14711538999</c:v>
                </c:pt>
                <c:pt idx="8">
                  <c:v>235460.20996584001</c:v>
                </c:pt>
                <c:pt idx="9">
                  <c:v>243695.91691609001</c:v>
                </c:pt>
                <c:pt idx="10">
                  <c:v>244274.48298897</c:v>
                </c:pt>
                <c:pt idx="11">
                  <c:v>245499.97657318</c:v>
                </c:pt>
                <c:pt idx="12">
                  <c:v>244824.28797696001</c:v>
                </c:pt>
                <c:pt idx="13">
                  <c:v>245742.25388368999</c:v>
                </c:pt>
                <c:pt idx="14">
                  <c:v>243945.49263778</c:v>
                </c:pt>
                <c:pt idx="15">
                  <c:v>245172.69384943001</c:v>
                </c:pt>
                <c:pt idx="16">
                  <c:v>244251.15427515001</c:v>
                </c:pt>
                <c:pt idx="17">
                  <c:v>243810.38396663</c:v>
                </c:pt>
                <c:pt idx="18">
                  <c:v>242615.32625769</c:v>
                </c:pt>
                <c:pt idx="19">
                  <c:v>240920.60958597</c:v>
                </c:pt>
                <c:pt idx="20">
                  <c:v>241626.85846570999</c:v>
                </c:pt>
                <c:pt idx="21">
                  <c:v>239517.36608698999</c:v>
                </c:pt>
                <c:pt idx="22">
                  <c:v>241899.53133917</c:v>
                </c:pt>
                <c:pt idx="23">
                  <c:v>239952.56619774</c:v>
                </c:pt>
                <c:pt idx="24">
                  <c:v>239196.51627610001</c:v>
                </c:pt>
                <c:pt idx="25">
                  <c:v>242300.29465744999</c:v>
                </c:pt>
                <c:pt idx="26">
                  <c:v>241599.45224381</c:v>
                </c:pt>
                <c:pt idx="27">
                  <c:v>249303.39103139</c:v>
                </c:pt>
                <c:pt idx="28">
                  <c:v>247182.36072289999</c:v>
                </c:pt>
                <c:pt idx="29">
                  <c:v>247556.99139755999</c:v>
                </c:pt>
                <c:pt idx="30">
                  <c:v>247762.48398421999</c:v>
                </c:pt>
                <c:pt idx="31">
                  <c:v>250505.35801031001</c:v>
                </c:pt>
                <c:pt idx="32">
                  <c:v>250477.32477958</c:v>
                </c:pt>
                <c:pt idx="33">
                  <c:v>247979.35701398001</c:v>
                </c:pt>
                <c:pt idx="34">
                  <c:v>212620.07437518</c:v>
                </c:pt>
                <c:pt idx="35">
                  <c:v>189528.30815867</c:v>
                </c:pt>
                <c:pt idx="36">
                  <c:v>181195.90011628999</c:v>
                </c:pt>
                <c:pt idx="37">
                  <c:v>181311.19006056001</c:v>
                </c:pt>
                <c:pt idx="38">
                  <c:v>180383.77660434</c:v>
                </c:pt>
                <c:pt idx="39">
                  <c:v>177992.14728053001</c:v>
                </c:pt>
                <c:pt idx="40">
                  <c:v>177994.17739316999</c:v>
                </c:pt>
                <c:pt idx="41">
                  <c:v>177835.48050897999</c:v>
                </c:pt>
                <c:pt idx="42">
                  <c:v>177435.76251706001</c:v>
                </c:pt>
                <c:pt idx="43">
                  <c:v>176779.05771314001</c:v>
                </c:pt>
                <c:pt idx="44">
                  <c:v>176902.52561292</c:v>
                </c:pt>
                <c:pt idx="45">
                  <c:v>175304.21358921001</c:v>
                </c:pt>
                <c:pt idx="46">
                  <c:v>174842.35563517001</c:v>
                </c:pt>
                <c:pt idx="47">
                  <c:v>175390.55488729</c:v>
                </c:pt>
                <c:pt idx="48">
                  <c:v>174533.38373504</c:v>
                </c:pt>
                <c:pt idx="49">
                  <c:v>175438.45869763999</c:v>
                </c:pt>
                <c:pt idx="50">
                  <c:v>175653.14414039993</c:v>
                </c:pt>
                <c:pt idx="51">
                  <c:v>175486.64526079001</c:v>
                </c:pt>
                <c:pt idx="52">
                  <c:v>175323.66252824001</c:v>
                </c:pt>
                <c:pt idx="53">
                  <c:v>175771.12703286001</c:v>
                </c:pt>
                <c:pt idx="54">
                  <c:v>175082.8516776</c:v>
                </c:pt>
                <c:pt idx="55">
                  <c:v>179541.92803740001</c:v>
                </c:pt>
                <c:pt idx="56">
                  <c:v>179763.58996342999</c:v>
                </c:pt>
                <c:pt idx="57">
                  <c:v>186987.77265570001</c:v>
                </c:pt>
                <c:pt idx="58">
                  <c:v>187721.64167002999</c:v>
                </c:pt>
                <c:pt idx="59">
                  <c:v>188103.26250836</c:v>
                </c:pt>
                <c:pt idx="60">
                  <c:v>178929.28292388</c:v>
                </c:pt>
                <c:pt idx="61">
                  <c:v>179273.43161318</c:v>
                </c:pt>
                <c:pt idx="62">
                  <c:v>178748.67185531001</c:v>
                </c:pt>
                <c:pt idx="63">
                  <c:v>178741.40421035001</c:v>
                </c:pt>
                <c:pt idx="64">
                  <c:v>178792.03950928</c:v>
                </c:pt>
              </c:numCache>
            </c:numRef>
          </c:val>
          <c:extLst>
            <c:ext xmlns:c16="http://schemas.microsoft.com/office/drawing/2014/chart" uri="{C3380CC4-5D6E-409C-BE32-E72D297353CC}">
              <c16:uniqueId val="{00000000-9417-48B7-BE43-990FB3721119}"/>
            </c:ext>
          </c:extLst>
        </c:ser>
        <c:ser>
          <c:idx val="2"/>
          <c:order val="2"/>
          <c:tx>
            <c:strRef>
              <c:f>NPL_Усього!$BZ$7</c:f>
              <c:strCache>
                <c:ptCount val="1"/>
                <c:pt idx="0">
                  <c:v>кредитний портфель, млн грн</c:v>
                </c:pt>
              </c:strCache>
            </c:strRef>
          </c:tx>
          <c:spPr>
            <a:solidFill>
              <a:schemeClr val="dk1">
                <a:tint val="75000"/>
              </a:schemeClr>
            </a:solidFill>
            <a:ln>
              <a:noFill/>
            </a:ln>
            <a:effectLst/>
          </c:spPr>
          <c:invertIfNegative val="0"/>
          <c:cat>
            <c:numRef>
              <c:f>NPL_Усього!$CA$4:$EM$4</c:f>
              <c:numCache>
                <c:formatCode>m/d/yyyy</c:formatCode>
                <c:ptCount val="65"/>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pt idx="38">
                  <c:v>44256</c:v>
                </c:pt>
                <c:pt idx="39">
                  <c:v>44287</c:v>
                </c:pt>
                <c:pt idx="40">
                  <c:v>44317</c:v>
                </c:pt>
                <c:pt idx="41">
                  <c:v>44348</c:v>
                </c:pt>
                <c:pt idx="42">
                  <c:v>44378</c:v>
                </c:pt>
                <c:pt idx="43">
                  <c:v>44409</c:v>
                </c:pt>
                <c:pt idx="44">
                  <c:v>44440</c:v>
                </c:pt>
                <c:pt idx="45">
                  <c:v>44470</c:v>
                </c:pt>
                <c:pt idx="46">
                  <c:v>44501</c:v>
                </c:pt>
                <c:pt idx="47">
                  <c:v>44531</c:v>
                </c:pt>
                <c:pt idx="48">
                  <c:v>44562</c:v>
                </c:pt>
                <c:pt idx="49">
                  <c:v>44593</c:v>
                </c:pt>
                <c:pt idx="50">
                  <c:v>44621</c:v>
                </c:pt>
                <c:pt idx="51">
                  <c:v>44652</c:v>
                </c:pt>
                <c:pt idx="52">
                  <c:v>44682</c:v>
                </c:pt>
                <c:pt idx="53">
                  <c:v>44713</c:v>
                </c:pt>
                <c:pt idx="54">
                  <c:v>44743</c:v>
                </c:pt>
                <c:pt idx="55">
                  <c:v>44774</c:v>
                </c:pt>
                <c:pt idx="56">
                  <c:v>44805</c:v>
                </c:pt>
                <c:pt idx="57">
                  <c:v>44835</c:v>
                </c:pt>
                <c:pt idx="58">
                  <c:v>44866</c:v>
                </c:pt>
                <c:pt idx="59">
                  <c:v>44896</c:v>
                </c:pt>
                <c:pt idx="60">
                  <c:v>44927</c:v>
                </c:pt>
                <c:pt idx="61">
                  <c:v>44958</c:v>
                </c:pt>
                <c:pt idx="62">
                  <c:v>44986</c:v>
                </c:pt>
                <c:pt idx="63">
                  <c:v>45017</c:v>
                </c:pt>
                <c:pt idx="64">
                  <c:v>45047</c:v>
                </c:pt>
              </c:numCache>
            </c:numRef>
          </c:cat>
          <c:val>
            <c:numRef>
              <c:f>NPL_Усього!$CA$7:$EM$7</c:f>
              <c:numCache>
                <c:formatCode>#,##0</c:formatCode>
                <c:ptCount val="65"/>
                <c:pt idx="0">
                  <c:v>269531.77795317001</c:v>
                </c:pt>
                <c:pt idx="1">
                  <c:v>272271.16670074</c:v>
                </c:pt>
                <c:pt idx="2">
                  <c:v>271771.33117870003</c:v>
                </c:pt>
                <c:pt idx="3">
                  <c:v>267928.79392616998</c:v>
                </c:pt>
                <c:pt idx="4">
                  <c:v>268692.45546338003</c:v>
                </c:pt>
                <c:pt idx="5">
                  <c:v>269924.95536076999</c:v>
                </c:pt>
                <c:pt idx="6">
                  <c:v>272063.36936836003</c:v>
                </c:pt>
                <c:pt idx="7">
                  <c:v>274531.26840104</c:v>
                </c:pt>
                <c:pt idx="8">
                  <c:v>279506.04819999001</c:v>
                </c:pt>
                <c:pt idx="9">
                  <c:v>292514.20143481001</c:v>
                </c:pt>
                <c:pt idx="10">
                  <c:v>291046.38226068002</c:v>
                </c:pt>
                <c:pt idx="11">
                  <c:v>294929.82528802002</c:v>
                </c:pt>
                <c:pt idx="12">
                  <c:v>293725.44168539002</c:v>
                </c:pt>
                <c:pt idx="13">
                  <c:v>296052.44049446</c:v>
                </c:pt>
                <c:pt idx="14">
                  <c:v>295043.02288502001</c:v>
                </c:pt>
                <c:pt idx="15">
                  <c:v>297689.98998797999</c:v>
                </c:pt>
                <c:pt idx="16">
                  <c:v>297590.59819315001</c:v>
                </c:pt>
                <c:pt idx="17">
                  <c:v>298677.42934898002</c:v>
                </c:pt>
                <c:pt idx="18">
                  <c:v>297850.53902456001</c:v>
                </c:pt>
                <c:pt idx="19">
                  <c:v>296620.49446404999</c:v>
                </c:pt>
                <c:pt idx="20">
                  <c:v>298595.74090550002</c:v>
                </c:pt>
                <c:pt idx="21">
                  <c:v>296822.74617557001</c:v>
                </c:pt>
                <c:pt idx="22">
                  <c:v>305642.13916223001</c:v>
                </c:pt>
                <c:pt idx="23">
                  <c:v>305957.60552436998</c:v>
                </c:pt>
                <c:pt idx="24">
                  <c:v>305162.59730741999</c:v>
                </c:pt>
                <c:pt idx="25">
                  <c:v>308978.65583465999</c:v>
                </c:pt>
                <c:pt idx="26">
                  <c:v>308762.14415781002</c:v>
                </c:pt>
                <c:pt idx="27">
                  <c:v>316935.31096465001</c:v>
                </c:pt>
                <c:pt idx="28">
                  <c:v>311464.31586418999</c:v>
                </c:pt>
                <c:pt idx="29">
                  <c:v>312282.53644490999</c:v>
                </c:pt>
                <c:pt idx="30">
                  <c:v>312425.86644340999</c:v>
                </c:pt>
                <c:pt idx="31">
                  <c:v>314593.98175851</c:v>
                </c:pt>
                <c:pt idx="32">
                  <c:v>315318.24845696997</c:v>
                </c:pt>
                <c:pt idx="33">
                  <c:v>312947.76486381999</c:v>
                </c:pt>
                <c:pt idx="34">
                  <c:v>277071.9174188</c:v>
                </c:pt>
                <c:pt idx="35">
                  <c:v>254677.31668610001</c:v>
                </c:pt>
                <c:pt idx="36">
                  <c:v>245013.32147977999</c:v>
                </c:pt>
                <c:pt idx="37">
                  <c:v>245495.15685411001</c:v>
                </c:pt>
                <c:pt idx="38">
                  <c:v>245271.02185257999</c:v>
                </c:pt>
                <c:pt idx="39">
                  <c:v>245376.28326873999</c:v>
                </c:pt>
                <c:pt idx="40">
                  <c:v>246336.93464965001</c:v>
                </c:pt>
                <c:pt idx="41">
                  <c:v>247791.68345258001</c:v>
                </c:pt>
                <c:pt idx="42">
                  <c:v>248700.2427384</c:v>
                </c:pt>
                <c:pt idx="43">
                  <c:v>248441.65176951</c:v>
                </c:pt>
                <c:pt idx="44">
                  <c:v>250673.54801107</c:v>
                </c:pt>
                <c:pt idx="45">
                  <c:v>249674.26749930001</c:v>
                </c:pt>
                <c:pt idx="46">
                  <c:v>249381.90260341001</c:v>
                </c:pt>
                <c:pt idx="47">
                  <c:v>252553.68707304</c:v>
                </c:pt>
                <c:pt idx="48">
                  <c:v>249620.68876382001</c:v>
                </c:pt>
                <c:pt idx="49">
                  <c:v>257853.16197762001</c:v>
                </c:pt>
                <c:pt idx="50">
                  <c:v>256430.03337942995</c:v>
                </c:pt>
                <c:pt idx="51">
                  <c:v>253315.18126780001</c:v>
                </c:pt>
                <c:pt idx="52">
                  <c:v>257607.54097860001</c:v>
                </c:pt>
                <c:pt idx="53">
                  <c:v>265129.49449780001</c:v>
                </c:pt>
                <c:pt idx="54">
                  <c:v>263401.84584266</c:v>
                </c:pt>
                <c:pt idx="55">
                  <c:v>267691.62010876997</c:v>
                </c:pt>
                <c:pt idx="56">
                  <c:v>267284.29025715002</c:v>
                </c:pt>
                <c:pt idx="57">
                  <c:v>266958.73142673</c:v>
                </c:pt>
                <c:pt idx="58">
                  <c:v>265691.85645481001</c:v>
                </c:pt>
                <c:pt idx="59">
                  <c:v>266572.98058742</c:v>
                </c:pt>
                <c:pt idx="60">
                  <c:v>258531.78988143001</c:v>
                </c:pt>
                <c:pt idx="61">
                  <c:v>265666.42773381999</c:v>
                </c:pt>
                <c:pt idx="62">
                  <c:v>264734.20464250998</c:v>
                </c:pt>
                <c:pt idx="63">
                  <c:v>264755.87594318</c:v>
                </c:pt>
                <c:pt idx="64">
                  <c:v>266285.22378722002</c:v>
                </c:pt>
              </c:numCache>
            </c:numRef>
          </c:val>
          <c:extLst>
            <c:ext xmlns:c16="http://schemas.microsoft.com/office/drawing/2014/chart" uri="{C3380CC4-5D6E-409C-BE32-E72D297353CC}">
              <c16:uniqueId val="{00000001-9417-48B7-BE43-990FB3721119}"/>
            </c:ext>
          </c:extLst>
        </c:ser>
        <c:dLbls>
          <c:showLegendKey val="0"/>
          <c:showVal val="0"/>
          <c:showCatName val="0"/>
          <c:showSerName val="0"/>
          <c:showPercent val="0"/>
          <c:showBubbleSize val="0"/>
        </c:dLbls>
        <c:gapWidth val="150"/>
        <c:axId val="378314096"/>
        <c:axId val="378321776"/>
      </c:barChart>
      <c:lineChart>
        <c:grouping val="stacked"/>
        <c:varyColors val="0"/>
        <c:ser>
          <c:idx val="1"/>
          <c:order val="1"/>
          <c:tx>
            <c:strRef>
              <c:f>NPL_Усього!$BZ$6</c:f>
              <c:strCache>
                <c:ptCount val="1"/>
                <c:pt idx="0">
                  <c:v>частка непрацюючих кредитів, %</c:v>
                </c:pt>
              </c:strCache>
            </c:strRef>
          </c:tx>
          <c:spPr>
            <a:ln w="50800" cap="rnd">
              <a:solidFill>
                <a:schemeClr val="tx1"/>
              </a:solidFill>
              <a:round/>
            </a:ln>
            <a:effectLst/>
          </c:spPr>
          <c:marker>
            <c:symbol val="circle"/>
            <c:size val="5"/>
            <c:spPr>
              <a:solidFill>
                <a:schemeClr val="dk1">
                  <a:tint val="55000"/>
                </a:schemeClr>
              </a:solidFill>
              <a:ln w="9525">
                <a:solidFill>
                  <a:schemeClr val="dk1">
                    <a:tint val="55000"/>
                  </a:schemeClr>
                </a:solidFill>
              </a:ln>
              <a:effectLst/>
            </c:spPr>
          </c:marker>
          <c:cat>
            <c:numRef>
              <c:f>NPL_Усього!$CA$4:$EM$4</c:f>
              <c:numCache>
                <c:formatCode>m/d/yyyy</c:formatCode>
                <c:ptCount val="65"/>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pt idx="38">
                  <c:v>44256</c:v>
                </c:pt>
                <c:pt idx="39">
                  <c:v>44287</c:v>
                </c:pt>
                <c:pt idx="40">
                  <c:v>44317</c:v>
                </c:pt>
                <c:pt idx="41">
                  <c:v>44348</c:v>
                </c:pt>
                <c:pt idx="42">
                  <c:v>44378</c:v>
                </c:pt>
                <c:pt idx="43">
                  <c:v>44409</c:v>
                </c:pt>
                <c:pt idx="44">
                  <c:v>44440</c:v>
                </c:pt>
                <c:pt idx="45">
                  <c:v>44470</c:v>
                </c:pt>
                <c:pt idx="46">
                  <c:v>44501</c:v>
                </c:pt>
                <c:pt idx="47">
                  <c:v>44531</c:v>
                </c:pt>
                <c:pt idx="48">
                  <c:v>44562</c:v>
                </c:pt>
                <c:pt idx="49">
                  <c:v>44593</c:v>
                </c:pt>
                <c:pt idx="50">
                  <c:v>44621</c:v>
                </c:pt>
                <c:pt idx="51">
                  <c:v>44652</c:v>
                </c:pt>
                <c:pt idx="52">
                  <c:v>44682</c:v>
                </c:pt>
                <c:pt idx="53">
                  <c:v>44713</c:v>
                </c:pt>
                <c:pt idx="54">
                  <c:v>44743</c:v>
                </c:pt>
                <c:pt idx="55">
                  <c:v>44774</c:v>
                </c:pt>
                <c:pt idx="56">
                  <c:v>44805</c:v>
                </c:pt>
                <c:pt idx="57">
                  <c:v>44835</c:v>
                </c:pt>
                <c:pt idx="58">
                  <c:v>44866</c:v>
                </c:pt>
                <c:pt idx="59">
                  <c:v>44896</c:v>
                </c:pt>
                <c:pt idx="60">
                  <c:v>44927</c:v>
                </c:pt>
                <c:pt idx="61">
                  <c:v>44958</c:v>
                </c:pt>
                <c:pt idx="62">
                  <c:v>44986</c:v>
                </c:pt>
                <c:pt idx="63">
                  <c:v>45017</c:v>
                </c:pt>
                <c:pt idx="64">
                  <c:v>45047</c:v>
                </c:pt>
              </c:numCache>
            </c:numRef>
          </c:cat>
          <c:val>
            <c:numRef>
              <c:f>NPL_Усього!$CA$6:$EM$6</c:f>
              <c:numCache>
                <c:formatCode>#,##0.00</c:formatCode>
                <c:ptCount val="65"/>
                <c:pt idx="0">
                  <c:v>87.637591315221698</c:v>
                </c:pt>
                <c:pt idx="1">
                  <c:v>87.017351808000299</c:v>
                </c:pt>
                <c:pt idx="2">
                  <c:v>86.674007395141103</c:v>
                </c:pt>
                <c:pt idx="3">
                  <c:v>85.663248143521699</c:v>
                </c:pt>
                <c:pt idx="4">
                  <c:v>85.406787704385707</c:v>
                </c:pt>
                <c:pt idx="5">
                  <c:v>85.072363298808199</c:v>
                </c:pt>
                <c:pt idx="6">
                  <c:v>84.635914547020505</c:v>
                </c:pt>
                <c:pt idx="7">
                  <c:v>84.536143539163703</c:v>
                </c:pt>
                <c:pt idx="8">
                  <c:v>84.241543781322903</c:v>
                </c:pt>
                <c:pt idx="9">
                  <c:v>83.310798491402593</c:v>
                </c:pt>
                <c:pt idx="10">
                  <c:v>83.9297438063264</c:v>
                </c:pt>
                <c:pt idx="11">
                  <c:v>83.2401322360096</c:v>
                </c:pt>
                <c:pt idx="12">
                  <c:v>83.351406869001096</c:v>
                </c:pt>
                <c:pt idx="13">
                  <c:v>83.006325998615907</c:v>
                </c:pt>
                <c:pt idx="14">
                  <c:v>82.681329065980705</c:v>
                </c:pt>
                <c:pt idx="15">
                  <c:v>82.358393662927497</c:v>
                </c:pt>
                <c:pt idx="16">
                  <c:v>82.0762335094403</c:v>
                </c:pt>
                <c:pt idx="17">
                  <c:v>81.6299994606414</c:v>
                </c:pt>
                <c:pt idx="18">
                  <c:v>81.455392712142995</c:v>
                </c:pt>
                <c:pt idx="19">
                  <c:v>81.221835335848397</c:v>
                </c:pt>
                <c:pt idx="20">
                  <c:v>80.921066634430105</c:v>
                </c:pt>
                <c:pt idx="21">
                  <c:v>80.693736977056304</c:v>
                </c:pt>
                <c:pt idx="22">
                  <c:v>79.144692548684702</c:v>
                </c:pt>
                <c:pt idx="23">
                  <c:v>78.426736863263699</c:v>
                </c:pt>
                <c:pt idx="24">
                  <c:v>78.383300701538502</c:v>
                </c:pt>
                <c:pt idx="25">
                  <c:v>78.419751682494606</c:v>
                </c:pt>
                <c:pt idx="26">
                  <c:v>78.247756991973503</c:v>
                </c:pt>
                <c:pt idx="27">
                  <c:v>78.660654842336697</c:v>
                </c:pt>
                <c:pt idx="28">
                  <c:v>79.361374042823201</c:v>
                </c:pt>
                <c:pt idx="29">
                  <c:v>79.273402290054605</c:v>
                </c:pt>
                <c:pt idx="30">
                  <c:v>79.302807672327404</c:v>
                </c:pt>
                <c:pt idx="31">
                  <c:v>79.628146924502801</c:v>
                </c:pt>
                <c:pt idx="32">
                  <c:v>79.436355493317194</c:v>
                </c:pt>
                <c:pt idx="33">
                  <c:v>79.2398556103728</c:v>
                </c:pt>
                <c:pt idx="34">
                  <c:v>76.738226073557797</c:v>
                </c:pt>
                <c:pt idx="35">
                  <c:v>74.418998372073801</c:v>
                </c:pt>
                <c:pt idx="36">
                  <c:v>73.953489149871999</c:v>
                </c:pt>
                <c:pt idx="37">
                  <c:v>73.855302232421394</c:v>
                </c:pt>
                <c:pt idx="38">
                  <c:v>73.5446752909765</c:v>
                </c:pt>
                <c:pt idx="39">
                  <c:v>72.538447852187204</c:v>
                </c:pt>
                <c:pt idx="40">
                  <c:v>72.256390478480299</c:v>
                </c:pt>
                <c:pt idx="41">
                  <c:v>71.768139281806199</c:v>
                </c:pt>
                <c:pt idx="42">
                  <c:v>71.345230934775998</c:v>
                </c:pt>
                <c:pt idx="43">
                  <c:v>71.155161163211702</c:v>
                </c:pt>
                <c:pt idx="44">
                  <c:v>70.570878745095101</c:v>
                </c:pt>
                <c:pt idx="45">
                  <c:v>70.213168279226593</c:v>
                </c:pt>
                <c:pt idx="46">
                  <c:v>70.1102821856405</c:v>
                </c:pt>
                <c:pt idx="47">
                  <c:v>69.446839964987703</c:v>
                </c:pt>
                <c:pt idx="48">
                  <c:v>69.919438408478896</c:v>
                </c:pt>
                <c:pt idx="49">
                  <c:v>68.038125789152403</c:v>
                </c:pt>
                <c:pt idx="50">
                  <c:v>68.499442840415085</c:v>
                </c:pt>
                <c:pt idx="51">
                  <c:v>69.2760080080905</c:v>
                </c:pt>
                <c:pt idx="52">
                  <c:v>68.0584356584517</c:v>
                </c:pt>
                <c:pt idx="53">
                  <c:v>66.296330917765403</c:v>
                </c:pt>
                <c:pt idx="54">
                  <c:v>66.469865128501695</c:v>
                </c:pt>
                <c:pt idx="55">
                  <c:v>67.070432748117994</c:v>
                </c:pt>
                <c:pt idx="56">
                  <c:v>67.255576371691106</c:v>
                </c:pt>
                <c:pt idx="57">
                  <c:v>70.043699884384907</c:v>
                </c:pt>
                <c:pt idx="58">
                  <c:v>70.653893640115598</c:v>
                </c:pt>
                <c:pt idx="59">
                  <c:v>70.563514011756098</c:v>
                </c:pt>
                <c:pt idx="60">
                  <c:v>69.209779967849201</c:v>
                </c:pt>
                <c:pt idx="61">
                  <c:v>67.4806497540593</c:v>
                </c:pt>
                <c:pt idx="62">
                  <c:v>67.520051704949694</c:v>
                </c:pt>
                <c:pt idx="63">
                  <c:v>67.511779889149693</c:v>
                </c:pt>
                <c:pt idx="64">
                  <c:v>67.143056969675101</c:v>
                </c:pt>
              </c:numCache>
            </c:numRef>
          </c:val>
          <c:smooth val="0"/>
          <c:extLst>
            <c:ext xmlns:c16="http://schemas.microsoft.com/office/drawing/2014/chart" uri="{C3380CC4-5D6E-409C-BE32-E72D297353CC}">
              <c16:uniqueId val="{00000002-9417-48B7-BE43-990FB3721119}"/>
            </c:ext>
          </c:extLst>
        </c:ser>
        <c:dLbls>
          <c:showLegendKey val="0"/>
          <c:showVal val="0"/>
          <c:showCatName val="0"/>
          <c:showSerName val="0"/>
          <c:showPercent val="0"/>
          <c:showBubbleSize val="0"/>
        </c:dLbls>
        <c:marker val="1"/>
        <c:smooth val="0"/>
        <c:axId val="378312176"/>
        <c:axId val="378329456"/>
      </c:lineChart>
      <c:dateAx>
        <c:axId val="378314096"/>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78321776"/>
        <c:crosses val="autoZero"/>
        <c:auto val="1"/>
        <c:lblOffset val="100"/>
        <c:baseTimeUnit val="months"/>
      </c:dateAx>
      <c:valAx>
        <c:axId val="378321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млн грн</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78314096"/>
        <c:crosses val="autoZero"/>
        <c:crossBetween val="between"/>
      </c:valAx>
      <c:valAx>
        <c:axId val="378329456"/>
        <c:scaling>
          <c:orientation val="minMax"/>
        </c:scaling>
        <c:delete val="0"/>
        <c:axPos val="r"/>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78312176"/>
        <c:crosses val="max"/>
        <c:crossBetween val="between"/>
      </c:valAx>
      <c:dateAx>
        <c:axId val="378312176"/>
        <c:scaling>
          <c:orientation val="minMax"/>
        </c:scaling>
        <c:delete val="1"/>
        <c:axPos val="b"/>
        <c:numFmt formatCode="m/d/yyyy" sourceLinked="1"/>
        <c:majorTickMark val="out"/>
        <c:minorTickMark val="none"/>
        <c:tickLblPos val="nextTo"/>
        <c:crossAx val="378329456"/>
        <c:crosses val="autoZero"/>
        <c:auto val="1"/>
        <c:lblOffset val="100"/>
        <c:baseTimeUnit val="months"/>
        <c:majorUnit val="1"/>
        <c:minorUnit val="1"/>
      </c:dateAx>
      <c:spPr>
        <a:noFill/>
        <a:ln>
          <a:noFill/>
        </a:ln>
        <a:effectLst/>
      </c:spPr>
    </c:plotArea>
    <c:legend>
      <c:legendPos val="b"/>
      <c:layout>
        <c:manualLayout>
          <c:xMode val="edge"/>
          <c:yMode val="edge"/>
          <c:x val="1.7175529200367943E-2"/>
          <c:y val="0.85587443016991283"/>
          <c:w val="0.95556915379529783"/>
          <c:h val="0.1243887277248238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показатели!$A$18</c:f>
              <c:strCache>
                <c:ptCount val="1"/>
                <c:pt idx="0">
                  <c:v>Рентабельність активів</c:v>
                </c:pt>
              </c:strCache>
            </c:strRef>
          </c:tx>
          <c:spPr>
            <a:solidFill>
              <a:schemeClr val="dk1">
                <a:tint val="88500"/>
              </a:schemeClr>
            </a:solidFill>
            <a:ln>
              <a:noFill/>
            </a:ln>
            <a:effectLst/>
          </c:spPr>
          <c:invertIfNegative val="0"/>
          <c:cat>
            <c:numRef>
              <c:f>показатели!$B$17:$J$17</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показатели!$B$18:$J$18</c:f>
              <c:numCache>
                <c:formatCode>General</c:formatCode>
                <c:ptCount val="9"/>
                <c:pt idx="0">
                  <c:v>0.05</c:v>
                </c:pt>
                <c:pt idx="1">
                  <c:v>0.09</c:v>
                </c:pt>
                <c:pt idx="2">
                  <c:v>-85.89</c:v>
                </c:pt>
                <c:pt idx="3">
                  <c:v>0.16</c:v>
                </c:pt>
                <c:pt idx="4">
                  <c:v>0</c:v>
                </c:pt>
                <c:pt idx="5">
                  <c:v>5.91</c:v>
                </c:pt>
                <c:pt idx="6">
                  <c:v>4.29</c:v>
                </c:pt>
                <c:pt idx="7">
                  <c:v>6.01</c:v>
                </c:pt>
                <c:pt idx="8" formatCode="0.00">
                  <c:v>4.5745314080109623</c:v>
                </c:pt>
              </c:numCache>
            </c:numRef>
          </c:val>
          <c:extLst>
            <c:ext xmlns:c16="http://schemas.microsoft.com/office/drawing/2014/chart" uri="{C3380CC4-5D6E-409C-BE32-E72D297353CC}">
              <c16:uniqueId val="{00000000-BB88-472B-9B53-7A6B380E0AE0}"/>
            </c:ext>
          </c:extLst>
        </c:ser>
        <c:ser>
          <c:idx val="1"/>
          <c:order val="1"/>
          <c:tx>
            <c:strRef>
              <c:f>показатели!$A$19</c:f>
              <c:strCache>
                <c:ptCount val="1"/>
                <c:pt idx="0">
                  <c:v>Рентабельність капіталу</c:v>
                </c:pt>
              </c:strCache>
            </c:strRef>
          </c:tx>
          <c:spPr>
            <a:solidFill>
              <a:schemeClr val="dk1">
                <a:tint val="55000"/>
              </a:schemeClr>
            </a:solidFill>
            <a:ln>
              <a:noFill/>
            </a:ln>
            <a:effectLst/>
          </c:spPr>
          <c:invertIfNegative val="0"/>
          <c:cat>
            <c:numRef>
              <c:f>показатели!$B$17:$J$17</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показатели!$B$19:$J$19</c:f>
              <c:numCache>
                <c:formatCode>General</c:formatCode>
                <c:ptCount val="9"/>
                <c:pt idx="0">
                  <c:v>0.41</c:v>
                </c:pt>
                <c:pt idx="1">
                  <c:v>1.05</c:v>
                </c:pt>
                <c:pt idx="2">
                  <c:v>-776.52</c:v>
                </c:pt>
                <c:pt idx="3">
                  <c:v>1.67</c:v>
                </c:pt>
                <c:pt idx="4">
                  <c:v>56.39</c:v>
                </c:pt>
                <c:pt idx="5">
                  <c:v>59.8</c:v>
                </c:pt>
                <c:pt idx="6">
                  <c:v>46.01</c:v>
                </c:pt>
                <c:pt idx="7">
                  <c:v>52.62</c:v>
                </c:pt>
                <c:pt idx="8" formatCode="0.00">
                  <c:v>52.122308533715511</c:v>
                </c:pt>
              </c:numCache>
            </c:numRef>
          </c:val>
          <c:extLst>
            <c:ext xmlns:c16="http://schemas.microsoft.com/office/drawing/2014/chart" uri="{C3380CC4-5D6E-409C-BE32-E72D297353CC}">
              <c16:uniqueId val="{00000001-BB88-472B-9B53-7A6B380E0AE0}"/>
            </c:ext>
          </c:extLst>
        </c:ser>
        <c:dLbls>
          <c:showLegendKey val="0"/>
          <c:showVal val="0"/>
          <c:showCatName val="0"/>
          <c:showSerName val="0"/>
          <c:showPercent val="0"/>
          <c:showBubbleSize val="0"/>
        </c:dLbls>
        <c:gapWidth val="247"/>
        <c:axId val="563247264"/>
        <c:axId val="563228544"/>
      </c:barChart>
      <c:lineChart>
        <c:grouping val="standard"/>
        <c:varyColors val="0"/>
        <c:ser>
          <c:idx val="2"/>
          <c:order val="2"/>
          <c:tx>
            <c:strRef>
              <c:f>показатели!$A$20</c:f>
              <c:strCache>
                <c:ptCount val="1"/>
                <c:pt idx="0">
                  <c:v>Чиста процентна маржа</c:v>
                </c:pt>
              </c:strCache>
            </c:strRef>
          </c:tx>
          <c:spPr>
            <a:ln w="28575" cap="rnd">
              <a:solidFill>
                <a:schemeClr val="dk1">
                  <a:tint val="75000"/>
                </a:schemeClr>
              </a:solidFill>
              <a:round/>
            </a:ln>
            <a:effectLst/>
          </c:spPr>
          <c:marker>
            <c:symbol val="none"/>
          </c:marker>
          <c:cat>
            <c:numRef>
              <c:f>показатели!$B$17:$J$17</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показатели!$B$20:$J$20</c:f>
              <c:numCache>
                <c:formatCode>General</c:formatCode>
                <c:ptCount val="9"/>
                <c:pt idx="0">
                  <c:v>3.55</c:v>
                </c:pt>
                <c:pt idx="1">
                  <c:v>1.01</c:v>
                </c:pt>
                <c:pt idx="2">
                  <c:v>1.9</c:v>
                </c:pt>
                <c:pt idx="3">
                  <c:v>2.54</c:v>
                </c:pt>
                <c:pt idx="4">
                  <c:v>0</c:v>
                </c:pt>
                <c:pt idx="5">
                  <c:v>3.56</c:v>
                </c:pt>
                <c:pt idx="6">
                  <c:v>3.82</c:v>
                </c:pt>
                <c:pt idx="7">
                  <c:v>5.03</c:v>
                </c:pt>
                <c:pt idx="8" formatCode="0.00">
                  <c:v>5.4131629905281669</c:v>
                </c:pt>
              </c:numCache>
            </c:numRef>
          </c:val>
          <c:smooth val="0"/>
          <c:extLst>
            <c:ext xmlns:c16="http://schemas.microsoft.com/office/drawing/2014/chart" uri="{C3380CC4-5D6E-409C-BE32-E72D297353CC}">
              <c16:uniqueId val="{00000002-BB88-472B-9B53-7A6B380E0AE0}"/>
            </c:ext>
          </c:extLst>
        </c:ser>
        <c:dLbls>
          <c:showLegendKey val="0"/>
          <c:showVal val="0"/>
          <c:showCatName val="0"/>
          <c:showSerName val="0"/>
          <c:showPercent val="0"/>
          <c:showBubbleSize val="0"/>
        </c:dLbls>
        <c:marker val="1"/>
        <c:smooth val="0"/>
        <c:axId val="563242944"/>
        <c:axId val="563253024"/>
      </c:lineChart>
      <c:catAx>
        <c:axId val="563247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63228544"/>
        <c:crosses val="autoZero"/>
        <c:auto val="1"/>
        <c:lblAlgn val="ctr"/>
        <c:lblOffset val="100"/>
        <c:noMultiLvlLbl val="0"/>
      </c:catAx>
      <c:valAx>
        <c:axId val="563228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63247264"/>
        <c:crosses val="autoZero"/>
        <c:crossBetween val="between"/>
      </c:valAx>
      <c:valAx>
        <c:axId val="563253024"/>
        <c:scaling>
          <c:orientation val="minMax"/>
        </c:scaling>
        <c:delete val="0"/>
        <c:axPos val="r"/>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63242944"/>
        <c:crosses val="max"/>
        <c:crossBetween val="between"/>
      </c:valAx>
      <c:catAx>
        <c:axId val="563242944"/>
        <c:scaling>
          <c:orientation val="minMax"/>
        </c:scaling>
        <c:delete val="1"/>
        <c:axPos val="b"/>
        <c:numFmt formatCode="General" sourceLinked="1"/>
        <c:majorTickMark val="none"/>
        <c:minorTickMark val="none"/>
        <c:tickLblPos val="nextTo"/>
        <c:crossAx val="56325302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7.2865950649820696E-2"/>
          <c:y val="4.4073529002198936E-2"/>
          <c:w val="0.91072838001120093"/>
          <c:h val="0.34812902717048277"/>
        </c:manualLayout>
      </c:layout>
      <c:areaChart>
        <c:grouping val="stacked"/>
        <c:varyColors val="0"/>
        <c:ser>
          <c:idx val="0"/>
          <c:order val="0"/>
          <c:tx>
            <c:strRef>
              <c:f>'[приват 2023 капитал ресурси.xlsx]Лист1'!$A$3</c:f>
              <c:strCache>
                <c:ptCount val="1"/>
                <c:pt idx="0">
                  <c:v>Заборгованість перед НБУ</c:v>
                </c:pt>
              </c:strCache>
            </c:strRef>
          </c:tx>
          <c:spPr>
            <a:gradFill rotWithShape="1">
              <a:gsLst>
                <a:gs pos="0">
                  <a:schemeClr val="dk1">
                    <a:tint val="88500"/>
                    <a:tint val="50000"/>
                    <a:satMod val="300000"/>
                  </a:schemeClr>
                </a:gs>
                <a:gs pos="35000">
                  <a:schemeClr val="dk1">
                    <a:tint val="88500"/>
                    <a:tint val="37000"/>
                    <a:satMod val="300000"/>
                  </a:schemeClr>
                </a:gs>
                <a:gs pos="100000">
                  <a:schemeClr val="dk1">
                    <a:tint val="88500"/>
                    <a:tint val="15000"/>
                    <a:satMod val="350000"/>
                  </a:schemeClr>
                </a:gs>
              </a:gsLst>
              <a:lin ang="16200000" scaled="1"/>
            </a:gradFill>
            <a:ln w="9525" cap="flat" cmpd="sng" algn="ctr">
              <a:solidFill>
                <a:schemeClr val="dk1">
                  <a:tint val="88500"/>
                  <a:shade val="95000"/>
                </a:schemeClr>
              </a:solidFill>
              <a:round/>
            </a:ln>
            <a:effectLst>
              <a:outerShdw blurRad="40000" dist="20000" dir="5400000" rotWithShape="0">
                <a:srgbClr val="000000">
                  <a:alpha val="38000"/>
                </a:srgbClr>
              </a:outerShdw>
            </a:effectLst>
          </c:spPr>
          <c:cat>
            <c:multiLvlStrRef>
              <c:f>'[приват 2023 капитал ресурси.xlsx]Лист1'!$B$1:$AU$2</c:f>
              <c:multiLvlStrCache>
                <c:ptCount val="46"/>
                <c:lvl>
                  <c:pt idx="0">
                    <c:v>До запитання та до 1 місяця</c:v>
                  </c:pt>
                  <c:pt idx="1">
                    <c:v>1-3 місяц</c:v>
                  </c:pt>
                  <c:pt idx="2">
                    <c:v>3-12 місяців</c:v>
                  </c:pt>
                  <c:pt idx="3">
                    <c:v>12 місяців - 5 років</c:v>
                  </c:pt>
                  <c:pt idx="4">
                    <c:v>Понад 5 років</c:v>
                  </c:pt>
                  <c:pt idx="5">
                    <c:v>До запитання та до 1 місяця</c:v>
                  </c:pt>
                  <c:pt idx="6">
                    <c:v>1-3 місяці</c:v>
                  </c:pt>
                  <c:pt idx="7">
                    <c:v>3-12 місяців</c:v>
                  </c:pt>
                  <c:pt idx="8">
                    <c:v>12 місяців - 5 років</c:v>
                  </c:pt>
                  <c:pt idx="9">
                    <c:v>Понад 5 років</c:v>
                  </c:pt>
                  <c:pt idx="10">
                    <c:v>До запитання та до 1 місяця</c:v>
                  </c:pt>
                  <c:pt idx="11">
                    <c:v>1-3 місяці</c:v>
                  </c:pt>
                  <c:pt idx="12">
                    <c:v>3-12 місяців</c:v>
                  </c:pt>
                  <c:pt idx="13">
                    <c:v>12 місяців - 5 років</c:v>
                  </c:pt>
                  <c:pt idx="14">
                    <c:v>Понад 5 років</c:v>
                  </c:pt>
                  <c:pt idx="15">
                    <c:v>До запитання та до 1 місяця</c:v>
                  </c:pt>
                  <c:pt idx="16">
                    <c:v>1-3 місяці</c:v>
                  </c:pt>
                  <c:pt idx="17">
                    <c:v>3-12 місяців</c:v>
                  </c:pt>
                  <c:pt idx="18">
                    <c:v>12 місяців - 5 років</c:v>
                  </c:pt>
                  <c:pt idx="19">
                    <c:v>Понад 5 років</c:v>
                  </c:pt>
                  <c:pt idx="20">
                    <c:v>До запитання та до 1 місяця</c:v>
                  </c:pt>
                  <c:pt idx="21">
                    <c:v>1-3 місяці</c:v>
                  </c:pt>
                  <c:pt idx="22">
                    <c:v>3-12 місяців</c:v>
                  </c:pt>
                  <c:pt idx="23">
                    <c:v>12 місяців - 5 років</c:v>
                  </c:pt>
                  <c:pt idx="24">
                    <c:v>Понад 5 років</c:v>
                  </c:pt>
                  <c:pt idx="25">
                    <c:v>До запитання та до 1 місяця</c:v>
                  </c:pt>
                  <c:pt idx="26">
                    <c:v>1-3 місяці</c:v>
                  </c:pt>
                  <c:pt idx="27">
                    <c:v>3-12 місяців</c:v>
                  </c:pt>
                  <c:pt idx="28">
                    <c:v>12 місяців - 5 років</c:v>
                  </c:pt>
                  <c:pt idx="29">
                    <c:v>Понад 5 років</c:v>
                  </c:pt>
                  <c:pt idx="31">
                    <c:v>До запитання та до 1 місяця</c:v>
                  </c:pt>
                  <c:pt idx="32">
                    <c:v>1-3 місяці</c:v>
                  </c:pt>
                  <c:pt idx="33">
                    <c:v>3-12 місяців</c:v>
                  </c:pt>
                  <c:pt idx="34">
                    <c:v>12 місяців - 5 років</c:v>
                  </c:pt>
                  <c:pt idx="35">
                    <c:v>Понад 5 років</c:v>
                  </c:pt>
                  <c:pt idx="36">
                    <c:v>До запитання та до 1 місяця</c:v>
                  </c:pt>
                  <c:pt idx="37">
                    <c:v>1-3 місяці</c:v>
                  </c:pt>
                  <c:pt idx="38">
                    <c:v>3-12 місяців</c:v>
                  </c:pt>
                  <c:pt idx="39">
                    <c:v>12 місяців - 5 років</c:v>
                  </c:pt>
                  <c:pt idx="40">
                    <c:v>Понад 5 років</c:v>
                  </c:pt>
                  <c:pt idx="41">
                    <c:v>До запитання та до 1 місяця</c:v>
                  </c:pt>
                  <c:pt idx="42">
                    <c:v>1-3 місяці</c:v>
                  </c:pt>
                  <c:pt idx="43">
                    <c:v>3-12 місяців</c:v>
                  </c:pt>
                  <c:pt idx="44">
                    <c:v>12 місяців - 5 років</c:v>
                  </c:pt>
                  <c:pt idx="45">
                    <c:v>Понад 5 років</c:v>
                  </c:pt>
                </c:lvl>
                <c:lvl>
                  <c:pt idx="0">
                    <c:v>01.01.2015</c:v>
                  </c:pt>
                  <c:pt idx="5">
                    <c:v>01.01.2016</c:v>
                  </c:pt>
                  <c:pt idx="10">
                    <c:v>01.01.2017</c:v>
                  </c:pt>
                  <c:pt idx="15">
                    <c:v>01.01.2018</c:v>
                  </c:pt>
                  <c:pt idx="20">
                    <c:v>01.01.2019</c:v>
                  </c:pt>
                  <c:pt idx="25">
                    <c:v>01.01.2020</c:v>
                  </c:pt>
                  <c:pt idx="31">
                    <c:v>01.01.2021</c:v>
                  </c:pt>
                  <c:pt idx="36">
                    <c:v>01.01.2022</c:v>
                  </c:pt>
                  <c:pt idx="41">
                    <c:v>01.01.2023</c:v>
                  </c:pt>
                </c:lvl>
              </c:multiLvlStrCache>
            </c:multiLvlStrRef>
          </c:cat>
          <c:val>
            <c:numRef>
              <c:f>'[приват 2023 капитал ресурси.xlsx]Лист1'!$B$3:$AU$3</c:f>
              <c:numCache>
                <c:formatCode>#,##0</c:formatCode>
                <c:ptCount val="46"/>
                <c:pt idx="0" formatCode="General">
                  <c:v>313</c:v>
                </c:pt>
                <c:pt idx="1">
                  <c:v>10019</c:v>
                </c:pt>
                <c:pt idx="2">
                  <c:v>5143</c:v>
                </c:pt>
                <c:pt idx="3">
                  <c:v>5005</c:v>
                </c:pt>
                <c:pt idx="5">
                  <c:v>18622</c:v>
                </c:pt>
                <c:pt idx="6">
                  <c:v>2031</c:v>
                </c:pt>
                <c:pt idx="7">
                  <c:v>7369</c:v>
                </c:pt>
                <c:pt idx="8" formatCode="General">
                  <c:v>802</c:v>
                </c:pt>
                <c:pt idx="10">
                  <c:v>14589</c:v>
                </c:pt>
                <c:pt idx="11">
                  <c:v>1319</c:v>
                </c:pt>
                <c:pt idx="12">
                  <c:v>2689</c:v>
                </c:pt>
                <c:pt idx="15">
                  <c:v>12396</c:v>
                </c:pt>
                <c:pt idx="20">
                  <c:v>9817</c:v>
                </c:pt>
                <c:pt idx="25">
                  <c:v>7721</c:v>
                </c:pt>
                <c:pt idx="30">
                  <c:v>7721</c:v>
                </c:pt>
              </c:numCache>
            </c:numRef>
          </c:val>
          <c:extLst>
            <c:ext xmlns:c16="http://schemas.microsoft.com/office/drawing/2014/chart" uri="{C3380CC4-5D6E-409C-BE32-E72D297353CC}">
              <c16:uniqueId val="{00000000-BE3B-414F-8C27-4B609ED46279}"/>
            </c:ext>
          </c:extLst>
        </c:ser>
        <c:ser>
          <c:idx val="1"/>
          <c:order val="1"/>
          <c:tx>
            <c:strRef>
              <c:f>'[приват 2023 капитал ресурси.xlsx]Лист1'!$A$4</c:f>
              <c:strCache>
                <c:ptCount val="1"/>
                <c:pt idx="0">
                  <c:v>Заборгованість перед банками та іншими фінансовими організаціями</c:v>
                </c:pt>
              </c:strCache>
            </c:strRef>
          </c:tx>
          <c:spPr>
            <a:gradFill rotWithShape="1">
              <a:gsLst>
                <a:gs pos="0">
                  <a:schemeClr val="dk1">
                    <a:tint val="55000"/>
                    <a:tint val="50000"/>
                    <a:satMod val="300000"/>
                  </a:schemeClr>
                </a:gs>
                <a:gs pos="35000">
                  <a:schemeClr val="dk1">
                    <a:tint val="55000"/>
                    <a:tint val="37000"/>
                    <a:satMod val="300000"/>
                  </a:schemeClr>
                </a:gs>
                <a:gs pos="100000">
                  <a:schemeClr val="dk1">
                    <a:tint val="55000"/>
                    <a:tint val="15000"/>
                    <a:satMod val="350000"/>
                  </a:schemeClr>
                </a:gs>
              </a:gsLst>
              <a:lin ang="16200000" scaled="1"/>
            </a:gradFill>
            <a:ln w="9525" cap="flat" cmpd="sng" algn="ctr">
              <a:solidFill>
                <a:schemeClr val="dk1">
                  <a:tint val="55000"/>
                  <a:shade val="95000"/>
                </a:schemeClr>
              </a:solidFill>
              <a:round/>
            </a:ln>
            <a:effectLst>
              <a:outerShdw blurRad="40000" dist="20000" dir="5400000" rotWithShape="0">
                <a:srgbClr val="000000">
                  <a:alpha val="38000"/>
                </a:srgbClr>
              </a:outerShdw>
            </a:effectLst>
          </c:spPr>
          <c:cat>
            <c:multiLvlStrRef>
              <c:f>'[приват 2023 капитал ресурси.xlsx]Лист1'!$B$1:$AU$2</c:f>
              <c:multiLvlStrCache>
                <c:ptCount val="46"/>
                <c:lvl>
                  <c:pt idx="0">
                    <c:v>До запитання та до 1 місяця</c:v>
                  </c:pt>
                  <c:pt idx="1">
                    <c:v>1-3 місяц</c:v>
                  </c:pt>
                  <c:pt idx="2">
                    <c:v>3-12 місяців</c:v>
                  </c:pt>
                  <c:pt idx="3">
                    <c:v>12 місяців - 5 років</c:v>
                  </c:pt>
                  <c:pt idx="4">
                    <c:v>Понад 5 років</c:v>
                  </c:pt>
                  <c:pt idx="5">
                    <c:v>До запитання та до 1 місяця</c:v>
                  </c:pt>
                  <c:pt idx="6">
                    <c:v>1-3 місяці</c:v>
                  </c:pt>
                  <c:pt idx="7">
                    <c:v>3-12 місяців</c:v>
                  </c:pt>
                  <c:pt idx="8">
                    <c:v>12 місяців - 5 років</c:v>
                  </c:pt>
                  <c:pt idx="9">
                    <c:v>Понад 5 років</c:v>
                  </c:pt>
                  <c:pt idx="10">
                    <c:v>До запитання та до 1 місяця</c:v>
                  </c:pt>
                  <c:pt idx="11">
                    <c:v>1-3 місяці</c:v>
                  </c:pt>
                  <c:pt idx="12">
                    <c:v>3-12 місяців</c:v>
                  </c:pt>
                  <c:pt idx="13">
                    <c:v>12 місяців - 5 років</c:v>
                  </c:pt>
                  <c:pt idx="14">
                    <c:v>Понад 5 років</c:v>
                  </c:pt>
                  <c:pt idx="15">
                    <c:v>До запитання та до 1 місяця</c:v>
                  </c:pt>
                  <c:pt idx="16">
                    <c:v>1-3 місяці</c:v>
                  </c:pt>
                  <c:pt idx="17">
                    <c:v>3-12 місяців</c:v>
                  </c:pt>
                  <c:pt idx="18">
                    <c:v>12 місяців - 5 років</c:v>
                  </c:pt>
                  <c:pt idx="19">
                    <c:v>Понад 5 років</c:v>
                  </c:pt>
                  <c:pt idx="20">
                    <c:v>До запитання та до 1 місяця</c:v>
                  </c:pt>
                  <c:pt idx="21">
                    <c:v>1-3 місяці</c:v>
                  </c:pt>
                  <c:pt idx="22">
                    <c:v>3-12 місяців</c:v>
                  </c:pt>
                  <c:pt idx="23">
                    <c:v>12 місяців - 5 років</c:v>
                  </c:pt>
                  <c:pt idx="24">
                    <c:v>Понад 5 років</c:v>
                  </c:pt>
                  <c:pt idx="25">
                    <c:v>До запитання та до 1 місяця</c:v>
                  </c:pt>
                  <c:pt idx="26">
                    <c:v>1-3 місяці</c:v>
                  </c:pt>
                  <c:pt idx="27">
                    <c:v>3-12 місяців</c:v>
                  </c:pt>
                  <c:pt idx="28">
                    <c:v>12 місяців - 5 років</c:v>
                  </c:pt>
                  <c:pt idx="29">
                    <c:v>Понад 5 років</c:v>
                  </c:pt>
                  <c:pt idx="31">
                    <c:v>До запитання та до 1 місяця</c:v>
                  </c:pt>
                  <c:pt idx="32">
                    <c:v>1-3 місяці</c:v>
                  </c:pt>
                  <c:pt idx="33">
                    <c:v>3-12 місяців</c:v>
                  </c:pt>
                  <c:pt idx="34">
                    <c:v>12 місяців - 5 років</c:v>
                  </c:pt>
                  <c:pt idx="35">
                    <c:v>Понад 5 років</c:v>
                  </c:pt>
                  <c:pt idx="36">
                    <c:v>До запитання та до 1 місяця</c:v>
                  </c:pt>
                  <c:pt idx="37">
                    <c:v>1-3 місяці</c:v>
                  </c:pt>
                  <c:pt idx="38">
                    <c:v>3-12 місяців</c:v>
                  </c:pt>
                  <c:pt idx="39">
                    <c:v>12 місяців - 5 років</c:v>
                  </c:pt>
                  <c:pt idx="40">
                    <c:v>Понад 5 років</c:v>
                  </c:pt>
                  <c:pt idx="41">
                    <c:v>До запитання та до 1 місяця</c:v>
                  </c:pt>
                  <c:pt idx="42">
                    <c:v>1-3 місяці</c:v>
                  </c:pt>
                  <c:pt idx="43">
                    <c:v>3-12 місяців</c:v>
                  </c:pt>
                  <c:pt idx="44">
                    <c:v>12 місяців - 5 років</c:v>
                  </c:pt>
                  <c:pt idx="45">
                    <c:v>Понад 5 років</c:v>
                  </c:pt>
                </c:lvl>
                <c:lvl>
                  <c:pt idx="0">
                    <c:v>01.01.2015</c:v>
                  </c:pt>
                  <c:pt idx="5">
                    <c:v>01.01.2016</c:v>
                  </c:pt>
                  <c:pt idx="10">
                    <c:v>01.01.2017</c:v>
                  </c:pt>
                  <c:pt idx="15">
                    <c:v>01.01.2018</c:v>
                  </c:pt>
                  <c:pt idx="20">
                    <c:v>01.01.2019</c:v>
                  </c:pt>
                  <c:pt idx="25">
                    <c:v>01.01.2020</c:v>
                  </c:pt>
                  <c:pt idx="31">
                    <c:v>01.01.2021</c:v>
                  </c:pt>
                  <c:pt idx="36">
                    <c:v>01.01.2022</c:v>
                  </c:pt>
                  <c:pt idx="41">
                    <c:v>01.01.2023</c:v>
                  </c:pt>
                </c:lvl>
              </c:multiLvlStrCache>
            </c:multiLvlStrRef>
          </c:cat>
          <c:val>
            <c:numRef>
              <c:f>'[приват 2023 капитал ресурси.xlsx]Лист1'!$B$4:$AU$4</c:f>
              <c:numCache>
                <c:formatCode>General</c:formatCode>
                <c:ptCount val="46"/>
                <c:pt idx="0" formatCode="#,##0">
                  <c:v>1931</c:v>
                </c:pt>
                <c:pt idx="1">
                  <c:v>29</c:v>
                </c:pt>
                <c:pt idx="2">
                  <c:v>736</c:v>
                </c:pt>
                <c:pt idx="3">
                  <c:v>866</c:v>
                </c:pt>
                <c:pt idx="4">
                  <c:v>2</c:v>
                </c:pt>
                <c:pt idx="5" formatCode="#,##0">
                  <c:v>1321</c:v>
                </c:pt>
                <c:pt idx="6">
                  <c:v>139</c:v>
                </c:pt>
                <c:pt idx="7" formatCode="#,##0">
                  <c:v>1278</c:v>
                </c:pt>
                <c:pt idx="8" formatCode="#,##0">
                  <c:v>1157</c:v>
                </c:pt>
                <c:pt idx="9" formatCode="#,##0">
                  <c:v>1736</c:v>
                </c:pt>
                <c:pt idx="10">
                  <c:v>137</c:v>
                </c:pt>
                <c:pt idx="11">
                  <c:v>90</c:v>
                </c:pt>
                <c:pt idx="12" formatCode="#,##0">
                  <c:v>2375</c:v>
                </c:pt>
                <c:pt idx="13" formatCode="#,##0">
                  <c:v>2375</c:v>
                </c:pt>
                <c:pt idx="15">
                  <c:v>184</c:v>
                </c:pt>
                <c:pt idx="17">
                  <c:v>16</c:v>
                </c:pt>
                <c:pt idx="18">
                  <c:v>38</c:v>
                </c:pt>
                <c:pt idx="20">
                  <c:v>162</c:v>
                </c:pt>
                <c:pt idx="21">
                  <c:v>11</c:v>
                </c:pt>
                <c:pt idx="22">
                  <c:v>23</c:v>
                </c:pt>
                <c:pt idx="24">
                  <c:v>1</c:v>
                </c:pt>
                <c:pt idx="25">
                  <c:v>201</c:v>
                </c:pt>
                <c:pt idx="30" formatCode="#,##0">
                  <c:v>201</c:v>
                </c:pt>
                <c:pt idx="31">
                  <c:v>2</c:v>
                </c:pt>
                <c:pt idx="36">
                  <c:v>3</c:v>
                </c:pt>
                <c:pt idx="41">
                  <c:v>1</c:v>
                </c:pt>
                <c:pt idx="42">
                  <c:v>1</c:v>
                </c:pt>
                <c:pt idx="43">
                  <c:v>3</c:v>
                </c:pt>
                <c:pt idx="44">
                  <c:v>16</c:v>
                </c:pt>
                <c:pt idx="45">
                  <c:v>189</c:v>
                </c:pt>
              </c:numCache>
            </c:numRef>
          </c:val>
          <c:extLst>
            <c:ext xmlns:c16="http://schemas.microsoft.com/office/drawing/2014/chart" uri="{C3380CC4-5D6E-409C-BE32-E72D297353CC}">
              <c16:uniqueId val="{00000001-BE3B-414F-8C27-4B609ED46279}"/>
            </c:ext>
          </c:extLst>
        </c:ser>
        <c:ser>
          <c:idx val="2"/>
          <c:order val="2"/>
          <c:tx>
            <c:strRef>
              <c:f>'[приват 2023 капитал ресурси.xlsx]Лист1'!$A$5</c:f>
              <c:strCache>
                <c:ptCount val="1"/>
                <c:pt idx="0">
                  <c:v>Кошти клієнтів</c:v>
                </c:pt>
              </c:strCache>
            </c:strRef>
          </c:tx>
          <c:spPr>
            <a:pattFill prst="wdDnDiag">
              <a:fgClr>
                <a:schemeClr val="tx1"/>
              </a:fgClr>
              <a:bgClr>
                <a:schemeClr val="bg1"/>
              </a:bgClr>
            </a:pattFill>
            <a:ln w="22225" cap="flat" cmpd="sng" algn="ctr">
              <a:solidFill>
                <a:schemeClr val="tx1"/>
              </a:solidFill>
              <a:round/>
            </a:ln>
            <a:effectLst>
              <a:outerShdw blurRad="40000" dist="20000" dir="5400000" rotWithShape="0">
                <a:srgbClr val="000000">
                  <a:alpha val="38000"/>
                </a:srgbClr>
              </a:outerShdw>
            </a:effectLst>
          </c:spPr>
          <c:cat>
            <c:multiLvlStrRef>
              <c:f>'[приват 2023 капитал ресурси.xlsx]Лист1'!$B$1:$AU$2</c:f>
              <c:multiLvlStrCache>
                <c:ptCount val="46"/>
                <c:lvl>
                  <c:pt idx="0">
                    <c:v>До запитання та до 1 місяця</c:v>
                  </c:pt>
                  <c:pt idx="1">
                    <c:v>1-3 місяц</c:v>
                  </c:pt>
                  <c:pt idx="2">
                    <c:v>3-12 місяців</c:v>
                  </c:pt>
                  <c:pt idx="3">
                    <c:v>12 місяців - 5 років</c:v>
                  </c:pt>
                  <c:pt idx="4">
                    <c:v>Понад 5 років</c:v>
                  </c:pt>
                  <c:pt idx="5">
                    <c:v>До запитання та до 1 місяця</c:v>
                  </c:pt>
                  <c:pt idx="6">
                    <c:v>1-3 місяці</c:v>
                  </c:pt>
                  <c:pt idx="7">
                    <c:v>3-12 місяців</c:v>
                  </c:pt>
                  <c:pt idx="8">
                    <c:v>12 місяців - 5 років</c:v>
                  </c:pt>
                  <c:pt idx="9">
                    <c:v>Понад 5 років</c:v>
                  </c:pt>
                  <c:pt idx="10">
                    <c:v>До запитання та до 1 місяця</c:v>
                  </c:pt>
                  <c:pt idx="11">
                    <c:v>1-3 місяці</c:v>
                  </c:pt>
                  <c:pt idx="12">
                    <c:v>3-12 місяців</c:v>
                  </c:pt>
                  <c:pt idx="13">
                    <c:v>12 місяців - 5 років</c:v>
                  </c:pt>
                  <c:pt idx="14">
                    <c:v>Понад 5 років</c:v>
                  </c:pt>
                  <c:pt idx="15">
                    <c:v>До запитання та до 1 місяця</c:v>
                  </c:pt>
                  <c:pt idx="16">
                    <c:v>1-3 місяці</c:v>
                  </c:pt>
                  <c:pt idx="17">
                    <c:v>3-12 місяців</c:v>
                  </c:pt>
                  <c:pt idx="18">
                    <c:v>12 місяців - 5 років</c:v>
                  </c:pt>
                  <c:pt idx="19">
                    <c:v>Понад 5 років</c:v>
                  </c:pt>
                  <c:pt idx="20">
                    <c:v>До запитання та до 1 місяця</c:v>
                  </c:pt>
                  <c:pt idx="21">
                    <c:v>1-3 місяці</c:v>
                  </c:pt>
                  <c:pt idx="22">
                    <c:v>3-12 місяців</c:v>
                  </c:pt>
                  <c:pt idx="23">
                    <c:v>12 місяців - 5 років</c:v>
                  </c:pt>
                  <c:pt idx="24">
                    <c:v>Понад 5 років</c:v>
                  </c:pt>
                  <c:pt idx="25">
                    <c:v>До запитання та до 1 місяця</c:v>
                  </c:pt>
                  <c:pt idx="26">
                    <c:v>1-3 місяці</c:v>
                  </c:pt>
                  <c:pt idx="27">
                    <c:v>3-12 місяців</c:v>
                  </c:pt>
                  <c:pt idx="28">
                    <c:v>12 місяців - 5 років</c:v>
                  </c:pt>
                  <c:pt idx="29">
                    <c:v>Понад 5 років</c:v>
                  </c:pt>
                  <c:pt idx="31">
                    <c:v>До запитання та до 1 місяця</c:v>
                  </c:pt>
                  <c:pt idx="32">
                    <c:v>1-3 місяці</c:v>
                  </c:pt>
                  <c:pt idx="33">
                    <c:v>3-12 місяців</c:v>
                  </c:pt>
                  <c:pt idx="34">
                    <c:v>12 місяців - 5 років</c:v>
                  </c:pt>
                  <c:pt idx="35">
                    <c:v>Понад 5 років</c:v>
                  </c:pt>
                  <c:pt idx="36">
                    <c:v>До запитання та до 1 місяця</c:v>
                  </c:pt>
                  <c:pt idx="37">
                    <c:v>1-3 місяці</c:v>
                  </c:pt>
                  <c:pt idx="38">
                    <c:v>3-12 місяців</c:v>
                  </c:pt>
                  <c:pt idx="39">
                    <c:v>12 місяців - 5 років</c:v>
                  </c:pt>
                  <c:pt idx="40">
                    <c:v>Понад 5 років</c:v>
                  </c:pt>
                  <c:pt idx="41">
                    <c:v>До запитання та до 1 місяця</c:v>
                  </c:pt>
                  <c:pt idx="42">
                    <c:v>1-3 місяці</c:v>
                  </c:pt>
                  <c:pt idx="43">
                    <c:v>3-12 місяців</c:v>
                  </c:pt>
                  <c:pt idx="44">
                    <c:v>12 місяців - 5 років</c:v>
                  </c:pt>
                  <c:pt idx="45">
                    <c:v>Понад 5 років</c:v>
                  </c:pt>
                </c:lvl>
                <c:lvl>
                  <c:pt idx="0">
                    <c:v>01.01.2015</c:v>
                  </c:pt>
                  <c:pt idx="5">
                    <c:v>01.01.2016</c:v>
                  </c:pt>
                  <c:pt idx="10">
                    <c:v>01.01.2017</c:v>
                  </c:pt>
                  <c:pt idx="15">
                    <c:v>01.01.2018</c:v>
                  </c:pt>
                  <c:pt idx="20">
                    <c:v>01.01.2019</c:v>
                  </c:pt>
                  <c:pt idx="25">
                    <c:v>01.01.2020</c:v>
                  </c:pt>
                  <c:pt idx="31">
                    <c:v>01.01.2021</c:v>
                  </c:pt>
                  <c:pt idx="36">
                    <c:v>01.01.2022</c:v>
                  </c:pt>
                  <c:pt idx="41">
                    <c:v>01.01.2023</c:v>
                  </c:pt>
                </c:lvl>
              </c:multiLvlStrCache>
            </c:multiLvlStrRef>
          </c:cat>
          <c:val>
            <c:numRef>
              <c:f>'[приват 2023 капитал ресурси.xlsx]Лист1'!$B$5:$AU$5</c:f>
              <c:numCache>
                <c:formatCode>#,##0</c:formatCode>
                <c:ptCount val="46"/>
                <c:pt idx="0">
                  <c:v>56585</c:v>
                </c:pt>
                <c:pt idx="1">
                  <c:v>20804</c:v>
                </c:pt>
                <c:pt idx="2">
                  <c:v>62463</c:v>
                </c:pt>
                <c:pt idx="3">
                  <c:v>9436</c:v>
                </c:pt>
                <c:pt idx="4" formatCode="General">
                  <c:v>120</c:v>
                </c:pt>
                <c:pt idx="5">
                  <c:v>77706</c:v>
                </c:pt>
                <c:pt idx="6">
                  <c:v>34547</c:v>
                </c:pt>
                <c:pt idx="7">
                  <c:v>64147</c:v>
                </c:pt>
                <c:pt idx="8">
                  <c:v>10499</c:v>
                </c:pt>
                <c:pt idx="9" formatCode="General">
                  <c:v>2</c:v>
                </c:pt>
                <c:pt idx="10">
                  <c:v>78124</c:v>
                </c:pt>
                <c:pt idx="11">
                  <c:v>32775</c:v>
                </c:pt>
                <c:pt idx="12">
                  <c:v>72869</c:v>
                </c:pt>
                <c:pt idx="13">
                  <c:v>3049</c:v>
                </c:pt>
                <c:pt idx="14" formatCode="General">
                  <c:v>64</c:v>
                </c:pt>
                <c:pt idx="15">
                  <c:v>113323</c:v>
                </c:pt>
                <c:pt idx="16">
                  <c:v>37448</c:v>
                </c:pt>
                <c:pt idx="17">
                  <c:v>61682</c:v>
                </c:pt>
                <c:pt idx="18">
                  <c:v>3504</c:v>
                </c:pt>
                <c:pt idx="19" formatCode="General">
                  <c:v>1</c:v>
                </c:pt>
                <c:pt idx="20">
                  <c:v>141973</c:v>
                </c:pt>
                <c:pt idx="21">
                  <c:v>36693</c:v>
                </c:pt>
                <c:pt idx="22">
                  <c:v>54064</c:v>
                </c:pt>
                <c:pt idx="23">
                  <c:v>1152</c:v>
                </c:pt>
                <c:pt idx="24" formatCode="General">
                  <c:v>1</c:v>
                </c:pt>
                <c:pt idx="25">
                  <c:v>160836</c:v>
                </c:pt>
                <c:pt idx="26">
                  <c:v>35810</c:v>
                </c:pt>
                <c:pt idx="27">
                  <c:v>46069</c:v>
                </c:pt>
                <c:pt idx="28" formatCode="General">
                  <c:v>892</c:v>
                </c:pt>
                <c:pt idx="29" formatCode="General">
                  <c:v>1</c:v>
                </c:pt>
                <c:pt idx="30">
                  <c:v>243608</c:v>
                </c:pt>
                <c:pt idx="31">
                  <c:v>226885</c:v>
                </c:pt>
                <c:pt idx="32">
                  <c:v>33807</c:v>
                </c:pt>
                <c:pt idx="33">
                  <c:v>53858</c:v>
                </c:pt>
                <c:pt idx="34" formatCode="General">
                  <c:v>334</c:v>
                </c:pt>
                <c:pt idx="36">
                  <c:v>252609</c:v>
                </c:pt>
                <c:pt idx="37">
                  <c:v>28407</c:v>
                </c:pt>
                <c:pt idx="38">
                  <c:v>45605</c:v>
                </c:pt>
                <c:pt idx="39" formatCode="General">
                  <c:v>203</c:v>
                </c:pt>
                <c:pt idx="41">
                  <c:v>400157</c:v>
                </c:pt>
                <c:pt idx="42">
                  <c:v>30425</c:v>
                </c:pt>
                <c:pt idx="43">
                  <c:v>41301</c:v>
                </c:pt>
                <c:pt idx="44">
                  <c:v>1420</c:v>
                </c:pt>
              </c:numCache>
            </c:numRef>
          </c:val>
          <c:extLst>
            <c:ext xmlns:c16="http://schemas.microsoft.com/office/drawing/2014/chart" uri="{C3380CC4-5D6E-409C-BE32-E72D297353CC}">
              <c16:uniqueId val="{00000002-BE3B-414F-8C27-4B609ED46279}"/>
            </c:ext>
          </c:extLst>
        </c:ser>
        <c:ser>
          <c:idx val="3"/>
          <c:order val="3"/>
          <c:tx>
            <c:strRef>
              <c:f>'[приват 2023 капитал ресурси.xlsx]Лист1'!$A$6</c:f>
              <c:strCache>
                <c:ptCount val="1"/>
                <c:pt idx="0">
                  <c:v>Випущені боргові цінні папери</c:v>
                </c:pt>
              </c:strCache>
            </c:strRef>
          </c:tx>
          <c:spPr>
            <a:gradFill rotWithShape="1">
              <a:gsLst>
                <a:gs pos="0">
                  <a:schemeClr val="dk1">
                    <a:tint val="98500"/>
                    <a:tint val="50000"/>
                    <a:satMod val="300000"/>
                  </a:schemeClr>
                </a:gs>
                <a:gs pos="35000">
                  <a:schemeClr val="dk1">
                    <a:tint val="98500"/>
                    <a:tint val="37000"/>
                    <a:satMod val="300000"/>
                  </a:schemeClr>
                </a:gs>
                <a:gs pos="100000">
                  <a:schemeClr val="dk1">
                    <a:tint val="98500"/>
                    <a:tint val="15000"/>
                    <a:satMod val="350000"/>
                  </a:schemeClr>
                </a:gs>
              </a:gsLst>
              <a:lin ang="16200000" scaled="1"/>
            </a:gradFill>
            <a:ln w="9525" cap="flat" cmpd="sng" algn="ctr">
              <a:solidFill>
                <a:schemeClr val="dk1">
                  <a:tint val="98500"/>
                  <a:shade val="95000"/>
                </a:schemeClr>
              </a:solidFill>
              <a:round/>
            </a:ln>
            <a:effectLst>
              <a:outerShdw blurRad="40000" dist="20000" dir="5400000" rotWithShape="0">
                <a:srgbClr val="000000">
                  <a:alpha val="38000"/>
                </a:srgbClr>
              </a:outerShdw>
            </a:effectLst>
          </c:spPr>
          <c:cat>
            <c:multiLvlStrRef>
              <c:f>'[приват 2023 капитал ресурси.xlsx]Лист1'!$B$1:$AU$2</c:f>
              <c:multiLvlStrCache>
                <c:ptCount val="46"/>
                <c:lvl>
                  <c:pt idx="0">
                    <c:v>До запитання та до 1 місяця</c:v>
                  </c:pt>
                  <c:pt idx="1">
                    <c:v>1-3 місяц</c:v>
                  </c:pt>
                  <c:pt idx="2">
                    <c:v>3-12 місяців</c:v>
                  </c:pt>
                  <c:pt idx="3">
                    <c:v>12 місяців - 5 років</c:v>
                  </c:pt>
                  <c:pt idx="4">
                    <c:v>Понад 5 років</c:v>
                  </c:pt>
                  <c:pt idx="5">
                    <c:v>До запитання та до 1 місяця</c:v>
                  </c:pt>
                  <c:pt idx="6">
                    <c:v>1-3 місяці</c:v>
                  </c:pt>
                  <c:pt idx="7">
                    <c:v>3-12 місяців</c:v>
                  </c:pt>
                  <c:pt idx="8">
                    <c:v>12 місяців - 5 років</c:v>
                  </c:pt>
                  <c:pt idx="9">
                    <c:v>Понад 5 років</c:v>
                  </c:pt>
                  <c:pt idx="10">
                    <c:v>До запитання та до 1 місяця</c:v>
                  </c:pt>
                  <c:pt idx="11">
                    <c:v>1-3 місяці</c:v>
                  </c:pt>
                  <c:pt idx="12">
                    <c:v>3-12 місяців</c:v>
                  </c:pt>
                  <c:pt idx="13">
                    <c:v>12 місяців - 5 років</c:v>
                  </c:pt>
                  <c:pt idx="14">
                    <c:v>Понад 5 років</c:v>
                  </c:pt>
                  <c:pt idx="15">
                    <c:v>До запитання та до 1 місяця</c:v>
                  </c:pt>
                  <c:pt idx="16">
                    <c:v>1-3 місяці</c:v>
                  </c:pt>
                  <c:pt idx="17">
                    <c:v>3-12 місяців</c:v>
                  </c:pt>
                  <c:pt idx="18">
                    <c:v>12 місяців - 5 років</c:v>
                  </c:pt>
                  <c:pt idx="19">
                    <c:v>Понад 5 років</c:v>
                  </c:pt>
                  <c:pt idx="20">
                    <c:v>До запитання та до 1 місяця</c:v>
                  </c:pt>
                  <c:pt idx="21">
                    <c:v>1-3 місяці</c:v>
                  </c:pt>
                  <c:pt idx="22">
                    <c:v>3-12 місяців</c:v>
                  </c:pt>
                  <c:pt idx="23">
                    <c:v>12 місяців - 5 років</c:v>
                  </c:pt>
                  <c:pt idx="24">
                    <c:v>Понад 5 років</c:v>
                  </c:pt>
                  <c:pt idx="25">
                    <c:v>До запитання та до 1 місяця</c:v>
                  </c:pt>
                  <c:pt idx="26">
                    <c:v>1-3 місяці</c:v>
                  </c:pt>
                  <c:pt idx="27">
                    <c:v>3-12 місяців</c:v>
                  </c:pt>
                  <c:pt idx="28">
                    <c:v>12 місяців - 5 років</c:v>
                  </c:pt>
                  <c:pt idx="29">
                    <c:v>Понад 5 років</c:v>
                  </c:pt>
                  <c:pt idx="31">
                    <c:v>До запитання та до 1 місяця</c:v>
                  </c:pt>
                  <c:pt idx="32">
                    <c:v>1-3 місяці</c:v>
                  </c:pt>
                  <c:pt idx="33">
                    <c:v>3-12 місяців</c:v>
                  </c:pt>
                  <c:pt idx="34">
                    <c:v>12 місяців - 5 років</c:v>
                  </c:pt>
                  <c:pt idx="35">
                    <c:v>Понад 5 років</c:v>
                  </c:pt>
                  <c:pt idx="36">
                    <c:v>До запитання та до 1 місяця</c:v>
                  </c:pt>
                  <c:pt idx="37">
                    <c:v>1-3 місяці</c:v>
                  </c:pt>
                  <c:pt idx="38">
                    <c:v>3-12 місяців</c:v>
                  </c:pt>
                  <c:pt idx="39">
                    <c:v>12 місяців - 5 років</c:v>
                  </c:pt>
                  <c:pt idx="40">
                    <c:v>Понад 5 років</c:v>
                  </c:pt>
                  <c:pt idx="41">
                    <c:v>До запитання та до 1 місяця</c:v>
                  </c:pt>
                  <c:pt idx="42">
                    <c:v>1-3 місяці</c:v>
                  </c:pt>
                  <c:pt idx="43">
                    <c:v>3-12 місяців</c:v>
                  </c:pt>
                  <c:pt idx="44">
                    <c:v>12 місяців - 5 років</c:v>
                  </c:pt>
                  <c:pt idx="45">
                    <c:v>Понад 5 років</c:v>
                  </c:pt>
                </c:lvl>
                <c:lvl>
                  <c:pt idx="0">
                    <c:v>01.01.2015</c:v>
                  </c:pt>
                  <c:pt idx="5">
                    <c:v>01.01.2016</c:v>
                  </c:pt>
                  <c:pt idx="10">
                    <c:v>01.01.2017</c:v>
                  </c:pt>
                  <c:pt idx="15">
                    <c:v>01.01.2018</c:v>
                  </c:pt>
                  <c:pt idx="20">
                    <c:v>01.01.2019</c:v>
                  </c:pt>
                  <c:pt idx="25">
                    <c:v>01.01.2020</c:v>
                  </c:pt>
                  <c:pt idx="31">
                    <c:v>01.01.2021</c:v>
                  </c:pt>
                  <c:pt idx="36">
                    <c:v>01.01.2022</c:v>
                  </c:pt>
                  <c:pt idx="41">
                    <c:v>01.01.2023</c:v>
                  </c:pt>
                </c:lvl>
              </c:multiLvlStrCache>
            </c:multiLvlStrRef>
          </c:cat>
          <c:val>
            <c:numRef>
              <c:f>'[приват 2023 капитал ресурси.xlsx]Лист1'!$B$6:$AU$6</c:f>
            </c:numRef>
          </c:val>
          <c:extLst>
            <c:ext xmlns:c16="http://schemas.microsoft.com/office/drawing/2014/chart" uri="{C3380CC4-5D6E-409C-BE32-E72D297353CC}">
              <c16:uniqueId val="{00000003-BE3B-414F-8C27-4B609ED46279}"/>
            </c:ext>
          </c:extLst>
        </c:ser>
        <c:ser>
          <c:idx val="4"/>
          <c:order val="4"/>
          <c:tx>
            <c:strRef>
              <c:f>'[приват 2023 капитал ресурси.xlsx]Лист1'!$A$7</c:f>
              <c:strCache>
                <c:ptCount val="1"/>
                <c:pt idx="0">
                  <c:v>Інші фінансові зобов’язання</c:v>
                </c:pt>
              </c:strCache>
            </c:strRef>
          </c:tx>
          <c:spPr>
            <a:gradFill rotWithShape="1">
              <a:gsLst>
                <a:gs pos="0">
                  <a:schemeClr val="dk1">
                    <a:tint val="30000"/>
                    <a:tint val="50000"/>
                    <a:satMod val="300000"/>
                  </a:schemeClr>
                </a:gs>
                <a:gs pos="35000">
                  <a:schemeClr val="dk1">
                    <a:tint val="30000"/>
                    <a:tint val="37000"/>
                    <a:satMod val="300000"/>
                  </a:schemeClr>
                </a:gs>
                <a:gs pos="100000">
                  <a:schemeClr val="dk1">
                    <a:tint val="30000"/>
                    <a:tint val="15000"/>
                    <a:satMod val="350000"/>
                  </a:schemeClr>
                </a:gs>
              </a:gsLst>
              <a:lin ang="16200000" scaled="1"/>
            </a:gradFill>
            <a:ln w="9525" cap="flat" cmpd="sng" algn="ctr">
              <a:solidFill>
                <a:schemeClr val="dk1">
                  <a:tint val="30000"/>
                  <a:shade val="95000"/>
                </a:schemeClr>
              </a:solidFill>
              <a:round/>
            </a:ln>
            <a:effectLst>
              <a:outerShdw blurRad="40000" dist="20000" dir="5400000" rotWithShape="0">
                <a:srgbClr val="000000">
                  <a:alpha val="38000"/>
                </a:srgbClr>
              </a:outerShdw>
            </a:effectLst>
          </c:spPr>
          <c:cat>
            <c:multiLvlStrRef>
              <c:f>'[приват 2023 капитал ресурси.xlsx]Лист1'!$B$1:$AU$2</c:f>
              <c:multiLvlStrCache>
                <c:ptCount val="46"/>
                <c:lvl>
                  <c:pt idx="0">
                    <c:v>До запитання та до 1 місяця</c:v>
                  </c:pt>
                  <c:pt idx="1">
                    <c:v>1-3 місяц</c:v>
                  </c:pt>
                  <c:pt idx="2">
                    <c:v>3-12 місяців</c:v>
                  </c:pt>
                  <c:pt idx="3">
                    <c:v>12 місяців - 5 років</c:v>
                  </c:pt>
                  <c:pt idx="4">
                    <c:v>Понад 5 років</c:v>
                  </c:pt>
                  <c:pt idx="5">
                    <c:v>До запитання та до 1 місяця</c:v>
                  </c:pt>
                  <c:pt idx="6">
                    <c:v>1-3 місяці</c:v>
                  </c:pt>
                  <c:pt idx="7">
                    <c:v>3-12 місяців</c:v>
                  </c:pt>
                  <c:pt idx="8">
                    <c:v>12 місяців - 5 років</c:v>
                  </c:pt>
                  <c:pt idx="9">
                    <c:v>Понад 5 років</c:v>
                  </c:pt>
                  <c:pt idx="10">
                    <c:v>До запитання та до 1 місяця</c:v>
                  </c:pt>
                  <c:pt idx="11">
                    <c:v>1-3 місяці</c:v>
                  </c:pt>
                  <c:pt idx="12">
                    <c:v>3-12 місяців</c:v>
                  </c:pt>
                  <c:pt idx="13">
                    <c:v>12 місяців - 5 років</c:v>
                  </c:pt>
                  <c:pt idx="14">
                    <c:v>Понад 5 років</c:v>
                  </c:pt>
                  <c:pt idx="15">
                    <c:v>До запитання та до 1 місяця</c:v>
                  </c:pt>
                  <c:pt idx="16">
                    <c:v>1-3 місяці</c:v>
                  </c:pt>
                  <c:pt idx="17">
                    <c:v>3-12 місяців</c:v>
                  </c:pt>
                  <c:pt idx="18">
                    <c:v>12 місяців - 5 років</c:v>
                  </c:pt>
                  <c:pt idx="19">
                    <c:v>Понад 5 років</c:v>
                  </c:pt>
                  <c:pt idx="20">
                    <c:v>До запитання та до 1 місяця</c:v>
                  </c:pt>
                  <c:pt idx="21">
                    <c:v>1-3 місяці</c:v>
                  </c:pt>
                  <c:pt idx="22">
                    <c:v>3-12 місяців</c:v>
                  </c:pt>
                  <c:pt idx="23">
                    <c:v>12 місяців - 5 років</c:v>
                  </c:pt>
                  <c:pt idx="24">
                    <c:v>Понад 5 років</c:v>
                  </c:pt>
                  <c:pt idx="25">
                    <c:v>До запитання та до 1 місяця</c:v>
                  </c:pt>
                  <c:pt idx="26">
                    <c:v>1-3 місяці</c:v>
                  </c:pt>
                  <c:pt idx="27">
                    <c:v>3-12 місяців</c:v>
                  </c:pt>
                  <c:pt idx="28">
                    <c:v>12 місяців - 5 років</c:v>
                  </c:pt>
                  <c:pt idx="29">
                    <c:v>Понад 5 років</c:v>
                  </c:pt>
                  <c:pt idx="31">
                    <c:v>До запитання та до 1 місяця</c:v>
                  </c:pt>
                  <c:pt idx="32">
                    <c:v>1-3 місяці</c:v>
                  </c:pt>
                  <c:pt idx="33">
                    <c:v>3-12 місяців</c:v>
                  </c:pt>
                  <c:pt idx="34">
                    <c:v>12 місяців - 5 років</c:v>
                  </c:pt>
                  <c:pt idx="35">
                    <c:v>Понад 5 років</c:v>
                  </c:pt>
                  <c:pt idx="36">
                    <c:v>До запитання та до 1 місяця</c:v>
                  </c:pt>
                  <c:pt idx="37">
                    <c:v>1-3 місяці</c:v>
                  </c:pt>
                  <c:pt idx="38">
                    <c:v>3-12 місяців</c:v>
                  </c:pt>
                  <c:pt idx="39">
                    <c:v>12 місяців - 5 років</c:v>
                  </c:pt>
                  <c:pt idx="40">
                    <c:v>Понад 5 років</c:v>
                  </c:pt>
                  <c:pt idx="41">
                    <c:v>До запитання та до 1 місяця</c:v>
                  </c:pt>
                  <c:pt idx="42">
                    <c:v>1-3 місяці</c:v>
                  </c:pt>
                  <c:pt idx="43">
                    <c:v>3-12 місяців</c:v>
                  </c:pt>
                  <c:pt idx="44">
                    <c:v>12 місяців - 5 років</c:v>
                  </c:pt>
                  <c:pt idx="45">
                    <c:v>Понад 5 років</c:v>
                  </c:pt>
                </c:lvl>
                <c:lvl>
                  <c:pt idx="0">
                    <c:v>01.01.2015</c:v>
                  </c:pt>
                  <c:pt idx="5">
                    <c:v>01.01.2016</c:v>
                  </c:pt>
                  <c:pt idx="10">
                    <c:v>01.01.2017</c:v>
                  </c:pt>
                  <c:pt idx="15">
                    <c:v>01.01.2018</c:v>
                  </c:pt>
                  <c:pt idx="20">
                    <c:v>01.01.2019</c:v>
                  </c:pt>
                  <c:pt idx="25">
                    <c:v>01.01.2020</c:v>
                  </c:pt>
                  <c:pt idx="31">
                    <c:v>01.01.2021</c:v>
                  </c:pt>
                  <c:pt idx="36">
                    <c:v>01.01.2022</c:v>
                  </c:pt>
                  <c:pt idx="41">
                    <c:v>01.01.2023</c:v>
                  </c:pt>
                </c:lvl>
              </c:multiLvlStrCache>
            </c:multiLvlStrRef>
          </c:cat>
          <c:val>
            <c:numRef>
              <c:f>'[приват 2023 капитал ресурси.xlsx]Лист1'!$B$7:$AU$7</c:f>
              <c:numCache>
                <c:formatCode>General</c:formatCode>
                <c:ptCount val="46"/>
                <c:pt idx="0">
                  <c:v>31100</c:v>
                </c:pt>
                <c:pt idx="1">
                  <c:v>141</c:v>
                </c:pt>
                <c:pt idx="2">
                  <c:v>243</c:v>
                </c:pt>
                <c:pt idx="3">
                  <c:v>5817</c:v>
                </c:pt>
                <c:pt idx="5">
                  <c:v>9022</c:v>
                </c:pt>
                <c:pt idx="6">
                  <c:v>18</c:v>
                </c:pt>
                <c:pt idx="7">
                  <c:v>3</c:v>
                </c:pt>
                <c:pt idx="10" formatCode="#,##0">
                  <c:v>1167</c:v>
                </c:pt>
                <c:pt idx="11">
                  <c:v>562</c:v>
                </c:pt>
                <c:pt idx="12">
                  <c:v>203</c:v>
                </c:pt>
                <c:pt idx="15" formatCode="#,##0">
                  <c:v>1684</c:v>
                </c:pt>
                <c:pt idx="16">
                  <c:v>2</c:v>
                </c:pt>
                <c:pt idx="17">
                  <c:v>2</c:v>
                </c:pt>
                <c:pt idx="20" formatCode="#,##0">
                  <c:v>2243</c:v>
                </c:pt>
                <c:pt idx="21">
                  <c:v>2</c:v>
                </c:pt>
                <c:pt idx="22">
                  <c:v>2</c:v>
                </c:pt>
                <c:pt idx="25">
                  <c:v>1581</c:v>
                </c:pt>
                <c:pt idx="26">
                  <c:v>111</c:v>
                </c:pt>
                <c:pt idx="27">
                  <c:v>494</c:v>
                </c:pt>
                <c:pt idx="28">
                  <c:v>1521</c:v>
                </c:pt>
                <c:pt idx="29">
                  <c:v>131</c:v>
                </c:pt>
                <c:pt idx="30" formatCode="#,##0">
                  <c:v>3838</c:v>
                </c:pt>
                <c:pt idx="31">
                  <c:v>2264</c:v>
                </c:pt>
                <c:pt idx="32">
                  <c:v>124</c:v>
                </c:pt>
                <c:pt idx="33">
                  <c:v>522</c:v>
                </c:pt>
                <c:pt idx="34">
                  <c:v>1529</c:v>
                </c:pt>
                <c:pt idx="35">
                  <c:v>19</c:v>
                </c:pt>
                <c:pt idx="36" formatCode="#,##0">
                  <c:v>2237</c:v>
                </c:pt>
                <c:pt idx="37">
                  <c:v>129</c:v>
                </c:pt>
                <c:pt idx="38">
                  <c:v>569</c:v>
                </c:pt>
                <c:pt idx="39">
                  <c:v>1288</c:v>
                </c:pt>
                <c:pt idx="40">
                  <c:v>15</c:v>
                </c:pt>
              </c:numCache>
            </c:numRef>
          </c:val>
          <c:extLst>
            <c:ext xmlns:c16="http://schemas.microsoft.com/office/drawing/2014/chart" uri="{C3380CC4-5D6E-409C-BE32-E72D297353CC}">
              <c16:uniqueId val="{00000004-BE3B-414F-8C27-4B609ED46279}"/>
            </c:ext>
          </c:extLst>
        </c:ser>
        <c:ser>
          <c:idx val="5"/>
          <c:order val="5"/>
          <c:tx>
            <c:strRef>
              <c:f>'[приват 2023 капитал ресурси.xlsx]Лист1'!$A$8</c:f>
              <c:strCache>
                <c:ptCount val="1"/>
              </c:strCache>
            </c:strRef>
          </c:tx>
          <c:spPr>
            <a:gradFill rotWithShape="1">
              <a:gsLst>
                <a:gs pos="0">
                  <a:schemeClr val="dk1">
                    <a:tint val="60000"/>
                    <a:tint val="50000"/>
                    <a:satMod val="300000"/>
                  </a:schemeClr>
                </a:gs>
                <a:gs pos="35000">
                  <a:schemeClr val="dk1">
                    <a:tint val="60000"/>
                    <a:tint val="37000"/>
                    <a:satMod val="300000"/>
                  </a:schemeClr>
                </a:gs>
                <a:gs pos="100000">
                  <a:schemeClr val="dk1">
                    <a:tint val="60000"/>
                    <a:tint val="15000"/>
                    <a:satMod val="350000"/>
                  </a:schemeClr>
                </a:gs>
              </a:gsLst>
              <a:lin ang="16200000" scaled="1"/>
            </a:gradFill>
            <a:ln w="9525" cap="flat" cmpd="sng" algn="ctr">
              <a:solidFill>
                <a:schemeClr val="dk1">
                  <a:tint val="60000"/>
                  <a:shade val="95000"/>
                </a:schemeClr>
              </a:solidFill>
              <a:round/>
            </a:ln>
            <a:effectLst>
              <a:outerShdw blurRad="40000" dist="20000" dir="5400000" rotWithShape="0">
                <a:srgbClr val="000000">
                  <a:alpha val="38000"/>
                </a:srgbClr>
              </a:outerShdw>
            </a:effectLst>
          </c:spPr>
          <c:cat>
            <c:multiLvlStrRef>
              <c:f>'[приват 2023 капитал ресурси.xlsx]Лист1'!$B$1:$AU$2</c:f>
              <c:multiLvlStrCache>
                <c:ptCount val="46"/>
                <c:lvl>
                  <c:pt idx="0">
                    <c:v>До запитання та до 1 місяця</c:v>
                  </c:pt>
                  <c:pt idx="1">
                    <c:v>1-3 місяц</c:v>
                  </c:pt>
                  <c:pt idx="2">
                    <c:v>3-12 місяців</c:v>
                  </c:pt>
                  <c:pt idx="3">
                    <c:v>12 місяців - 5 років</c:v>
                  </c:pt>
                  <c:pt idx="4">
                    <c:v>Понад 5 років</c:v>
                  </c:pt>
                  <c:pt idx="5">
                    <c:v>До запитання та до 1 місяця</c:v>
                  </c:pt>
                  <c:pt idx="6">
                    <c:v>1-3 місяці</c:v>
                  </c:pt>
                  <c:pt idx="7">
                    <c:v>3-12 місяців</c:v>
                  </c:pt>
                  <c:pt idx="8">
                    <c:v>12 місяців - 5 років</c:v>
                  </c:pt>
                  <c:pt idx="9">
                    <c:v>Понад 5 років</c:v>
                  </c:pt>
                  <c:pt idx="10">
                    <c:v>До запитання та до 1 місяця</c:v>
                  </c:pt>
                  <c:pt idx="11">
                    <c:v>1-3 місяці</c:v>
                  </c:pt>
                  <c:pt idx="12">
                    <c:v>3-12 місяців</c:v>
                  </c:pt>
                  <c:pt idx="13">
                    <c:v>12 місяців - 5 років</c:v>
                  </c:pt>
                  <c:pt idx="14">
                    <c:v>Понад 5 років</c:v>
                  </c:pt>
                  <c:pt idx="15">
                    <c:v>До запитання та до 1 місяця</c:v>
                  </c:pt>
                  <c:pt idx="16">
                    <c:v>1-3 місяці</c:v>
                  </c:pt>
                  <c:pt idx="17">
                    <c:v>3-12 місяців</c:v>
                  </c:pt>
                  <c:pt idx="18">
                    <c:v>12 місяців - 5 років</c:v>
                  </c:pt>
                  <c:pt idx="19">
                    <c:v>Понад 5 років</c:v>
                  </c:pt>
                  <c:pt idx="20">
                    <c:v>До запитання та до 1 місяця</c:v>
                  </c:pt>
                  <c:pt idx="21">
                    <c:v>1-3 місяці</c:v>
                  </c:pt>
                  <c:pt idx="22">
                    <c:v>3-12 місяців</c:v>
                  </c:pt>
                  <c:pt idx="23">
                    <c:v>12 місяців - 5 років</c:v>
                  </c:pt>
                  <c:pt idx="24">
                    <c:v>Понад 5 років</c:v>
                  </c:pt>
                  <c:pt idx="25">
                    <c:v>До запитання та до 1 місяця</c:v>
                  </c:pt>
                  <c:pt idx="26">
                    <c:v>1-3 місяці</c:v>
                  </c:pt>
                  <c:pt idx="27">
                    <c:v>3-12 місяців</c:v>
                  </c:pt>
                  <c:pt idx="28">
                    <c:v>12 місяців - 5 років</c:v>
                  </c:pt>
                  <c:pt idx="29">
                    <c:v>Понад 5 років</c:v>
                  </c:pt>
                  <c:pt idx="31">
                    <c:v>До запитання та до 1 місяця</c:v>
                  </c:pt>
                  <c:pt idx="32">
                    <c:v>1-3 місяці</c:v>
                  </c:pt>
                  <c:pt idx="33">
                    <c:v>3-12 місяців</c:v>
                  </c:pt>
                  <c:pt idx="34">
                    <c:v>12 місяців - 5 років</c:v>
                  </c:pt>
                  <c:pt idx="35">
                    <c:v>Понад 5 років</c:v>
                  </c:pt>
                  <c:pt idx="36">
                    <c:v>До запитання та до 1 місяця</c:v>
                  </c:pt>
                  <c:pt idx="37">
                    <c:v>1-3 місяці</c:v>
                  </c:pt>
                  <c:pt idx="38">
                    <c:v>3-12 місяців</c:v>
                  </c:pt>
                  <c:pt idx="39">
                    <c:v>12 місяців - 5 років</c:v>
                  </c:pt>
                  <c:pt idx="40">
                    <c:v>Понад 5 років</c:v>
                  </c:pt>
                  <c:pt idx="41">
                    <c:v>До запитання та до 1 місяця</c:v>
                  </c:pt>
                  <c:pt idx="42">
                    <c:v>1-3 місяці</c:v>
                  </c:pt>
                  <c:pt idx="43">
                    <c:v>3-12 місяців</c:v>
                  </c:pt>
                  <c:pt idx="44">
                    <c:v>12 місяців - 5 років</c:v>
                  </c:pt>
                  <c:pt idx="45">
                    <c:v>Понад 5 років</c:v>
                  </c:pt>
                </c:lvl>
                <c:lvl>
                  <c:pt idx="0">
                    <c:v>01.01.2015</c:v>
                  </c:pt>
                  <c:pt idx="5">
                    <c:v>01.01.2016</c:v>
                  </c:pt>
                  <c:pt idx="10">
                    <c:v>01.01.2017</c:v>
                  </c:pt>
                  <c:pt idx="15">
                    <c:v>01.01.2018</c:v>
                  </c:pt>
                  <c:pt idx="20">
                    <c:v>01.01.2019</c:v>
                  </c:pt>
                  <c:pt idx="25">
                    <c:v>01.01.2020</c:v>
                  </c:pt>
                  <c:pt idx="31">
                    <c:v>01.01.2021</c:v>
                  </c:pt>
                  <c:pt idx="36">
                    <c:v>01.01.2022</c:v>
                  </c:pt>
                  <c:pt idx="41">
                    <c:v>01.01.2023</c:v>
                  </c:pt>
                </c:lvl>
              </c:multiLvlStrCache>
            </c:multiLvlStrRef>
          </c:cat>
          <c:val>
            <c:numRef>
              <c:f>'[приват 2023 капитал ресурси.xlsx]Лист1'!$B$8:$AU$8</c:f>
              <c:numCache>
                <c:formatCode>General</c:formatCode>
                <c:ptCount val="46"/>
                <c:pt idx="0">
                  <c:v>89939</c:v>
                </c:pt>
                <c:pt idx="1">
                  <c:v>33302</c:v>
                </c:pt>
                <c:pt idx="2">
                  <c:v>72038</c:v>
                </c:pt>
                <c:pt idx="3">
                  <c:v>24637</c:v>
                </c:pt>
                <c:pt idx="4">
                  <c:v>122</c:v>
                </c:pt>
                <c:pt idx="5">
                  <c:v>106671</c:v>
                </c:pt>
                <c:pt idx="6">
                  <c:v>37204</c:v>
                </c:pt>
                <c:pt idx="7">
                  <c:v>74214</c:v>
                </c:pt>
                <c:pt idx="8">
                  <c:v>21877</c:v>
                </c:pt>
                <c:pt idx="9">
                  <c:v>1738</c:v>
                </c:pt>
                <c:pt idx="10">
                  <c:v>94019</c:v>
                </c:pt>
                <c:pt idx="11">
                  <c:v>34748</c:v>
                </c:pt>
                <c:pt idx="12">
                  <c:v>78144</c:v>
                </c:pt>
                <c:pt idx="13">
                  <c:v>5556</c:v>
                </c:pt>
                <c:pt idx="14">
                  <c:v>64</c:v>
                </c:pt>
                <c:pt idx="15">
                  <c:v>127589</c:v>
                </c:pt>
                <c:pt idx="16">
                  <c:v>37452</c:v>
                </c:pt>
                <c:pt idx="17">
                  <c:v>61835</c:v>
                </c:pt>
                <c:pt idx="18">
                  <c:v>3542</c:v>
                </c:pt>
                <c:pt idx="19">
                  <c:v>1</c:v>
                </c:pt>
                <c:pt idx="20">
                  <c:v>154195</c:v>
                </c:pt>
                <c:pt idx="21">
                  <c:v>36706</c:v>
                </c:pt>
                <c:pt idx="22">
                  <c:v>54089</c:v>
                </c:pt>
                <c:pt idx="23">
                  <c:v>1154</c:v>
                </c:pt>
                <c:pt idx="24">
                  <c:v>2</c:v>
                </c:pt>
                <c:pt idx="25" formatCode="#,##0">
                  <c:v>170339</c:v>
                </c:pt>
                <c:pt idx="26" formatCode="#,##0">
                  <c:v>35921</c:v>
                </c:pt>
                <c:pt idx="27" formatCode="#,##0">
                  <c:v>46563</c:v>
                </c:pt>
                <c:pt idx="28" formatCode="#,##0">
                  <c:v>2413</c:v>
                </c:pt>
                <c:pt idx="29" formatCode="#,##0">
                  <c:v>132</c:v>
                </c:pt>
                <c:pt idx="30" formatCode="#,##0">
                  <c:v>255368</c:v>
                </c:pt>
                <c:pt idx="36">
                  <c:v>254849</c:v>
                </c:pt>
                <c:pt idx="37">
                  <c:v>28536</c:v>
                </c:pt>
                <c:pt idx="38">
                  <c:v>46174</c:v>
                </c:pt>
                <c:pt idx="39">
                  <c:v>1491</c:v>
                </c:pt>
                <c:pt idx="40">
                  <c:v>15</c:v>
                </c:pt>
                <c:pt idx="41" formatCode="#,##0">
                  <c:v>1260</c:v>
                </c:pt>
                <c:pt idx="42">
                  <c:v>104</c:v>
                </c:pt>
                <c:pt idx="43">
                  <c:v>469</c:v>
                </c:pt>
                <c:pt idx="44" formatCode="#,##0">
                  <c:v>1021</c:v>
                </c:pt>
                <c:pt idx="45">
                  <c:v>36</c:v>
                </c:pt>
              </c:numCache>
            </c:numRef>
          </c:val>
          <c:extLst>
            <c:ext xmlns:c16="http://schemas.microsoft.com/office/drawing/2014/chart" uri="{C3380CC4-5D6E-409C-BE32-E72D297353CC}">
              <c16:uniqueId val="{00000005-BE3B-414F-8C27-4B609ED46279}"/>
            </c:ext>
          </c:extLst>
        </c:ser>
        <c:dLbls>
          <c:showLegendKey val="0"/>
          <c:showVal val="0"/>
          <c:showCatName val="0"/>
          <c:showSerName val="0"/>
          <c:showPercent val="0"/>
          <c:showBubbleSize val="0"/>
        </c:dLbls>
        <c:axId val="1764804096"/>
        <c:axId val="1883026496"/>
      </c:areaChart>
      <c:catAx>
        <c:axId val="176480409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83026496"/>
        <c:crosses val="autoZero"/>
        <c:auto val="1"/>
        <c:lblAlgn val="ctr"/>
        <c:lblOffset val="100"/>
        <c:noMultiLvlLbl val="0"/>
      </c:catAx>
      <c:valAx>
        <c:axId val="18830264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64804096"/>
        <c:crosses val="autoZero"/>
        <c:crossBetween val="midCat"/>
      </c:valAx>
      <c:spPr>
        <a:noFill/>
        <a:ln>
          <a:noFill/>
        </a:ln>
        <a:effectLst/>
      </c:spPr>
    </c:plotArea>
    <c:legend>
      <c:legendPos val="b"/>
      <c:legendEntry>
        <c:idx val="4"/>
        <c:delete val="1"/>
      </c:legendEntry>
      <c:layout>
        <c:manualLayout>
          <c:xMode val="edge"/>
          <c:yMode val="edge"/>
          <c:x val="2.3533949698682579E-2"/>
          <c:y val="0.81633554272256204"/>
          <c:w val="0.95897987804442497"/>
          <c:h val="0.16740870003007954"/>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Лист3!$H$18</c:f>
              <c:strCache>
                <c:ptCount val="1"/>
                <c:pt idx="0">
                  <c:v>Загальна сума активів</c:v>
                </c:pt>
              </c:strCache>
            </c:strRef>
          </c:tx>
          <c:spPr>
            <a:solidFill>
              <a:schemeClr val="dk1">
                <a:tint val="88500"/>
              </a:schemeClr>
            </a:solidFill>
            <a:ln>
              <a:noFill/>
            </a:ln>
            <a:effectLst/>
          </c:spPr>
          <c:invertIfNegative val="0"/>
          <c:cat>
            <c:strRef>
              <c:f>Лист3!$I$16:$Q$17</c:f>
              <c:strCache>
                <c:ptCount val="7"/>
                <c:pt idx="0">
                  <c:v>До 1 місяця</c:v>
                </c:pt>
                <c:pt idx="1">
                  <c:v>1-3 місяці</c:v>
                </c:pt>
                <c:pt idx="2">
                  <c:v>3-6 місяців</c:v>
                </c:pt>
                <c:pt idx="3">
                  <c:v>6-9 місяців</c:v>
                </c:pt>
                <c:pt idx="4">
                  <c:v>9-12 місяців</c:v>
                </c:pt>
                <c:pt idx="5">
                  <c:v>1- 5 років</c:v>
                </c:pt>
                <c:pt idx="6">
                  <c:v>Понад 5 років</c:v>
                </c:pt>
              </c:strCache>
            </c:strRef>
          </c:cat>
          <c:val>
            <c:numRef>
              <c:f>Лист3!$I$18:$Q$18</c:f>
              <c:numCache>
                <c:formatCode>General</c:formatCode>
                <c:ptCount val="7"/>
                <c:pt idx="0">
                  <c:v>210948</c:v>
                </c:pt>
                <c:pt idx="1">
                  <c:v>27486</c:v>
                </c:pt>
                <c:pt idx="2">
                  <c:v>75208</c:v>
                </c:pt>
                <c:pt idx="3" formatCode="#,##0">
                  <c:v>14217</c:v>
                </c:pt>
                <c:pt idx="4">
                  <c:v>11029</c:v>
                </c:pt>
                <c:pt idx="5">
                  <c:v>35388</c:v>
                </c:pt>
                <c:pt idx="6">
                  <c:v>140898</c:v>
                </c:pt>
              </c:numCache>
            </c:numRef>
          </c:val>
          <c:extLst>
            <c:ext xmlns:c16="http://schemas.microsoft.com/office/drawing/2014/chart" uri="{C3380CC4-5D6E-409C-BE32-E72D297353CC}">
              <c16:uniqueId val="{00000000-1399-4F51-8BD4-0440C6B5D30B}"/>
            </c:ext>
          </c:extLst>
        </c:ser>
        <c:ser>
          <c:idx val="1"/>
          <c:order val="1"/>
          <c:tx>
            <c:strRef>
              <c:f>Лист3!$H$19</c:f>
              <c:strCache>
                <c:ptCount val="1"/>
                <c:pt idx="0">
                  <c:v>Загальна сума зобов’язань</c:v>
                </c:pt>
              </c:strCache>
            </c:strRef>
          </c:tx>
          <c:spPr>
            <a:solidFill>
              <a:schemeClr val="dk1">
                <a:tint val="55000"/>
              </a:schemeClr>
            </a:solidFill>
            <a:ln>
              <a:noFill/>
            </a:ln>
            <a:effectLst/>
          </c:spPr>
          <c:invertIfNegative val="0"/>
          <c:cat>
            <c:strRef>
              <c:f>Лист3!$I$16:$Q$17</c:f>
              <c:strCache>
                <c:ptCount val="7"/>
                <c:pt idx="0">
                  <c:v>До 1 місяця</c:v>
                </c:pt>
                <c:pt idx="1">
                  <c:v>1-3 місяці</c:v>
                </c:pt>
                <c:pt idx="2">
                  <c:v>3-6 місяців</c:v>
                </c:pt>
                <c:pt idx="3">
                  <c:v>6-9 місяців</c:v>
                </c:pt>
                <c:pt idx="4">
                  <c:v>9-12 місяців</c:v>
                </c:pt>
                <c:pt idx="5">
                  <c:v>1- 5 років</c:v>
                </c:pt>
                <c:pt idx="6">
                  <c:v>Понад 5 років</c:v>
                </c:pt>
              </c:strCache>
            </c:strRef>
          </c:cat>
          <c:val>
            <c:numRef>
              <c:f>Лист3!$I$19:$Q$19</c:f>
              <c:numCache>
                <c:formatCode>General</c:formatCode>
                <c:ptCount val="7"/>
                <c:pt idx="0">
                  <c:v>119046</c:v>
                </c:pt>
                <c:pt idx="1">
                  <c:v>55489</c:v>
                </c:pt>
                <c:pt idx="2">
                  <c:v>40106</c:v>
                </c:pt>
                <c:pt idx="3">
                  <c:v>14377</c:v>
                </c:pt>
                <c:pt idx="4">
                  <c:v>14377</c:v>
                </c:pt>
                <c:pt idx="5">
                  <c:v>37626</c:v>
                </c:pt>
                <c:pt idx="6">
                  <c:v>189993</c:v>
                </c:pt>
              </c:numCache>
            </c:numRef>
          </c:val>
          <c:extLst>
            <c:ext xmlns:c16="http://schemas.microsoft.com/office/drawing/2014/chart" uri="{C3380CC4-5D6E-409C-BE32-E72D297353CC}">
              <c16:uniqueId val="{00000001-1399-4F51-8BD4-0440C6B5D30B}"/>
            </c:ext>
          </c:extLst>
        </c:ser>
        <c:dLbls>
          <c:showLegendKey val="0"/>
          <c:showVal val="0"/>
          <c:showCatName val="0"/>
          <c:showSerName val="0"/>
          <c:showPercent val="0"/>
          <c:showBubbleSize val="0"/>
        </c:dLbls>
        <c:gapWidth val="219"/>
        <c:axId val="691829136"/>
        <c:axId val="691822416"/>
      </c:barChart>
      <c:lineChart>
        <c:grouping val="standard"/>
        <c:varyColors val="0"/>
        <c:ser>
          <c:idx val="2"/>
          <c:order val="2"/>
          <c:tx>
            <c:strRef>
              <c:f>Лист3!$H$20</c:f>
              <c:strCache>
                <c:ptCount val="1"/>
                <c:pt idx="0">
                  <c:v>GAP періодичний</c:v>
                </c:pt>
              </c:strCache>
            </c:strRef>
          </c:tx>
          <c:spPr>
            <a:ln w="28575" cap="rnd">
              <a:solidFill>
                <a:schemeClr val="dk1">
                  <a:tint val="75000"/>
                </a:schemeClr>
              </a:solidFill>
              <a:round/>
            </a:ln>
            <a:effectLst/>
          </c:spPr>
          <c:marker>
            <c:symbol val="none"/>
          </c:marker>
          <c:cat>
            <c:strRef>
              <c:f>Лист3!$I$16:$Q$17</c:f>
              <c:strCache>
                <c:ptCount val="7"/>
                <c:pt idx="0">
                  <c:v>До 1 місяця</c:v>
                </c:pt>
                <c:pt idx="1">
                  <c:v>1-3 місяці</c:v>
                </c:pt>
                <c:pt idx="2">
                  <c:v>3-6 місяців</c:v>
                </c:pt>
                <c:pt idx="3">
                  <c:v>6-9 місяців</c:v>
                </c:pt>
                <c:pt idx="4">
                  <c:v>9-12 місяців</c:v>
                </c:pt>
                <c:pt idx="5">
                  <c:v>1- 5 років</c:v>
                </c:pt>
                <c:pt idx="6">
                  <c:v>Понад 5 років</c:v>
                </c:pt>
              </c:strCache>
            </c:strRef>
          </c:cat>
          <c:val>
            <c:numRef>
              <c:f>Лист3!$I$20:$Q$20</c:f>
              <c:numCache>
                <c:formatCode>General</c:formatCode>
                <c:ptCount val="7"/>
                <c:pt idx="0">
                  <c:v>91902</c:v>
                </c:pt>
                <c:pt idx="1">
                  <c:v>-28003</c:v>
                </c:pt>
                <c:pt idx="2">
                  <c:v>35102</c:v>
                </c:pt>
                <c:pt idx="3">
                  <c:v>-160</c:v>
                </c:pt>
                <c:pt idx="4">
                  <c:v>-3348</c:v>
                </c:pt>
                <c:pt idx="5">
                  <c:v>-2238</c:v>
                </c:pt>
                <c:pt idx="6">
                  <c:v>-49095</c:v>
                </c:pt>
              </c:numCache>
            </c:numRef>
          </c:val>
          <c:smooth val="0"/>
          <c:extLst>
            <c:ext xmlns:c16="http://schemas.microsoft.com/office/drawing/2014/chart" uri="{C3380CC4-5D6E-409C-BE32-E72D297353CC}">
              <c16:uniqueId val="{00000002-1399-4F51-8BD4-0440C6B5D30B}"/>
            </c:ext>
          </c:extLst>
        </c:ser>
        <c:ser>
          <c:idx val="3"/>
          <c:order val="3"/>
          <c:tx>
            <c:strRef>
              <c:f>Лист3!$H$21</c:f>
              <c:strCache>
                <c:ptCount val="1"/>
                <c:pt idx="0">
                  <c:v>GAP кумулятивний</c:v>
                </c:pt>
              </c:strCache>
            </c:strRef>
          </c:tx>
          <c:spPr>
            <a:ln w="28575" cap="rnd">
              <a:solidFill>
                <a:schemeClr val="dk1">
                  <a:tint val="98500"/>
                </a:schemeClr>
              </a:solidFill>
              <a:round/>
            </a:ln>
            <a:effectLst/>
          </c:spPr>
          <c:marker>
            <c:symbol val="none"/>
          </c:marker>
          <c:cat>
            <c:strRef>
              <c:f>Лист3!$I$16:$Q$17</c:f>
              <c:strCache>
                <c:ptCount val="7"/>
                <c:pt idx="0">
                  <c:v>До 1 місяця</c:v>
                </c:pt>
                <c:pt idx="1">
                  <c:v>1-3 місяці</c:v>
                </c:pt>
                <c:pt idx="2">
                  <c:v>3-6 місяців</c:v>
                </c:pt>
                <c:pt idx="3">
                  <c:v>6-9 місяців</c:v>
                </c:pt>
                <c:pt idx="4">
                  <c:v>9-12 місяців</c:v>
                </c:pt>
                <c:pt idx="5">
                  <c:v>1- 5 років</c:v>
                </c:pt>
                <c:pt idx="6">
                  <c:v>Понад 5 років</c:v>
                </c:pt>
              </c:strCache>
            </c:strRef>
          </c:cat>
          <c:val>
            <c:numRef>
              <c:f>Лист3!$I$21:$Q$21</c:f>
              <c:numCache>
                <c:formatCode>General</c:formatCode>
                <c:ptCount val="7"/>
                <c:pt idx="0">
                  <c:v>91902</c:v>
                </c:pt>
                <c:pt idx="1">
                  <c:v>63899</c:v>
                </c:pt>
                <c:pt idx="2">
                  <c:v>99001</c:v>
                </c:pt>
                <c:pt idx="3">
                  <c:v>98841</c:v>
                </c:pt>
                <c:pt idx="4">
                  <c:v>95340</c:v>
                </c:pt>
                <c:pt idx="5">
                  <c:v>93102</c:v>
                </c:pt>
                <c:pt idx="6">
                  <c:v>44007</c:v>
                </c:pt>
              </c:numCache>
            </c:numRef>
          </c:val>
          <c:smooth val="0"/>
          <c:extLst>
            <c:ext xmlns:c16="http://schemas.microsoft.com/office/drawing/2014/chart" uri="{C3380CC4-5D6E-409C-BE32-E72D297353CC}">
              <c16:uniqueId val="{00000003-1399-4F51-8BD4-0440C6B5D30B}"/>
            </c:ext>
          </c:extLst>
        </c:ser>
        <c:dLbls>
          <c:showLegendKey val="0"/>
          <c:showVal val="0"/>
          <c:showCatName val="0"/>
          <c:showSerName val="0"/>
          <c:showPercent val="0"/>
          <c:showBubbleSize val="0"/>
        </c:dLbls>
        <c:marker val="1"/>
        <c:smooth val="0"/>
        <c:axId val="691816176"/>
        <c:axId val="691831536"/>
      </c:lineChart>
      <c:catAx>
        <c:axId val="691816176"/>
        <c:scaling>
          <c:orientation val="minMax"/>
        </c:scaling>
        <c:delete val="0"/>
        <c:axPos val="b"/>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691831536"/>
        <c:crosses val="autoZero"/>
        <c:auto val="1"/>
        <c:lblAlgn val="ctr"/>
        <c:lblOffset val="100"/>
        <c:noMultiLvlLbl val="0"/>
      </c:catAx>
      <c:valAx>
        <c:axId val="691831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691816176"/>
        <c:crosses val="autoZero"/>
        <c:crossBetween val="between"/>
      </c:valAx>
      <c:valAx>
        <c:axId val="691822416"/>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691829136"/>
        <c:crosses val="max"/>
        <c:crossBetween val="between"/>
      </c:valAx>
      <c:catAx>
        <c:axId val="691829136"/>
        <c:scaling>
          <c:orientation val="minMax"/>
        </c:scaling>
        <c:delete val="1"/>
        <c:axPos val="b"/>
        <c:numFmt formatCode="General" sourceLinked="1"/>
        <c:majorTickMark val="out"/>
        <c:minorTickMark val="none"/>
        <c:tickLblPos val="nextTo"/>
        <c:crossAx val="69182241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1"/>
          <c:order val="1"/>
          <c:tx>
            <c:strRef>
              <c:f>Лист2!$E$25</c:f>
              <c:strCache>
                <c:ptCount val="1"/>
                <c:pt idx="0">
                  <c:v>Євро</c:v>
                </c:pt>
              </c:strCache>
            </c:strRef>
          </c:tx>
          <c:spPr>
            <a:solidFill>
              <a:schemeClr val="tx1"/>
            </a:solidFill>
            <a:ln>
              <a:noFill/>
            </a:ln>
            <a:effectLst/>
          </c:spPr>
          <c:invertIfNegative val="0"/>
          <c:cat>
            <c:numRef>
              <c:f>Лист2!$F$23:$N$23</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Лист2!$F$25:$N$25</c:f>
              <c:numCache>
                <c:formatCode>General</c:formatCode>
                <c:ptCount val="9"/>
                <c:pt idx="0">
                  <c:v>-790</c:v>
                </c:pt>
                <c:pt idx="1">
                  <c:v>-5470</c:v>
                </c:pt>
                <c:pt idx="2">
                  <c:v>-11383</c:v>
                </c:pt>
                <c:pt idx="3">
                  <c:v>-10426</c:v>
                </c:pt>
                <c:pt idx="4">
                  <c:v>569</c:v>
                </c:pt>
                <c:pt idx="5">
                  <c:v>-146</c:v>
                </c:pt>
                <c:pt idx="6">
                  <c:v>-65</c:v>
                </c:pt>
                <c:pt idx="7">
                  <c:v>-162</c:v>
                </c:pt>
                <c:pt idx="8">
                  <c:v>-752</c:v>
                </c:pt>
              </c:numCache>
            </c:numRef>
          </c:val>
          <c:extLst>
            <c:ext xmlns:c16="http://schemas.microsoft.com/office/drawing/2014/chart" uri="{C3380CC4-5D6E-409C-BE32-E72D297353CC}">
              <c16:uniqueId val="{00000000-BC61-43D8-991C-FB216A33AD46}"/>
            </c:ext>
          </c:extLst>
        </c:ser>
        <c:ser>
          <c:idx val="2"/>
          <c:order val="2"/>
          <c:tx>
            <c:strRef>
              <c:f>Лист2!$E$26</c:f>
              <c:strCache>
                <c:ptCount val="1"/>
                <c:pt idx="0">
                  <c:v>Інші іноземні валюти</c:v>
                </c:pt>
              </c:strCache>
            </c:strRef>
          </c:tx>
          <c:spPr>
            <a:solidFill>
              <a:schemeClr val="dk1">
                <a:tint val="75000"/>
              </a:schemeClr>
            </a:solidFill>
            <a:ln>
              <a:noFill/>
            </a:ln>
            <a:effectLst/>
          </c:spPr>
          <c:invertIfNegative val="0"/>
          <c:cat>
            <c:numRef>
              <c:f>Лист2!$F$23:$N$23</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Лист2!$F$26:$N$26</c:f>
              <c:numCache>
                <c:formatCode>General</c:formatCode>
                <c:ptCount val="9"/>
                <c:pt idx="0">
                  <c:v>313</c:v>
                </c:pt>
                <c:pt idx="1">
                  <c:v>228</c:v>
                </c:pt>
                <c:pt idx="2">
                  <c:v>364</c:v>
                </c:pt>
                <c:pt idx="3">
                  <c:v>300</c:v>
                </c:pt>
                <c:pt idx="4">
                  <c:v>173</c:v>
                </c:pt>
                <c:pt idx="5">
                  <c:v>-32</c:v>
                </c:pt>
                <c:pt idx="6">
                  <c:v>-146</c:v>
                </c:pt>
                <c:pt idx="7">
                  <c:v>-213</c:v>
                </c:pt>
                <c:pt idx="8">
                  <c:v>-103</c:v>
                </c:pt>
              </c:numCache>
            </c:numRef>
          </c:val>
          <c:extLst>
            <c:ext xmlns:c16="http://schemas.microsoft.com/office/drawing/2014/chart" uri="{C3380CC4-5D6E-409C-BE32-E72D297353CC}">
              <c16:uniqueId val="{00000001-BC61-43D8-991C-FB216A33AD46}"/>
            </c:ext>
          </c:extLst>
        </c:ser>
        <c:dLbls>
          <c:showLegendKey val="0"/>
          <c:showVal val="0"/>
          <c:showCatName val="0"/>
          <c:showSerName val="0"/>
          <c:showPercent val="0"/>
          <c:showBubbleSize val="0"/>
        </c:dLbls>
        <c:gapWidth val="267"/>
        <c:overlap val="-43"/>
        <c:axId val="563227584"/>
        <c:axId val="563251104"/>
      </c:barChart>
      <c:lineChart>
        <c:grouping val="stacked"/>
        <c:varyColors val="0"/>
        <c:ser>
          <c:idx val="0"/>
          <c:order val="0"/>
          <c:tx>
            <c:strRef>
              <c:f>Лист2!$E$24</c:f>
              <c:strCache>
                <c:ptCount val="1"/>
                <c:pt idx="0">
                  <c:v>Долар США</c:v>
                </c:pt>
              </c:strCache>
            </c:strRef>
          </c:tx>
          <c:spPr>
            <a:ln w="22225" cap="rnd">
              <a:solidFill>
                <a:schemeClr val="dk1">
                  <a:tint val="88500"/>
                </a:schemeClr>
              </a:solidFill>
              <a:round/>
            </a:ln>
            <a:effectLst/>
          </c:spPr>
          <c:marker>
            <c:symbol val="circle"/>
            <c:size val="6"/>
            <c:spPr>
              <a:solidFill>
                <a:schemeClr val="lt1"/>
              </a:solidFill>
              <a:ln w="15875">
                <a:solidFill>
                  <a:schemeClr val="dk1">
                    <a:tint val="88500"/>
                  </a:schemeClr>
                </a:solidFill>
                <a:round/>
              </a:ln>
              <a:effectLst/>
            </c:spPr>
          </c:marker>
          <c:cat>
            <c:numRef>
              <c:f>Лист2!$F$23:$N$23</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Лист2!$F$24:$N$24</c:f>
              <c:numCache>
                <c:formatCode>General</c:formatCode>
                <c:ptCount val="9"/>
                <c:pt idx="0">
                  <c:v>-11120</c:v>
                </c:pt>
                <c:pt idx="1">
                  <c:v>0</c:v>
                </c:pt>
                <c:pt idx="2">
                  <c:v>-68219</c:v>
                </c:pt>
                <c:pt idx="3">
                  <c:v>-58397</c:v>
                </c:pt>
                <c:pt idx="4">
                  <c:v>-51448</c:v>
                </c:pt>
                <c:pt idx="5">
                  <c:v>-38805</c:v>
                </c:pt>
                <c:pt idx="6">
                  <c:v>-32431</c:v>
                </c:pt>
                <c:pt idx="7">
                  <c:v>-23188</c:v>
                </c:pt>
                <c:pt idx="8">
                  <c:v>-25158</c:v>
                </c:pt>
              </c:numCache>
            </c:numRef>
          </c:val>
          <c:smooth val="0"/>
          <c:extLst>
            <c:ext xmlns:c16="http://schemas.microsoft.com/office/drawing/2014/chart" uri="{C3380CC4-5D6E-409C-BE32-E72D297353CC}">
              <c16:uniqueId val="{00000002-BC61-43D8-991C-FB216A33AD46}"/>
            </c:ext>
          </c:extLst>
        </c:ser>
        <c:dLbls>
          <c:showLegendKey val="0"/>
          <c:showVal val="0"/>
          <c:showCatName val="0"/>
          <c:showSerName val="0"/>
          <c:showPercent val="0"/>
          <c:showBubbleSize val="0"/>
        </c:dLbls>
        <c:marker val="1"/>
        <c:smooth val="0"/>
        <c:axId val="563236224"/>
        <c:axId val="563224704"/>
      </c:lineChart>
      <c:catAx>
        <c:axId val="563227584"/>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63251104"/>
        <c:crosses val="autoZero"/>
        <c:auto val="1"/>
        <c:lblAlgn val="ctr"/>
        <c:lblOffset val="100"/>
        <c:noMultiLvlLbl val="0"/>
      </c:catAx>
      <c:valAx>
        <c:axId val="56325110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63227584"/>
        <c:crosses val="autoZero"/>
        <c:crossBetween val="between"/>
      </c:valAx>
      <c:valAx>
        <c:axId val="56322470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63236224"/>
        <c:crosses val="max"/>
        <c:crossBetween val="between"/>
      </c:valAx>
      <c:catAx>
        <c:axId val="563236224"/>
        <c:scaling>
          <c:orientation val="minMax"/>
        </c:scaling>
        <c:delete val="1"/>
        <c:axPos val="b"/>
        <c:numFmt formatCode="General" sourceLinked="1"/>
        <c:majorTickMark val="out"/>
        <c:minorTickMark val="none"/>
        <c:tickLblPos val="nextTo"/>
        <c:crossAx val="563224704"/>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lt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Лист14!$A$18</c:f>
              <c:strCache>
                <c:ptCount val="1"/>
                <c:pt idx="0">
                  <c:v>01.01.2015</c:v>
                </c:pt>
              </c:strCache>
            </c:strRef>
          </c:tx>
          <c:spPr>
            <a:solidFill>
              <a:schemeClr val="dk1">
                <a:tint val="88500"/>
              </a:schemeClr>
            </a:solidFill>
            <a:ln>
              <a:noFill/>
            </a:ln>
            <a:effectLst/>
          </c:spPr>
          <c:invertIfNegative val="0"/>
          <c:dLbls>
            <c:delete val="1"/>
          </c:dLbls>
          <c:cat>
            <c:strRef>
              <c:f>Лист14!$B$17:$E$17</c:f>
              <c:strCache>
                <c:ptCount val="4"/>
                <c:pt idx="0">
                  <c:v>До запитання та до 1 місяця</c:v>
                </c:pt>
                <c:pt idx="1">
                  <c:v>1-3 місяці</c:v>
                </c:pt>
                <c:pt idx="2">
                  <c:v>3-12 місяців</c:v>
                </c:pt>
                <c:pt idx="3">
                  <c:v>Понад 1 рік</c:v>
                </c:pt>
              </c:strCache>
            </c:strRef>
          </c:cat>
          <c:val>
            <c:numRef>
              <c:f>Лист14!$B$18:$E$18</c:f>
              <c:numCache>
                <c:formatCode>#,##0</c:formatCode>
                <c:ptCount val="4"/>
                <c:pt idx="0" formatCode="General">
                  <c:v>389</c:v>
                </c:pt>
                <c:pt idx="1">
                  <c:v>-28505</c:v>
                </c:pt>
                <c:pt idx="2">
                  <c:v>19157</c:v>
                </c:pt>
                <c:pt idx="3">
                  <c:v>30519</c:v>
                </c:pt>
              </c:numCache>
            </c:numRef>
          </c:val>
          <c:extLst>
            <c:ext xmlns:c16="http://schemas.microsoft.com/office/drawing/2014/chart" uri="{C3380CC4-5D6E-409C-BE32-E72D297353CC}">
              <c16:uniqueId val="{00000000-B4E6-4A91-8AF7-1839150F6664}"/>
            </c:ext>
          </c:extLst>
        </c:ser>
        <c:ser>
          <c:idx val="1"/>
          <c:order val="1"/>
          <c:tx>
            <c:strRef>
              <c:f>Лист14!$A$19</c:f>
              <c:strCache>
                <c:ptCount val="1"/>
                <c:pt idx="0">
                  <c:v>01.01.2016</c:v>
                </c:pt>
              </c:strCache>
            </c:strRef>
          </c:tx>
          <c:spPr>
            <a:solidFill>
              <a:schemeClr val="dk1">
                <a:tint val="55000"/>
              </a:schemeClr>
            </a:solidFill>
            <a:ln>
              <a:noFill/>
            </a:ln>
            <a:effectLst/>
          </c:spPr>
          <c:invertIfNegative val="0"/>
          <c:dLbls>
            <c:delete val="1"/>
          </c:dLbls>
          <c:cat>
            <c:strRef>
              <c:f>Лист14!$B$17:$E$17</c:f>
              <c:strCache>
                <c:ptCount val="4"/>
                <c:pt idx="0">
                  <c:v>До запитання та до 1 місяця</c:v>
                </c:pt>
                <c:pt idx="1">
                  <c:v>1-3 місяці</c:v>
                </c:pt>
                <c:pt idx="2">
                  <c:v>3-12 місяців</c:v>
                </c:pt>
                <c:pt idx="3">
                  <c:v>Понад 1 рік</c:v>
                </c:pt>
              </c:strCache>
            </c:strRef>
          </c:cat>
          <c:val>
            <c:numRef>
              <c:f>Лист14!$B$19:$E$19</c:f>
              <c:numCache>
                <c:formatCode>#,##0</c:formatCode>
                <c:ptCount val="4"/>
                <c:pt idx="0">
                  <c:v>-24904</c:v>
                </c:pt>
                <c:pt idx="1">
                  <c:v>-21658</c:v>
                </c:pt>
                <c:pt idx="2">
                  <c:v>35665</c:v>
                </c:pt>
                <c:pt idx="3">
                  <c:v>35204</c:v>
                </c:pt>
              </c:numCache>
            </c:numRef>
          </c:val>
          <c:extLst>
            <c:ext xmlns:c16="http://schemas.microsoft.com/office/drawing/2014/chart" uri="{C3380CC4-5D6E-409C-BE32-E72D297353CC}">
              <c16:uniqueId val="{00000001-B4E6-4A91-8AF7-1839150F6664}"/>
            </c:ext>
          </c:extLst>
        </c:ser>
        <c:ser>
          <c:idx val="2"/>
          <c:order val="2"/>
          <c:tx>
            <c:strRef>
              <c:f>Лист14!$A$20</c:f>
              <c:strCache>
                <c:ptCount val="1"/>
                <c:pt idx="0">
                  <c:v>01.01.2017</c:v>
                </c:pt>
              </c:strCache>
            </c:strRef>
          </c:tx>
          <c:spPr>
            <a:solidFill>
              <a:schemeClr val="dk1">
                <a:tint val="75000"/>
              </a:schemeClr>
            </a:solidFill>
            <a:ln>
              <a:noFill/>
            </a:ln>
            <a:effectLst/>
          </c:spPr>
          <c:invertIfNegative val="0"/>
          <c:dLbls>
            <c:delete val="1"/>
          </c:dLbls>
          <c:cat>
            <c:strRef>
              <c:f>Лист14!$B$17:$E$17</c:f>
              <c:strCache>
                <c:ptCount val="4"/>
                <c:pt idx="0">
                  <c:v>До запитання та до 1 місяця</c:v>
                </c:pt>
                <c:pt idx="1">
                  <c:v>1-3 місяці</c:v>
                </c:pt>
                <c:pt idx="2">
                  <c:v>3-12 місяців</c:v>
                </c:pt>
                <c:pt idx="3">
                  <c:v>Понад 1 рік</c:v>
                </c:pt>
              </c:strCache>
            </c:strRef>
          </c:cat>
          <c:val>
            <c:numRef>
              <c:f>Лист14!$B$20:$E$20</c:f>
              <c:numCache>
                <c:formatCode>#,##0</c:formatCode>
                <c:ptCount val="4"/>
                <c:pt idx="0">
                  <c:v>-25474</c:v>
                </c:pt>
                <c:pt idx="1">
                  <c:v>-35531</c:v>
                </c:pt>
                <c:pt idx="2">
                  <c:v>-81541</c:v>
                </c:pt>
                <c:pt idx="3">
                  <c:v>95987</c:v>
                </c:pt>
              </c:numCache>
            </c:numRef>
          </c:val>
          <c:extLst>
            <c:ext xmlns:c16="http://schemas.microsoft.com/office/drawing/2014/chart" uri="{C3380CC4-5D6E-409C-BE32-E72D297353CC}">
              <c16:uniqueId val="{00000002-B4E6-4A91-8AF7-1839150F6664}"/>
            </c:ext>
          </c:extLst>
        </c:ser>
        <c:ser>
          <c:idx val="3"/>
          <c:order val="3"/>
          <c:tx>
            <c:strRef>
              <c:f>Лист14!$A$21</c:f>
              <c:strCache>
                <c:ptCount val="1"/>
                <c:pt idx="0">
                  <c:v>01.01.2018</c:v>
                </c:pt>
              </c:strCache>
            </c:strRef>
          </c:tx>
          <c:spPr>
            <a:solidFill>
              <a:schemeClr val="dk1">
                <a:tint val="98500"/>
              </a:schemeClr>
            </a:solidFill>
            <a:ln>
              <a:noFill/>
            </a:ln>
            <a:effectLst/>
          </c:spPr>
          <c:invertIfNegative val="0"/>
          <c:dLbls>
            <c:delete val="1"/>
          </c:dLbls>
          <c:cat>
            <c:strRef>
              <c:f>Лист14!$B$17:$E$17</c:f>
              <c:strCache>
                <c:ptCount val="4"/>
                <c:pt idx="0">
                  <c:v>До запитання та до 1 місяця</c:v>
                </c:pt>
                <c:pt idx="1">
                  <c:v>1-3 місяці</c:v>
                </c:pt>
                <c:pt idx="2">
                  <c:v>3-12 місяців</c:v>
                </c:pt>
                <c:pt idx="3">
                  <c:v>Понад 1 рік</c:v>
                </c:pt>
              </c:strCache>
            </c:strRef>
          </c:cat>
          <c:val>
            <c:numRef>
              <c:f>Лист14!$B$21:$E$21</c:f>
              <c:numCache>
                <c:formatCode>#,##0</c:formatCode>
                <c:ptCount val="4"/>
                <c:pt idx="0">
                  <c:v>-42321</c:v>
                </c:pt>
                <c:pt idx="1">
                  <c:v>-42166</c:v>
                </c:pt>
                <c:pt idx="2">
                  <c:v>-70201</c:v>
                </c:pt>
                <c:pt idx="3">
                  <c:v>158557</c:v>
                </c:pt>
              </c:numCache>
            </c:numRef>
          </c:val>
          <c:extLst>
            <c:ext xmlns:c16="http://schemas.microsoft.com/office/drawing/2014/chart" uri="{C3380CC4-5D6E-409C-BE32-E72D297353CC}">
              <c16:uniqueId val="{00000003-B4E6-4A91-8AF7-1839150F6664}"/>
            </c:ext>
          </c:extLst>
        </c:ser>
        <c:ser>
          <c:idx val="4"/>
          <c:order val="4"/>
          <c:tx>
            <c:strRef>
              <c:f>Лист14!$A$22</c:f>
              <c:strCache>
                <c:ptCount val="1"/>
                <c:pt idx="0">
                  <c:v>01.01.2019</c:v>
                </c:pt>
              </c:strCache>
            </c:strRef>
          </c:tx>
          <c:spPr>
            <a:solidFill>
              <a:schemeClr val="dk1">
                <a:tint val="30000"/>
              </a:schemeClr>
            </a:solidFill>
            <a:ln>
              <a:noFill/>
            </a:ln>
            <a:effectLst/>
          </c:spPr>
          <c:invertIfNegative val="0"/>
          <c:dLbls>
            <c:delete val="1"/>
          </c:dLbls>
          <c:cat>
            <c:strRef>
              <c:f>Лист14!$B$17:$E$17</c:f>
              <c:strCache>
                <c:ptCount val="4"/>
                <c:pt idx="0">
                  <c:v>До запитання та до 1 місяця</c:v>
                </c:pt>
                <c:pt idx="1">
                  <c:v>1-3 місяці</c:v>
                </c:pt>
                <c:pt idx="2">
                  <c:v>3-12 місяців</c:v>
                </c:pt>
                <c:pt idx="3">
                  <c:v>Понад 1 рік</c:v>
                </c:pt>
              </c:strCache>
            </c:strRef>
          </c:cat>
          <c:val>
            <c:numRef>
              <c:f>Лист14!$B$22:$E$22</c:f>
              <c:numCache>
                <c:formatCode>#,##0</c:formatCode>
                <c:ptCount val="4"/>
                <c:pt idx="0">
                  <c:v>-43412</c:v>
                </c:pt>
                <c:pt idx="1">
                  <c:v>-39568</c:v>
                </c:pt>
                <c:pt idx="2">
                  <c:v>-44487</c:v>
                </c:pt>
                <c:pt idx="3">
                  <c:v>144474</c:v>
                </c:pt>
              </c:numCache>
            </c:numRef>
          </c:val>
          <c:extLst>
            <c:ext xmlns:c16="http://schemas.microsoft.com/office/drawing/2014/chart" uri="{C3380CC4-5D6E-409C-BE32-E72D297353CC}">
              <c16:uniqueId val="{00000004-B4E6-4A91-8AF7-1839150F6664}"/>
            </c:ext>
          </c:extLst>
        </c:ser>
        <c:ser>
          <c:idx val="5"/>
          <c:order val="5"/>
          <c:tx>
            <c:strRef>
              <c:f>Лист14!$A$23</c:f>
              <c:strCache>
                <c:ptCount val="1"/>
                <c:pt idx="0">
                  <c:v>01.01.2020</c:v>
                </c:pt>
              </c:strCache>
            </c:strRef>
          </c:tx>
          <c:spPr>
            <a:solidFill>
              <a:schemeClr val="dk1">
                <a:tint val="60000"/>
              </a:schemeClr>
            </a:solidFill>
            <a:ln>
              <a:noFill/>
            </a:ln>
            <a:effectLst/>
          </c:spPr>
          <c:invertIfNegative val="0"/>
          <c:dLbls>
            <c:delete val="1"/>
          </c:dLbls>
          <c:cat>
            <c:strRef>
              <c:f>Лист14!$B$17:$E$17</c:f>
              <c:strCache>
                <c:ptCount val="4"/>
                <c:pt idx="0">
                  <c:v>До запитання та до 1 місяця</c:v>
                </c:pt>
                <c:pt idx="1">
                  <c:v>1-3 місяці</c:v>
                </c:pt>
                <c:pt idx="2">
                  <c:v>3-12 місяців</c:v>
                </c:pt>
                <c:pt idx="3">
                  <c:v>Понад 1 рік</c:v>
                </c:pt>
              </c:strCache>
            </c:strRef>
          </c:cat>
          <c:val>
            <c:numRef>
              <c:f>Лист14!$B$23:$E$23</c:f>
              <c:numCache>
                <c:formatCode>#,##0</c:formatCode>
                <c:ptCount val="4"/>
                <c:pt idx="0">
                  <c:v>-11477</c:v>
                </c:pt>
                <c:pt idx="1">
                  <c:v>-43591</c:v>
                </c:pt>
                <c:pt idx="2">
                  <c:v>-58180</c:v>
                </c:pt>
                <c:pt idx="3">
                  <c:v>148357</c:v>
                </c:pt>
              </c:numCache>
            </c:numRef>
          </c:val>
          <c:extLst>
            <c:ext xmlns:c16="http://schemas.microsoft.com/office/drawing/2014/chart" uri="{C3380CC4-5D6E-409C-BE32-E72D297353CC}">
              <c16:uniqueId val="{00000005-B4E6-4A91-8AF7-1839150F6664}"/>
            </c:ext>
          </c:extLst>
        </c:ser>
        <c:ser>
          <c:idx val="6"/>
          <c:order val="6"/>
          <c:tx>
            <c:strRef>
              <c:f>Лист14!$A$24</c:f>
              <c:strCache>
                <c:ptCount val="1"/>
                <c:pt idx="0">
                  <c:v>01.01.2021</c:v>
                </c:pt>
              </c:strCache>
            </c:strRef>
          </c:tx>
          <c:spPr>
            <a:solidFill>
              <a:schemeClr val="dk1">
                <a:tint val="80000"/>
              </a:schemeClr>
            </a:solidFill>
            <a:ln>
              <a:noFill/>
            </a:ln>
            <a:effectLst/>
          </c:spPr>
          <c:invertIfNegative val="0"/>
          <c:dLbls>
            <c:delete val="1"/>
          </c:dLbls>
          <c:cat>
            <c:strRef>
              <c:f>Лист14!$B$17:$E$17</c:f>
              <c:strCache>
                <c:ptCount val="4"/>
                <c:pt idx="0">
                  <c:v>До запитання та до 1 місяця</c:v>
                </c:pt>
                <c:pt idx="1">
                  <c:v>1-3 місяці</c:v>
                </c:pt>
                <c:pt idx="2">
                  <c:v>3-12 місяців</c:v>
                </c:pt>
                <c:pt idx="3">
                  <c:v>Понад 1 рік</c:v>
                </c:pt>
              </c:strCache>
            </c:strRef>
          </c:cat>
          <c:val>
            <c:numRef>
              <c:f>Лист14!$B$24:$E$24</c:f>
              <c:numCache>
                <c:formatCode>#,##0</c:formatCode>
                <c:ptCount val="4"/>
                <c:pt idx="0">
                  <c:v>-142198</c:v>
                </c:pt>
                <c:pt idx="1">
                  <c:v>-24239</c:v>
                </c:pt>
                <c:pt idx="2">
                  <c:v>14326</c:v>
                </c:pt>
                <c:pt idx="3">
                  <c:v>190439</c:v>
                </c:pt>
              </c:numCache>
            </c:numRef>
          </c:val>
          <c:extLst>
            <c:ext xmlns:c16="http://schemas.microsoft.com/office/drawing/2014/chart" uri="{C3380CC4-5D6E-409C-BE32-E72D297353CC}">
              <c16:uniqueId val="{00000006-B4E6-4A91-8AF7-1839150F6664}"/>
            </c:ext>
          </c:extLst>
        </c:ser>
        <c:ser>
          <c:idx val="7"/>
          <c:order val="7"/>
          <c:tx>
            <c:strRef>
              <c:f>Лист14!$A$25</c:f>
              <c:strCache>
                <c:ptCount val="1"/>
                <c:pt idx="0">
                  <c:v>01.01.2022</c:v>
                </c:pt>
              </c:strCache>
            </c:strRef>
          </c:tx>
          <c:spPr>
            <a:solidFill>
              <a:schemeClr val="dk1">
                <a:tint val="88500"/>
              </a:schemeClr>
            </a:solidFill>
            <a:ln>
              <a:noFill/>
            </a:ln>
            <a:effectLst/>
          </c:spPr>
          <c:invertIfNegative val="0"/>
          <c:dLbls>
            <c:delete val="1"/>
          </c:dLbls>
          <c:cat>
            <c:strRef>
              <c:f>Лист14!$B$17:$E$17</c:f>
              <c:strCache>
                <c:ptCount val="4"/>
                <c:pt idx="0">
                  <c:v>До запитання та до 1 місяця</c:v>
                </c:pt>
                <c:pt idx="1">
                  <c:v>1-3 місяці</c:v>
                </c:pt>
                <c:pt idx="2">
                  <c:v>3-12 місяців</c:v>
                </c:pt>
                <c:pt idx="3">
                  <c:v>Понад 1 рік</c:v>
                </c:pt>
              </c:strCache>
            </c:strRef>
          </c:cat>
          <c:val>
            <c:numRef>
              <c:f>Лист14!$B$25:$E$25</c:f>
              <c:numCache>
                <c:formatCode>#,##0</c:formatCode>
                <c:ptCount val="4"/>
                <c:pt idx="0">
                  <c:v>-168891</c:v>
                </c:pt>
                <c:pt idx="1">
                  <c:v>-14036</c:v>
                </c:pt>
                <c:pt idx="2">
                  <c:v>13172</c:v>
                </c:pt>
                <c:pt idx="3">
                  <c:v>212894</c:v>
                </c:pt>
              </c:numCache>
            </c:numRef>
          </c:val>
          <c:extLst>
            <c:ext xmlns:c16="http://schemas.microsoft.com/office/drawing/2014/chart" uri="{C3380CC4-5D6E-409C-BE32-E72D297353CC}">
              <c16:uniqueId val="{00000007-B4E6-4A91-8AF7-1839150F6664}"/>
            </c:ext>
          </c:extLst>
        </c:ser>
        <c:ser>
          <c:idx val="8"/>
          <c:order val="8"/>
          <c:tx>
            <c:strRef>
              <c:f>Лист14!$A$26</c:f>
              <c:strCache>
                <c:ptCount val="1"/>
                <c:pt idx="0">
                  <c:v>01.01.2023</c:v>
                </c:pt>
              </c:strCache>
            </c:strRef>
          </c:tx>
          <c:spPr>
            <a:solidFill>
              <a:schemeClr val="dk1">
                <a:tint val="55000"/>
              </a:schemeClr>
            </a:solidFill>
            <a:ln>
              <a:noFill/>
            </a:ln>
            <a:effectLst/>
          </c:spPr>
          <c:invertIfNegative val="0"/>
          <c:dLbls>
            <c:delete val="1"/>
          </c:dLbls>
          <c:cat>
            <c:strRef>
              <c:f>Лист14!$B$17:$E$17</c:f>
              <c:strCache>
                <c:ptCount val="4"/>
                <c:pt idx="0">
                  <c:v>До запитання та до 1 місяця</c:v>
                </c:pt>
                <c:pt idx="1">
                  <c:v>1-3 місяці</c:v>
                </c:pt>
                <c:pt idx="2">
                  <c:v>3-12 місяців</c:v>
                </c:pt>
                <c:pt idx="3">
                  <c:v>Понад 1 рік</c:v>
                </c:pt>
              </c:strCache>
            </c:strRef>
          </c:cat>
          <c:val>
            <c:numRef>
              <c:f>Лист14!$B$26:$E$26</c:f>
              <c:numCache>
                <c:formatCode>0.00</c:formatCode>
                <c:ptCount val="4"/>
                <c:pt idx="0">
                  <c:v>0</c:v>
                </c:pt>
                <c:pt idx="1">
                  <c:v>0</c:v>
                </c:pt>
                <c:pt idx="2">
                  <c:v>0</c:v>
                </c:pt>
                <c:pt idx="3">
                  <c:v>0</c:v>
                </c:pt>
              </c:numCache>
            </c:numRef>
          </c:val>
          <c:extLst>
            <c:ext xmlns:c16="http://schemas.microsoft.com/office/drawing/2014/chart" uri="{C3380CC4-5D6E-409C-BE32-E72D297353CC}">
              <c16:uniqueId val="{00000008-B4E6-4A91-8AF7-1839150F6664}"/>
            </c:ext>
          </c:extLst>
        </c:ser>
        <c:dLbls>
          <c:dLblPos val="outEnd"/>
          <c:showLegendKey val="0"/>
          <c:showVal val="1"/>
          <c:showCatName val="0"/>
          <c:showSerName val="0"/>
          <c:showPercent val="0"/>
          <c:showBubbleSize val="0"/>
        </c:dLbls>
        <c:gapWidth val="444"/>
        <c:overlap val="-90"/>
        <c:axId val="285615616"/>
        <c:axId val="283796032"/>
      </c:barChart>
      <c:catAx>
        <c:axId val="2856156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83796032"/>
        <c:crosses val="autoZero"/>
        <c:auto val="1"/>
        <c:lblAlgn val="ctr"/>
        <c:lblOffset val="100"/>
        <c:noMultiLvlLbl val="0"/>
      </c:catAx>
      <c:valAx>
        <c:axId val="283796032"/>
        <c:scaling>
          <c:orientation val="minMax"/>
        </c:scaling>
        <c:delete val="1"/>
        <c:axPos val="l"/>
        <c:numFmt formatCode="General" sourceLinked="1"/>
        <c:majorTickMark val="none"/>
        <c:minorTickMark val="none"/>
        <c:tickLblPos val="nextTo"/>
        <c:crossAx val="285615616"/>
        <c:crosses val="autoZero"/>
        <c:crossBetween val="between"/>
      </c:valAx>
      <c:spPr>
        <a:noFill/>
        <a:ln>
          <a:noFill/>
        </a:ln>
        <a:effectLst/>
      </c:spPr>
    </c:plotArea>
    <c:legend>
      <c:legendPos val="b"/>
      <c:layout>
        <c:manualLayout>
          <c:xMode val="edge"/>
          <c:yMode val="edge"/>
          <c:x val="3.4488328079610338E-2"/>
          <c:y val="0.89736659479811409"/>
          <c:w val="0.93494914617663172"/>
          <c:h val="8.315604763006311E-2"/>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lt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Лист1!$B$8</c:f>
              <c:strCache>
                <c:ptCount val="1"/>
                <c:pt idx="0">
                  <c:v>Z-показник (банк)</c:v>
                </c:pt>
              </c:strCache>
            </c:strRef>
          </c:tx>
          <c:spPr>
            <a:ln w="19050" cap="rnd" cmpd="sng" algn="ctr">
              <a:solidFill>
                <a:schemeClr val="dk1">
                  <a:tint val="885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anchor="ctr" anchorCtr="1"/>
              <a:lstStyle/>
              <a:p>
                <a:pPr>
                  <a:defRPr sz="1200" b="1" i="0" u="none" strike="noStrike" kern="1200" baseline="0">
                    <a:solidFill>
                      <a:schemeClr val="dk1">
                        <a:tint val="88500"/>
                      </a:schemeClr>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Лист1!$C$2:$K$2</c:f>
              <c:numCache>
                <c:formatCode>m/d/yyyy</c:formatCode>
                <c:ptCount val="6"/>
                <c:pt idx="0">
                  <c:v>43101</c:v>
                </c:pt>
                <c:pt idx="1">
                  <c:v>43466</c:v>
                </c:pt>
                <c:pt idx="2">
                  <c:v>43831</c:v>
                </c:pt>
                <c:pt idx="3">
                  <c:v>44197</c:v>
                </c:pt>
                <c:pt idx="4">
                  <c:v>44562</c:v>
                </c:pt>
                <c:pt idx="5">
                  <c:v>44927</c:v>
                </c:pt>
              </c:numCache>
            </c:numRef>
          </c:cat>
          <c:val>
            <c:numRef>
              <c:f>Лист1!$C$8:$K$8</c:f>
              <c:numCache>
                <c:formatCode>0.0</c:formatCode>
                <c:ptCount val="6"/>
                <c:pt idx="0">
                  <c:v>3.9157131815537904</c:v>
                </c:pt>
                <c:pt idx="1">
                  <c:v>0.376558923051521</c:v>
                </c:pt>
                <c:pt idx="2">
                  <c:v>20.535891769767236</c:v>
                </c:pt>
                <c:pt idx="3">
                  <c:v>14.959915804404025</c:v>
                </c:pt>
                <c:pt idx="4">
                  <c:v>20.622988922893875</c:v>
                </c:pt>
                <c:pt idx="5">
                  <c:v>15.691773201102432</c:v>
                </c:pt>
              </c:numCache>
            </c:numRef>
          </c:val>
          <c:smooth val="0"/>
          <c:extLst>
            <c:ext xmlns:c16="http://schemas.microsoft.com/office/drawing/2014/chart" uri="{C3380CC4-5D6E-409C-BE32-E72D297353CC}">
              <c16:uniqueId val="{00000000-6566-457A-A1C5-B6CD2B2DC0DF}"/>
            </c:ext>
          </c:extLst>
        </c:ser>
        <c:ser>
          <c:idx val="1"/>
          <c:order val="1"/>
          <c:tx>
            <c:strRef>
              <c:f>Лист1!$B$10</c:f>
              <c:strCache>
                <c:ptCount val="1"/>
                <c:pt idx="0">
                  <c:v>Z-показник (банківська система України)</c:v>
                </c:pt>
              </c:strCache>
            </c:strRef>
          </c:tx>
          <c:spPr>
            <a:ln w="19050" cap="rnd" cmpd="sng" algn="ctr">
              <a:solidFill>
                <a:schemeClr val="dk1">
                  <a:tint val="550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anchor="ctr" anchorCtr="1"/>
              <a:lstStyle/>
              <a:p>
                <a:pPr>
                  <a:defRPr sz="1200" b="1" i="0" u="none" strike="noStrike" kern="1200" baseline="0">
                    <a:solidFill>
                      <a:schemeClr val="dk1">
                        <a:tint val="55000"/>
                      </a:schemeClr>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Лист1!$C$2:$K$2</c:f>
              <c:numCache>
                <c:formatCode>m/d/yyyy</c:formatCode>
                <c:ptCount val="6"/>
                <c:pt idx="0">
                  <c:v>43101</c:v>
                </c:pt>
                <c:pt idx="1">
                  <c:v>43466</c:v>
                </c:pt>
                <c:pt idx="2">
                  <c:v>43831</c:v>
                </c:pt>
                <c:pt idx="3">
                  <c:v>44197</c:v>
                </c:pt>
                <c:pt idx="4">
                  <c:v>44562</c:v>
                </c:pt>
                <c:pt idx="5">
                  <c:v>44927</c:v>
                </c:pt>
              </c:numCache>
            </c:numRef>
          </c:cat>
          <c:val>
            <c:numRef>
              <c:f>Лист1!$C$10:$K$10</c:f>
              <c:numCache>
                <c:formatCode>General</c:formatCode>
                <c:ptCount val="6"/>
                <c:pt idx="0">
                  <c:v>4.8</c:v>
                </c:pt>
                <c:pt idx="1">
                  <c:v>6</c:v>
                </c:pt>
                <c:pt idx="2">
                  <c:v>8.6</c:v>
                </c:pt>
                <c:pt idx="3">
                  <c:v>6.3</c:v>
                </c:pt>
                <c:pt idx="4">
                  <c:v>5.2</c:v>
                </c:pt>
                <c:pt idx="5">
                  <c:v>4.8</c:v>
                </c:pt>
              </c:numCache>
            </c:numRef>
          </c:val>
          <c:smooth val="0"/>
          <c:extLst>
            <c:ext xmlns:c16="http://schemas.microsoft.com/office/drawing/2014/chart" uri="{C3380CC4-5D6E-409C-BE32-E72D297353CC}">
              <c16:uniqueId val="{00000001-6566-457A-A1C5-B6CD2B2DC0DF}"/>
            </c:ext>
          </c:extLst>
        </c:ser>
        <c:dLbls>
          <c:dLblPos val="ctr"/>
          <c:showLegendKey val="0"/>
          <c:showVal val="1"/>
          <c:showCatName val="0"/>
          <c:showSerName val="0"/>
          <c:showPercent val="0"/>
          <c:showBubbleSize val="0"/>
        </c:dLbls>
        <c:marker val="1"/>
        <c:smooth val="0"/>
        <c:axId val="720897840"/>
        <c:axId val="720899760"/>
      </c:lineChart>
      <c:dateAx>
        <c:axId val="720897840"/>
        <c:scaling>
          <c:orientation val="minMax"/>
        </c:scaling>
        <c:delete val="0"/>
        <c:axPos val="b"/>
        <c:numFmt formatCode="m/d/yyyy"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720899760"/>
        <c:crosses val="autoZero"/>
        <c:auto val="1"/>
        <c:lblOffset val="100"/>
        <c:baseTimeUnit val="years"/>
      </c:dateAx>
      <c:valAx>
        <c:axId val="720899760"/>
        <c:scaling>
          <c:orientation val="minMax"/>
        </c:scaling>
        <c:delete val="0"/>
        <c:axPos val="l"/>
        <c:majorGridlines>
          <c:spPr>
            <a:ln>
              <a:solidFill>
                <a:schemeClr val="dk1">
                  <a:lumMod val="15000"/>
                  <a:lumOff val="85000"/>
                </a:schemeClr>
              </a:solidFill>
            </a:ln>
            <a:effectLst/>
          </c:spPr>
        </c:majorGridlines>
        <c:numFmt formatCode="0.0" sourceLinked="1"/>
        <c:majorTickMark val="out"/>
        <c:minorTickMark val="none"/>
        <c:tickLblPos val="nextTo"/>
        <c:spPr>
          <a:noFill/>
          <a:ln>
            <a:solidFill>
              <a:schemeClr val="tx1">
                <a:lumMod val="95000"/>
                <a:lumOff val="5000"/>
              </a:schemeClr>
            </a:solid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20897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7.9847359735973594E-2"/>
          <c:y val="5.1755730533683292E-2"/>
          <c:w val="0.75160891089108905"/>
          <c:h val="0.62091569372793931"/>
        </c:manualLayout>
      </c:layout>
      <c:barChart>
        <c:barDir val="col"/>
        <c:grouping val="clustered"/>
        <c:varyColors val="0"/>
        <c:ser>
          <c:idx val="1"/>
          <c:order val="1"/>
          <c:tx>
            <c:strRef>
              <c:f>Лист1!$A$3</c:f>
              <c:strCache>
                <c:ptCount val="1"/>
                <c:pt idx="0">
                  <c:v>Регулятивний капітал, тис. грн</c:v>
                </c:pt>
              </c:strCache>
            </c:strRef>
          </c:tx>
          <c:spPr>
            <a:solidFill>
              <a:schemeClr val="dk1">
                <a:tint val="55000"/>
              </a:schemeClr>
            </a:solidFill>
            <a:ln>
              <a:noFill/>
            </a:ln>
            <a:effectLst/>
          </c:spPr>
          <c:invertIfNegative val="0"/>
          <c:cat>
            <c:strRef>
              <c:f>Лист1!$B$1:$J$1</c:f>
              <c:strCache>
                <c:ptCount val="9"/>
                <c:pt idx="0">
                  <c:v>2014Q4</c:v>
                </c:pt>
                <c:pt idx="1">
                  <c:v>2015Q4</c:v>
                </c:pt>
                <c:pt idx="2">
                  <c:v>2016Q4</c:v>
                </c:pt>
                <c:pt idx="3">
                  <c:v>2017Q4</c:v>
                </c:pt>
                <c:pt idx="4">
                  <c:v>2018Q4</c:v>
                </c:pt>
                <c:pt idx="5">
                  <c:v>2019Q4</c:v>
                </c:pt>
                <c:pt idx="6">
                  <c:v>2020Q4</c:v>
                </c:pt>
                <c:pt idx="7">
                  <c:v>2021Q4</c:v>
                </c:pt>
                <c:pt idx="8">
                  <c:v>2022Q3</c:v>
                </c:pt>
              </c:strCache>
            </c:strRef>
          </c:cat>
          <c:val>
            <c:numRef>
              <c:f>Лист1!$B$3:$J$3</c:f>
              <c:numCache>
                <c:formatCode>#,##0.00</c:formatCode>
                <c:ptCount val="9"/>
                <c:pt idx="0">
                  <c:v>188948.85081465001</c:v>
                </c:pt>
                <c:pt idx="1">
                  <c:v>129816.87031766</c:v>
                </c:pt>
                <c:pt idx="2">
                  <c:v>109653.64172463999</c:v>
                </c:pt>
                <c:pt idx="3">
                  <c:v>115817.62617921</c:v>
                </c:pt>
                <c:pt idx="4">
                  <c:v>126116.73946661</c:v>
                </c:pt>
                <c:pt idx="5">
                  <c:v>150313.83631064999</c:v>
                </c:pt>
                <c:pt idx="6">
                  <c:v>182283.62784879998</c:v>
                </c:pt>
                <c:pt idx="7">
                  <c:v>211742.262775115</c:v>
                </c:pt>
                <c:pt idx="8">
                  <c:v>209210.34965091001</c:v>
                </c:pt>
              </c:numCache>
            </c:numRef>
          </c:val>
          <c:extLst>
            <c:ext xmlns:c16="http://schemas.microsoft.com/office/drawing/2014/chart" uri="{C3380CC4-5D6E-409C-BE32-E72D297353CC}">
              <c16:uniqueId val="{00000000-2086-4FA7-8727-4053A9AADBCB}"/>
            </c:ext>
          </c:extLst>
        </c:ser>
        <c:ser>
          <c:idx val="2"/>
          <c:order val="2"/>
          <c:tx>
            <c:strRef>
              <c:f>Лист1!$A$4</c:f>
              <c:strCache>
                <c:ptCount val="1"/>
                <c:pt idx="0">
                  <c:v>Зважені за ризиком активи, тис. грн</c:v>
                </c:pt>
              </c:strCache>
            </c:strRef>
          </c:tx>
          <c:spPr>
            <a:solidFill>
              <a:schemeClr val="dk1">
                <a:tint val="75000"/>
              </a:schemeClr>
            </a:solidFill>
            <a:ln>
              <a:noFill/>
            </a:ln>
            <a:effectLst/>
          </c:spPr>
          <c:invertIfNegative val="0"/>
          <c:cat>
            <c:strRef>
              <c:f>Лист1!$B$1:$J$1</c:f>
              <c:strCache>
                <c:ptCount val="9"/>
                <c:pt idx="0">
                  <c:v>2014Q4</c:v>
                </c:pt>
                <c:pt idx="1">
                  <c:v>2015Q4</c:v>
                </c:pt>
                <c:pt idx="2">
                  <c:v>2016Q4</c:v>
                </c:pt>
                <c:pt idx="3">
                  <c:v>2017Q4</c:v>
                </c:pt>
                <c:pt idx="4">
                  <c:v>2018Q4</c:v>
                </c:pt>
                <c:pt idx="5">
                  <c:v>2019Q4</c:v>
                </c:pt>
                <c:pt idx="6">
                  <c:v>2020Q4</c:v>
                </c:pt>
                <c:pt idx="7">
                  <c:v>2021Q4</c:v>
                </c:pt>
                <c:pt idx="8">
                  <c:v>2022Q3</c:v>
                </c:pt>
              </c:strCache>
            </c:strRef>
          </c:cat>
          <c:val>
            <c:numRef>
              <c:f>Лист1!$B$4:$J$4</c:f>
              <c:numCache>
                <c:formatCode>#,##0.00</c:formatCode>
                <c:ptCount val="9"/>
                <c:pt idx="0">
                  <c:v>1211024.9757886999</c:v>
                </c:pt>
                <c:pt idx="1">
                  <c:v>1054768.2409490501</c:v>
                </c:pt>
                <c:pt idx="2">
                  <c:v>863885.47152638005</c:v>
                </c:pt>
                <c:pt idx="3">
                  <c:v>719351.65230196004</c:v>
                </c:pt>
                <c:pt idx="4">
                  <c:v>779222.49074178003</c:v>
                </c:pt>
                <c:pt idx="5">
                  <c:v>764388.65735473705</c:v>
                </c:pt>
                <c:pt idx="6">
                  <c:v>829174.94602552999</c:v>
                </c:pt>
                <c:pt idx="7">
                  <c:v>1175760.3033708502</c:v>
                </c:pt>
                <c:pt idx="8">
                  <c:v>1109579.0659245001</c:v>
                </c:pt>
              </c:numCache>
            </c:numRef>
          </c:val>
          <c:extLst>
            <c:ext xmlns:c16="http://schemas.microsoft.com/office/drawing/2014/chart" uri="{C3380CC4-5D6E-409C-BE32-E72D297353CC}">
              <c16:uniqueId val="{00000001-2086-4FA7-8727-4053A9AADBCB}"/>
            </c:ext>
          </c:extLst>
        </c:ser>
        <c:dLbls>
          <c:showLegendKey val="0"/>
          <c:showVal val="0"/>
          <c:showCatName val="0"/>
          <c:showSerName val="0"/>
          <c:showPercent val="0"/>
          <c:showBubbleSize val="0"/>
        </c:dLbls>
        <c:gapWidth val="247"/>
        <c:axId val="1768619520"/>
        <c:axId val="-1353285056"/>
      </c:barChart>
      <c:lineChart>
        <c:grouping val="standard"/>
        <c:varyColors val="0"/>
        <c:ser>
          <c:idx val="0"/>
          <c:order val="0"/>
          <c:tx>
            <c:strRef>
              <c:f>Лист1!$A$2</c:f>
              <c:strCache>
                <c:ptCount val="1"/>
                <c:pt idx="0">
                  <c:v>Cпіввідношення регулятивного капіталу до зважених за ризиком активів, % </c:v>
                </c:pt>
              </c:strCache>
            </c:strRef>
          </c:tx>
          <c:spPr>
            <a:ln w="22225" cap="rnd">
              <a:solidFill>
                <a:schemeClr val="dk1">
                  <a:tint val="88500"/>
                </a:schemeClr>
              </a:solidFill>
              <a:round/>
            </a:ln>
            <a:effectLst/>
          </c:spPr>
          <c:marker>
            <c:symbol val="circle"/>
            <c:size val="6"/>
            <c:spPr>
              <a:solidFill>
                <a:schemeClr val="lt1"/>
              </a:solidFill>
              <a:ln w="15875">
                <a:solidFill>
                  <a:schemeClr val="dk1">
                    <a:tint val="88500"/>
                  </a:schemeClr>
                </a:solidFill>
                <a:round/>
              </a:ln>
              <a:effectLst/>
            </c:spPr>
          </c:marker>
          <c:cat>
            <c:strRef>
              <c:f>Лист1!$B$1:$J$1</c:f>
              <c:strCache>
                <c:ptCount val="9"/>
                <c:pt idx="0">
                  <c:v>2014Q4</c:v>
                </c:pt>
                <c:pt idx="1">
                  <c:v>2015Q4</c:v>
                </c:pt>
                <c:pt idx="2">
                  <c:v>2016Q4</c:v>
                </c:pt>
                <c:pt idx="3">
                  <c:v>2017Q4</c:v>
                </c:pt>
                <c:pt idx="4">
                  <c:v>2018Q4</c:v>
                </c:pt>
                <c:pt idx="5">
                  <c:v>2019Q4</c:v>
                </c:pt>
                <c:pt idx="6">
                  <c:v>2020Q4</c:v>
                </c:pt>
                <c:pt idx="7">
                  <c:v>2021Q4</c:v>
                </c:pt>
                <c:pt idx="8">
                  <c:v>2022Q3</c:v>
                </c:pt>
              </c:strCache>
            </c:strRef>
          </c:cat>
          <c:val>
            <c:numRef>
              <c:f>Лист1!$B$2:$J$2</c:f>
              <c:numCache>
                <c:formatCode>#,##0.00</c:formatCode>
                <c:ptCount val="9"/>
                <c:pt idx="0">
                  <c:v>15.6</c:v>
                </c:pt>
                <c:pt idx="1">
                  <c:v>12.31</c:v>
                </c:pt>
                <c:pt idx="2">
                  <c:v>12.69</c:v>
                </c:pt>
                <c:pt idx="3">
                  <c:v>16.100000000000001</c:v>
                </c:pt>
                <c:pt idx="4">
                  <c:v>16.18</c:v>
                </c:pt>
                <c:pt idx="5">
                  <c:v>19.66</c:v>
                </c:pt>
                <c:pt idx="6">
                  <c:v>21.98</c:v>
                </c:pt>
                <c:pt idx="7">
                  <c:v>18.010000000000002</c:v>
                </c:pt>
                <c:pt idx="8">
                  <c:v>18.850000000000001</c:v>
                </c:pt>
              </c:numCache>
            </c:numRef>
          </c:val>
          <c:smooth val="0"/>
          <c:extLst>
            <c:ext xmlns:c16="http://schemas.microsoft.com/office/drawing/2014/chart" uri="{C3380CC4-5D6E-409C-BE32-E72D297353CC}">
              <c16:uniqueId val="{00000002-2086-4FA7-8727-4053A9AADBCB}"/>
            </c:ext>
          </c:extLst>
        </c:ser>
        <c:ser>
          <c:idx val="3"/>
          <c:order val="3"/>
          <c:tx>
            <c:strRef>
              <c:f>Лист1!$A$5</c:f>
              <c:strCache>
                <c:ptCount val="1"/>
                <c:pt idx="0">
                  <c:v>Cпіввідношення регулятивного капіталу 1 рівня до зважених за ризиком активів, %</c:v>
                </c:pt>
              </c:strCache>
            </c:strRef>
          </c:tx>
          <c:spPr>
            <a:ln w="22225" cap="rnd">
              <a:solidFill>
                <a:schemeClr val="dk1">
                  <a:tint val="98500"/>
                </a:schemeClr>
              </a:solidFill>
              <a:round/>
            </a:ln>
            <a:effectLst/>
          </c:spPr>
          <c:marker>
            <c:symbol val="circle"/>
            <c:size val="6"/>
            <c:spPr>
              <a:solidFill>
                <a:schemeClr val="lt1"/>
              </a:solidFill>
              <a:ln w="15875">
                <a:solidFill>
                  <a:schemeClr val="dk1">
                    <a:tint val="98500"/>
                  </a:schemeClr>
                </a:solidFill>
                <a:round/>
              </a:ln>
              <a:effectLst/>
            </c:spPr>
          </c:marker>
          <c:cat>
            <c:strRef>
              <c:f>Лист1!$B$1:$J$1</c:f>
              <c:strCache>
                <c:ptCount val="9"/>
                <c:pt idx="0">
                  <c:v>2014Q4</c:v>
                </c:pt>
                <c:pt idx="1">
                  <c:v>2015Q4</c:v>
                </c:pt>
                <c:pt idx="2">
                  <c:v>2016Q4</c:v>
                </c:pt>
                <c:pt idx="3">
                  <c:v>2017Q4</c:v>
                </c:pt>
                <c:pt idx="4">
                  <c:v>2018Q4</c:v>
                </c:pt>
                <c:pt idx="5">
                  <c:v>2019Q4</c:v>
                </c:pt>
                <c:pt idx="6">
                  <c:v>2020Q4</c:v>
                </c:pt>
                <c:pt idx="7">
                  <c:v>2021Q4</c:v>
                </c:pt>
                <c:pt idx="8">
                  <c:v>2022Q3</c:v>
                </c:pt>
              </c:strCache>
            </c:strRef>
          </c:cat>
          <c:val>
            <c:numRef>
              <c:f>Лист1!$B$5:$J$5</c:f>
              <c:numCache>
                <c:formatCode>#,##0.00</c:formatCode>
                <c:ptCount val="9"/>
                <c:pt idx="0">
                  <c:v>11.21</c:v>
                </c:pt>
                <c:pt idx="1">
                  <c:v>8.3000000000000007</c:v>
                </c:pt>
                <c:pt idx="2">
                  <c:v>8.9600000000000009</c:v>
                </c:pt>
                <c:pt idx="3">
                  <c:v>12.12</c:v>
                </c:pt>
                <c:pt idx="4">
                  <c:v>10.52</c:v>
                </c:pt>
                <c:pt idx="5">
                  <c:v>13.5</c:v>
                </c:pt>
                <c:pt idx="6">
                  <c:v>15.67</c:v>
                </c:pt>
                <c:pt idx="7">
                  <c:v>11.99</c:v>
                </c:pt>
                <c:pt idx="8">
                  <c:v>12.75</c:v>
                </c:pt>
              </c:numCache>
            </c:numRef>
          </c:val>
          <c:smooth val="0"/>
          <c:extLst>
            <c:ext xmlns:c16="http://schemas.microsoft.com/office/drawing/2014/chart" uri="{C3380CC4-5D6E-409C-BE32-E72D297353CC}">
              <c16:uniqueId val="{00000003-2086-4FA7-8727-4053A9AADBCB}"/>
            </c:ext>
          </c:extLst>
        </c:ser>
        <c:dLbls>
          <c:showLegendKey val="0"/>
          <c:showVal val="0"/>
          <c:showCatName val="0"/>
          <c:showSerName val="0"/>
          <c:showPercent val="0"/>
          <c:showBubbleSize val="0"/>
        </c:dLbls>
        <c:marker val="1"/>
        <c:smooth val="0"/>
        <c:axId val="1768615424"/>
        <c:axId val="-1450641216"/>
      </c:lineChart>
      <c:catAx>
        <c:axId val="1768615424"/>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0"/>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50641216"/>
        <c:crosses val="autoZero"/>
        <c:auto val="1"/>
        <c:lblAlgn val="ctr"/>
        <c:lblOffset val="100"/>
        <c:noMultiLvlLbl val="0"/>
      </c:catAx>
      <c:valAx>
        <c:axId val="-1450641216"/>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68615424"/>
        <c:crosses val="autoZero"/>
        <c:crossBetween val="between"/>
      </c:valAx>
      <c:valAx>
        <c:axId val="-1353285056"/>
        <c:scaling>
          <c:orientation val="minMax"/>
        </c:scaling>
        <c:delete val="0"/>
        <c:axPos val="r"/>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68619520"/>
        <c:crosses val="max"/>
        <c:crossBetween val="between"/>
      </c:valAx>
      <c:catAx>
        <c:axId val="1768619520"/>
        <c:scaling>
          <c:orientation val="minMax"/>
        </c:scaling>
        <c:delete val="1"/>
        <c:axPos val="b"/>
        <c:numFmt formatCode="General" sourceLinked="1"/>
        <c:majorTickMark val="out"/>
        <c:minorTickMark val="none"/>
        <c:tickLblPos val="nextTo"/>
        <c:crossAx val="-1353285056"/>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legend>
      <c:legendPos val="b"/>
      <c:layout>
        <c:manualLayout>
          <c:xMode val="edge"/>
          <c:yMode val="edge"/>
          <c:x val="1.4872112211221124E-2"/>
          <c:y val="0.76264480948502111"/>
          <c:w val="0.96613036303630362"/>
          <c:h val="0.2201138112046338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lt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Лист1!$A$2</c:f>
              <c:strCache>
                <c:ptCount val="1"/>
                <c:pt idx="0">
                  <c:v>Кредити корпоративному сектору</c:v>
                </c:pt>
              </c:strCache>
            </c:strRef>
          </c:tx>
          <c:spPr>
            <a:ln w="31750" cap="rnd" cmpd="sng" algn="ctr">
              <a:solidFill>
                <a:schemeClr val="tx1"/>
              </a:solidFill>
              <a:round/>
            </a:ln>
            <a:effectLst/>
          </c:spPr>
          <c:marker>
            <c:symbol val="none"/>
          </c:marker>
          <c:cat>
            <c:numRef>
              <c:f>Лист1!$B$1:$BN$1</c:f>
              <c:numCache>
                <c:formatCode>m/d/yyyy</c:formatCode>
                <c:ptCount val="65"/>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pt idx="38">
                  <c:v>44256</c:v>
                </c:pt>
                <c:pt idx="39">
                  <c:v>44287</c:v>
                </c:pt>
                <c:pt idx="40">
                  <c:v>44317</c:v>
                </c:pt>
                <c:pt idx="41">
                  <c:v>44348</c:v>
                </c:pt>
                <c:pt idx="42">
                  <c:v>44378</c:v>
                </c:pt>
                <c:pt idx="43">
                  <c:v>44409</c:v>
                </c:pt>
                <c:pt idx="44">
                  <c:v>44440</c:v>
                </c:pt>
                <c:pt idx="45">
                  <c:v>44470</c:v>
                </c:pt>
                <c:pt idx="46">
                  <c:v>44501</c:v>
                </c:pt>
                <c:pt idx="47">
                  <c:v>44531</c:v>
                </c:pt>
                <c:pt idx="48">
                  <c:v>44562</c:v>
                </c:pt>
                <c:pt idx="49">
                  <c:v>44593</c:v>
                </c:pt>
                <c:pt idx="50">
                  <c:v>44621</c:v>
                </c:pt>
                <c:pt idx="51">
                  <c:v>44652</c:v>
                </c:pt>
                <c:pt idx="52">
                  <c:v>44682</c:v>
                </c:pt>
                <c:pt idx="53">
                  <c:v>44713</c:v>
                </c:pt>
                <c:pt idx="54">
                  <c:v>44743</c:v>
                </c:pt>
                <c:pt idx="55">
                  <c:v>44774</c:v>
                </c:pt>
                <c:pt idx="56">
                  <c:v>44805</c:v>
                </c:pt>
                <c:pt idx="57">
                  <c:v>44835</c:v>
                </c:pt>
                <c:pt idx="58">
                  <c:v>44866</c:v>
                </c:pt>
                <c:pt idx="59">
                  <c:v>44896</c:v>
                </c:pt>
                <c:pt idx="60">
                  <c:v>44927</c:v>
                </c:pt>
                <c:pt idx="61">
                  <c:v>44958</c:v>
                </c:pt>
                <c:pt idx="62">
                  <c:v>44986</c:v>
                </c:pt>
                <c:pt idx="63">
                  <c:v>45017</c:v>
                </c:pt>
                <c:pt idx="64">
                  <c:v>45047</c:v>
                </c:pt>
              </c:numCache>
            </c:numRef>
          </c:cat>
          <c:val>
            <c:numRef>
              <c:f>Лист1!$B$2:$BN$2</c:f>
              <c:numCache>
                <c:formatCode>#,##0.00</c:formatCode>
                <c:ptCount val="65"/>
                <c:pt idx="0">
                  <c:v>56.026797706316501</c:v>
                </c:pt>
                <c:pt idx="1">
                  <c:v>58.076681684981601</c:v>
                </c:pt>
                <c:pt idx="2">
                  <c:v>57.930373670164599</c:v>
                </c:pt>
                <c:pt idx="3">
                  <c:v>58.266035494135899</c:v>
                </c:pt>
                <c:pt idx="4">
                  <c:v>58.017774516970903</c:v>
                </c:pt>
                <c:pt idx="5">
                  <c:v>57.9552776967395</c:v>
                </c:pt>
                <c:pt idx="6">
                  <c:v>57.834527968065998</c:v>
                </c:pt>
                <c:pt idx="7">
                  <c:v>57.282793909498601</c:v>
                </c:pt>
                <c:pt idx="8">
                  <c:v>57.414137223046403</c:v>
                </c:pt>
                <c:pt idx="9">
                  <c:v>57.004258731458798</c:v>
                </c:pt>
                <c:pt idx="10">
                  <c:v>57.445859769888798</c:v>
                </c:pt>
                <c:pt idx="11">
                  <c:v>56.255667318717897</c:v>
                </c:pt>
                <c:pt idx="12">
                  <c:v>55.832535977131798</c:v>
                </c:pt>
                <c:pt idx="13">
                  <c:v>56.909893008130602</c:v>
                </c:pt>
                <c:pt idx="14">
                  <c:v>55.801590617581503</c:v>
                </c:pt>
                <c:pt idx="15">
                  <c:v>55.240275998903201</c:v>
                </c:pt>
                <c:pt idx="16">
                  <c:v>54.899195115030203</c:v>
                </c:pt>
                <c:pt idx="17">
                  <c:v>55.102139851544102</c:v>
                </c:pt>
                <c:pt idx="18">
                  <c:v>54.766711555903903</c:v>
                </c:pt>
                <c:pt idx="19">
                  <c:v>54.9434871587126</c:v>
                </c:pt>
                <c:pt idx="20">
                  <c:v>53.999489401967097</c:v>
                </c:pt>
                <c:pt idx="21">
                  <c:v>53.7231626302259</c:v>
                </c:pt>
                <c:pt idx="22">
                  <c:v>53.565914888173999</c:v>
                </c:pt>
                <c:pt idx="23">
                  <c:v>53.538920103355501</c:v>
                </c:pt>
                <c:pt idx="24">
                  <c:v>53.829383529919099</c:v>
                </c:pt>
                <c:pt idx="25">
                  <c:v>55.099566692263302</c:v>
                </c:pt>
                <c:pt idx="26">
                  <c:v>55.0356002460261</c:v>
                </c:pt>
                <c:pt idx="27">
                  <c:v>54.085547399739397</c:v>
                </c:pt>
                <c:pt idx="28">
                  <c:v>54.615260710441298</c:v>
                </c:pt>
                <c:pt idx="29">
                  <c:v>55.001076538496697</c:v>
                </c:pt>
                <c:pt idx="30">
                  <c:v>53.627362489201701</c:v>
                </c:pt>
                <c:pt idx="31">
                  <c:v>53.492952918847102</c:v>
                </c:pt>
                <c:pt idx="32">
                  <c:v>53.562045584313502</c:v>
                </c:pt>
                <c:pt idx="33">
                  <c:v>50.9415012149936</c:v>
                </c:pt>
                <c:pt idx="34">
                  <c:v>48.979503573160002</c:v>
                </c:pt>
                <c:pt idx="35">
                  <c:v>47.458131180776903</c:v>
                </c:pt>
                <c:pt idx="36">
                  <c:v>46.662587535706002</c:v>
                </c:pt>
                <c:pt idx="37">
                  <c:v>46.931068654578901</c:v>
                </c:pt>
                <c:pt idx="38">
                  <c:v>46.539907949008899</c:v>
                </c:pt>
                <c:pt idx="39">
                  <c:v>46.269101308125698</c:v>
                </c:pt>
                <c:pt idx="40">
                  <c:v>45.7779788728594</c:v>
                </c:pt>
                <c:pt idx="41">
                  <c:v>44.173446560300903</c:v>
                </c:pt>
                <c:pt idx="42">
                  <c:v>43.664236186948997</c:v>
                </c:pt>
                <c:pt idx="43">
                  <c:v>42.879505845422202</c:v>
                </c:pt>
                <c:pt idx="44">
                  <c:v>41.686401995486001</c:v>
                </c:pt>
                <c:pt idx="45">
                  <c:v>39.688368618969101</c:v>
                </c:pt>
                <c:pt idx="46">
                  <c:v>39.175026472998802</c:v>
                </c:pt>
                <c:pt idx="47">
                  <c:v>36.948634883969198</c:v>
                </c:pt>
                <c:pt idx="48">
                  <c:v>36.099045368322997</c:v>
                </c:pt>
                <c:pt idx="49">
                  <c:v>35.836827155229102</c:v>
                </c:pt>
                <c:pt idx="50">
                  <c:v>31.499039920222309</c:v>
                </c:pt>
                <c:pt idx="51">
                  <c:v>31.6448390833018</c:v>
                </c:pt>
                <c:pt idx="52">
                  <c:v>31.966777727172101</c:v>
                </c:pt>
                <c:pt idx="53">
                  <c:v>32.419361402729699</c:v>
                </c:pt>
                <c:pt idx="54">
                  <c:v>35.481522174144501</c:v>
                </c:pt>
                <c:pt idx="55">
                  <c:v>35.328645174245402</c:v>
                </c:pt>
                <c:pt idx="56">
                  <c:v>35.889687870815401</c:v>
                </c:pt>
                <c:pt idx="57">
                  <c:v>37.536550550567803</c:v>
                </c:pt>
                <c:pt idx="58">
                  <c:v>39.395148424765502</c:v>
                </c:pt>
                <c:pt idx="59">
                  <c:v>40.506634315074201</c:v>
                </c:pt>
                <c:pt idx="60">
                  <c:v>42.865424876665699</c:v>
                </c:pt>
                <c:pt idx="61">
                  <c:v>43.360934246498999</c:v>
                </c:pt>
                <c:pt idx="62">
                  <c:v>43.730674413938097</c:v>
                </c:pt>
                <c:pt idx="63">
                  <c:v>44.288090089906099</c:v>
                </c:pt>
                <c:pt idx="64">
                  <c:v>45.027291710696801</c:v>
                </c:pt>
              </c:numCache>
            </c:numRef>
          </c:val>
          <c:smooth val="0"/>
          <c:extLst>
            <c:ext xmlns:c16="http://schemas.microsoft.com/office/drawing/2014/chart" uri="{C3380CC4-5D6E-409C-BE32-E72D297353CC}">
              <c16:uniqueId val="{00000000-6EF8-463D-A675-805F1FC4BAFA}"/>
            </c:ext>
          </c:extLst>
        </c:ser>
        <c:ser>
          <c:idx val="1"/>
          <c:order val="1"/>
          <c:tx>
            <c:strRef>
              <c:f>Лист1!$A$3</c:f>
              <c:strCache>
                <c:ptCount val="1"/>
                <c:pt idx="0">
                  <c:v>Кредити фізичним особам </c:v>
                </c:pt>
              </c:strCache>
            </c:strRef>
          </c:tx>
          <c:spPr>
            <a:ln w="22225" cap="rnd" cmpd="sng" algn="ctr">
              <a:solidFill>
                <a:schemeClr val="dk1">
                  <a:tint val="55000"/>
                </a:schemeClr>
              </a:solidFill>
              <a:round/>
            </a:ln>
            <a:effectLst/>
          </c:spPr>
          <c:marker>
            <c:symbol val="none"/>
          </c:marker>
          <c:cat>
            <c:numRef>
              <c:f>Лист1!$B$1:$BN$1</c:f>
              <c:numCache>
                <c:formatCode>m/d/yyyy</c:formatCode>
                <c:ptCount val="65"/>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pt idx="38">
                  <c:v>44256</c:v>
                </c:pt>
                <c:pt idx="39">
                  <c:v>44287</c:v>
                </c:pt>
                <c:pt idx="40">
                  <c:v>44317</c:v>
                </c:pt>
                <c:pt idx="41">
                  <c:v>44348</c:v>
                </c:pt>
                <c:pt idx="42">
                  <c:v>44378</c:v>
                </c:pt>
                <c:pt idx="43">
                  <c:v>44409</c:v>
                </c:pt>
                <c:pt idx="44">
                  <c:v>44440</c:v>
                </c:pt>
                <c:pt idx="45">
                  <c:v>44470</c:v>
                </c:pt>
                <c:pt idx="46">
                  <c:v>44501</c:v>
                </c:pt>
                <c:pt idx="47">
                  <c:v>44531</c:v>
                </c:pt>
                <c:pt idx="48">
                  <c:v>44562</c:v>
                </c:pt>
                <c:pt idx="49">
                  <c:v>44593</c:v>
                </c:pt>
                <c:pt idx="50">
                  <c:v>44621</c:v>
                </c:pt>
                <c:pt idx="51">
                  <c:v>44652</c:v>
                </c:pt>
                <c:pt idx="52">
                  <c:v>44682</c:v>
                </c:pt>
                <c:pt idx="53">
                  <c:v>44713</c:v>
                </c:pt>
                <c:pt idx="54">
                  <c:v>44743</c:v>
                </c:pt>
                <c:pt idx="55">
                  <c:v>44774</c:v>
                </c:pt>
                <c:pt idx="56">
                  <c:v>44805</c:v>
                </c:pt>
                <c:pt idx="57">
                  <c:v>44835</c:v>
                </c:pt>
                <c:pt idx="58">
                  <c:v>44866</c:v>
                </c:pt>
                <c:pt idx="59">
                  <c:v>44896</c:v>
                </c:pt>
                <c:pt idx="60">
                  <c:v>44927</c:v>
                </c:pt>
                <c:pt idx="61">
                  <c:v>44958</c:v>
                </c:pt>
                <c:pt idx="62">
                  <c:v>44986</c:v>
                </c:pt>
                <c:pt idx="63">
                  <c:v>45017</c:v>
                </c:pt>
                <c:pt idx="64">
                  <c:v>45047</c:v>
                </c:pt>
              </c:numCache>
            </c:numRef>
          </c:cat>
          <c:val>
            <c:numRef>
              <c:f>Лист1!$B$3:$BN$3</c:f>
              <c:numCache>
                <c:formatCode>#,##0.00</c:formatCode>
                <c:ptCount val="65"/>
                <c:pt idx="0">
                  <c:v>53.513275183505399</c:v>
                </c:pt>
                <c:pt idx="1">
                  <c:v>55.002796644191001</c:v>
                </c:pt>
                <c:pt idx="2">
                  <c:v>53.923271554185298</c:v>
                </c:pt>
                <c:pt idx="3">
                  <c:v>53.133669583228098</c:v>
                </c:pt>
                <c:pt idx="4">
                  <c:v>52.820416891520097</c:v>
                </c:pt>
                <c:pt idx="5">
                  <c:v>51.808520022249198</c:v>
                </c:pt>
                <c:pt idx="6">
                  <c:v>51.323880682169097</c:v>
                </c:pt>
                <c:pt idx="7">
                  <c:v>50.718766326823598</c:v>
                </c:pt>
                <c:pt idx="8">
                  <c:v>50.423187318315399</c:v>
                </c:pt>
                <c:pt idx="9">
                  <c:v>49.623267682576902</c:v>
                </c:pt>
                <c:pt idx="10">
                  <c:v>48.558375810321202</c:v>
                </c:pt>
                <c:pt idx="11">
                  <c:v>48.215724090356503</c:v>
                </c:pt>
                <c:pt idx="12">
                  <c:v>46.036212943118997</c:v>
                </c:pt>
                <c:pt idx="13">
                  <c:v>45.5601088707852</c:v>
                </c:pt>
                <c:pt idx="14">
                  <c:v>44.600550791798298</c:v>
                </c:pt>
                <c:pt idx="15">
                  <c:v>44.117275885763497</c:v>
                </c:pt>
                <c:pt idx="16">
                  <c:v>42.62950047919</c:v>
                </c:pt>
                <c:pt idx="17">
                  <c:v>41.819304516677597</c:v>
                </c:pt>
                <c:pt idx="18">
                  <c:v>41.061981601404298</c:v>
                </c:pt>
                <c:pt idx="19">
                  <c:v>39.9615982842626</c:v>
                </c:pt>
                <c:pt idx="20">
                  <c:v>39.491053603409703</c:v>
                </c:pt>
                <c:pt idx="21">
                  <c:v>38.142059859047798</c:v>
                </c:pt>
                <c:pt idx="22">
                  <c:v>37.9265905406915</c:v>
                </c:pt>
                <c:pt idx="23">
                  <c:v>37.216846464842298</c:v>
                </c:pt>
                <c:pt idx="24">
                  <c:v>34.108043475889303</c:v>
                </c:pt>
                <c:pt idx="25">
                  <c:v>34.5806018888387</c:v>
                </c:pt>
                <c:pt idx="26">
                  <c:v>33.8856989109577</c:v>
                </c:pt>
                <c:pt idx="27">
                  <c:v>35.3177024398668</c:v>
                </c:pt>
                <c:pt idx="28">
                  <c:v>35.752569401463703</c:v>
                </c:pt>
                <c:pt idx="29">
                  <c:v>36.2508584775494</c:v>
                </c:pt>
                <c:pt idx="30">
                  <c:v>36.237221366412498</c:v>
                </c:pt>
                <c:pt idx="31">
                  <c:v>36.396441371180202</c:v>
                </c:pt>
                <c:pt idx="32">
                  <c:v>35.922010404971601</c:v>
                </c:pt>
                <c:pt idx="33">
                  <c:v>34.7744416881782</c:v>
                </c:pt>
                <c:pt idx="34">
                  <c:v>30.673778274945601</c:v>
                </c:pt>
                <c:pt idx="35">
                  <c:v>29.603512963012498</c:v>
                </c:pt>
                <c:pt idx="36">
                  <c:v>27.943618101865599</c:v>
                </c:pt>
                <c:pt idx="37">
                  <c:v>27.8622759929616</c:v>
                </c:pt>
                <c:pt idx="38">
                  <c:v>26.642857333763899</c:v>
                </c:pt>
                <c:pt idx="39">
                  <c:v>25.509221778045699</c:v>
                </c:pt>
                <c:pt idx="40">
                  <c:v>25.283291903549799</c:v>
                </c:pt>
                <c:pt idx="41">
                  <c:v>23.3958332246292</c:v>
                </c:pt>
                <c:pt idx="42">
                  <c:v>22.402948135632201</c:v>
                </c:pt>
                <c:pt idx="43">
                  <c:v>21.276131954252499</c:v>
                </c:pt>
                <c:pt idx="44">
                  <c:v>20.018912606583999</c:v>
                </c:pt>
                <c:pt idx="45">
                  <c:v>19.115649697372199</c:v>
                </c:pt>
                <c:pt idx="46">
                  <c:v>18.051562339999599</c:v>
                </c:pt>
                <c:pt idx="47">
                  <c:v>17.694818752040302</c:v>
                </c:pt>
                <c:pt idx="48">
                  <c:v>16.859825914592101</c:v>
                </c:pt>
                <c:pt idx="49">
                  <c:v>16.824228839375799</c:v>
                </c:pt>
                <c:pt idx="50">
                  <c:v>15.922863399612385</c:v>
                </c:pt>
                <c:pt idx="51">
                  <c:v>16.085046885075599</c:v>
                </c:pt>
                <c:pt idx="52">
                  <c:v>16.2675003100032</c:v>
                </c:pt>
                <c:pt idx="53">
                  <c:v>16.578058301309699</c:v>
                </c:pt>
                <c:pt idx="54">
                  <c:v>16.005186082639799</c:v>
                </c:pt>
                <c:pt idx="55">
                  <c:v>18.242184689727601</c:v>
                </c:pt>
                <c:pt idx="56">
                  <c:v>19.247228906040501</c:v>
                </c:pt>
                <c:pt idx="57">
                  <c:v>27.577370571255699</c:v>
                </c:pt>
                <c:pt idx="58">
                  <c:v>30.269537396098801</c:v>
                </c:pt>
                <c:pt idx="59">
                  <c:v>32.035226116431303</c:v>
                </c:pt>
                <c:pt idx="60">
                  <c:v>30.4433186653931</c:v>
                </c:pt>
                <c:pt idx="61">
                  <c:v>32.401935684177602</c:v>
                </c:pt>
                <c:pt idx="62">
                  <c:v>32.3824824683198</c:v>
                </c:pt>
                <c:pt idx="63">
                  <c:v>32.035423277600401</c:v>
                </c:pt>
                <c:pt idx="64">
                  <c:v>31.605290423658801</c:v>
                </c:pt>
              </c:numCache>
            </c:numRef>
          </c:val>
          <c:smooth val="0"/>
          <c:extLst>
            <c:ext xmlns:c16="http://schemas.microsoft.com/office/drawing/2014/chart" uri="{C3380CC4-5D6E-409C-BE32-E72D297353CC}">
              <c16:uniqueId val="{00000001-6EF8-463D-A675-805F1FC4BAFA}"/>
            </c:ext>
          </c:extLst>
        </c:ser>
        <c:ser>
          <c:idx val="2"/>
          <c:order val="2"/>
          <c:tx>
            <c:strRef>
              <c:f>Лист1!$A$4</c:f>
              <c:strCache>
                <c:ptCount val="1"/>
                <c:pt idx="0">
                  <c:v>Міжбанківські кредити, депозити (за виключенням коррахунків)</c:v>
                </c:pt>
              </c:strCache>
            </c:strRef>
          </c:tx>
          <c:spPr>
            <a:ln w="22225" cap="rnd" cmpd="sng" algn="ctr">
              <a:solidFill>
                <a:schemeClr val="dk1">
                  <a:tint val="75000"/>
                </a:schemeClr>
              </a:solidFill>
              <a:round/>
            </a:ln>
            <a:effectLst/>
          </c:spPr>
          <c:marker>
            <c:symbol val="none"/>
          </c:marker>
          <c:cat>
            <c:numRef>
              <c:f>Лист1!$B$1:$BN$1</c:f>
              <c:numCache>
                <c:formatCode>m/d/yyyy</c:formatCode>
                <c:ptCount val="65"/>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pt idx="38">
                  <c:v>44256</c:v>
                </c:pt>
                <c:pt idx="39">
                  <c:v>44287</c:v>
                </c:pt>
                <c:pt idx="40">
                  <c:v>44317</c:v>
                </c:pt>
                <c:pt idx="41">
                  <c:v>44348</c:v>
                </c:pt>
                <c:pt idx="42">
                  <c:v>44378</c:v>
                </c:pt>
                <c:pt idx="43">
                  <c:v>44409</c:v>
                </c:pt>
                <c:pt idx="44">
                  <c:v>44440</c:v>
                </c:pt>
                <c:pt idx="45">
                  <c:v>44470</c:v>
                </c:pt>
                <c:pt idx="46">
                  <c:v>44501</c:v>
                </c:pt>
                <c:pt idx="47">
                  <c:v>44531</c:v>
                </c:pt>
                <c:pt idx="48">
                  <c:v>44562</c:v>
                </c:pt>
                <c:pt idx="49">
                  <c:v>44593</c:v>
                </c:pt>
                <c:pt idx="50">
                  <c:v>44621</c:v>
                </c:pt>
                <c:pt idx="51">
                  <c:v>44652</c:v>
                </c:pt>
                <c:pt idx="52">
                  <c:v>44682</c:v>
                </c:pt>
                <c:pt idx="53">
                  <c:v>44713</c:v>
                </c:pt>
                <c:pt idx="54">
                  <c:v>44743</c:v>
                </c:pt>
                <c:pt idx="55">
                  <c:v>44774</c:v>
                </c:pt>
                <c:pt idx="56">
                  <c:v>44805</c:v>
                </c:pt>
                <c:pt idx="57">
                  <c:v>44835</c:v>
                </c:pt>
                <c:pt idx="58">
                  <c:v>44866</c:v>
                </c:pt>
                <c:pt idx="59">
                  <c:v>44896</c:v>
                </c:pt>
                <c:pt idx="60">
                  <c:v>44927</c:v>
                </c:pt>
                <c:pt idx="61">
                  <c:v>44958</c:v>
                </c:pt>
                <c:pt idx="62">
                  <c:v>44986</c:v>
                </c:pt>
                <c:pt idx="63">
                  <c:v>45017</c:v>
                </c:pt>
                <c:pt idx="64">
                  <c:v>45047</c:v>
                </c:pt>
              </c:numCache>
            </c:numRef>
          </c:cat>
          <c:val>
            <c:numRef>
              <c:f>Лист1!$B$4:$BN$4</c:f>
              <c:numCache>
                <c:formatCode>#,##0.00</c:formatCode>
                <c:ptCount val="65"/>
                <c:pt idx="0">
                  <c:v>6.2224835566941401</c:v>
                </c:pt>
                <c:pt idx="1">
                  <c:v>7.5549321942837997</c:v>
                </c:pt>
                <c:pt idx="2">
                  <c:v>6.5206360905789102</c:v>
                </c:pt>
                <c:pt idx="3">
                  <c:v>6.6462456860109604</c:v>
                </c:pt>
                <c:pt idx="4">
                  <c:v>6.5806199390988196</c:v>
                </c:pt>
                <c:pt idx="5">
                  <c:v>7.00987805502242</c:v>
                </c:pt>
                <c:pt idx="6">
                  <c:v>6.0401402930451198</c:v>
                </c:pt>
                <c:pt idx="7">
                  <c:v>5.0633968390198403</c:v>
                </c:pt>
                <c:pt idx="8">
                  <c:v>5.1860166719745999</c:v>
                </c:pt>
                <c:pt idx="9">
                  <c:v>4.0453445163196902</c:v>
                </c:pt>
                <c:pt idx="10">
                  <c:v>4.2605419264349598</c:v>
                </c:pt>
                <c:pt idx="11">
                  <c:v>5.0642907200877803</c:v>
                </c:pt>
                <c:pt idx="12">
                  <c:v>3.7144172326175502</c:v>
                </c:pt>
                <c:pt idx="13">
                  <c:v>2.8927039997810202</c:v>
                </c:pt>
                <c:pt idx="14">
                  <c:v>3.1866457668587702</c:v>
                </c:pt>
                <c:pt idx="15">
                  <c:v>3.0855996663726901</c:v>
                </c:pt>
                <c:pt idx="16">
                  <c:v>3.8045334021600401</c:v>
                </c:pt>
                <c:pt idx="17">
                  <c:v>3.5778934635347399</c:v>
                </c:pt>
                <c:pt idx="18">
                  <c:v>3.2891444053255698</c:v>
                </c:pt>
                <c:pt idx="19">
                  <c:v>2.4694156896509001</c:v>
                </c:pt>
                <c:pt idx="20">
                  <c:v>2.2987660599447599</c:v>
                </c:pt>
                <c:pt idx="21">
                  <c:v>2.5879991195528702</c:v>
                </c:pt>
                <c:pt idx="22">
                  <c:v>2.53422196401843</c:v>
                </c:pt>
                <c:pt idx="23">
                  <c:v>2.7450750427216302</c:v>
                </c:pt>
                <c:pt idx="24">
                  <c:v>3.0169307734117301</c:v>
                </c:pt>
                <c:pt idx="25">
                  <c:v>2.5336716659615699</c:v>
                </c:pt>
                <c:pt idx="26">
                  <c:v>2.3359795785752699</c:v>
                </c:pt>
                <c:pt idx="27">
                  <c:v>3.00285659128305</c:v>
                </c:pt>
                <c:pt idx="28">
                  <c:v>3.0108596993132699</c:v>
                </c:pt>
                <c:pt idx="29">
                  <c:v>2.8849477217545001</c:v>
                </c:pt>
                <c:pt idx="30">
                  <c:v>2.98669769528609</c:v>
                </c:pt>
                <c:pt idx="31">
                  <c:v>2.53929208605659</c:v>
                </c:pt>
                <c:pt idx="32">
                  <c:v>2.52215572448883</c:v>
                </c:pt>
                <c:pt idx="33">
                  <c:v>2.3388998056661299</c:v>
                </c:pt>
                <c:pt idx="34">
                  <c:v>2.3815209248198599</c:v>
                </c:pt>
                <c:pt idx="35">
                  <c:v>2.7357256618922201</c:v>
                </c:pt>
                <c:pt idx="36">
                  <c:v>2.88896457012076</c:v>
                </c:pt>
                <c:pt idx="37">
                  <c:v>2.7317365437419499</c:v>
                </c:pt>
                <c:pt idx="38">
                  <c:v>2.8038925883141399</c:v>
                </c:pt>
                <c:pt idx="39">
                  <c:v>2.5062583663849698</c:v>
                </c:pt>
                <c:pt idx="40">
                  <c:v>2.48892628431584</c:v>
                </c:pt>
                <c:pt idx="41">
                  <c:v>2.4066895789612901</c:v>
                </c:pt>
                <c:pt idx="42">
                  <c:v>1.92004958183283</c:v>
                </c:pt>
                <c:pt idx="43">
                  <c:v>1.1240997454677299</c:v>
                </c:pt>
                <c:pt idx="44">
                  <c:v>1.09590480503474</c:v>
                </c:pt>
                <c:pt idx="45">
                  <c:v>1.02650363336219</c:v>
                </c:pt>
                <c:pt idx="46">
                  <c:v>0.71227863264126801</c:v>
                </c:pt>
                <c:pt idx="47">
                  <c:v>0.62132879800767005</c:v>
                </c:pt>
                <c:pt idx="48">
                  <c:v>0.83652302591985706</c:v>
                </c:pt>
                <c:pt idx="49">
                  <c:v>0.72853982540611395</c:v>
                </c:pt>
                <c:pt idx="50">
                  <c:v>1.8191843355121529</c:v>
                </c:pt>
                <c:pt idx="51">
                  <c:v>3.5363180294648</c:v>
                </c:pt>
                <c:pt idx="52">
                  <c:v>2.5400166918690199</c:v>
                </c:pt>
                <c:pt idx="53">
                  <c:v>2.0921486967325799E-2</c:v>
                </c:pt>
                <c:pt idx="54">
                  <c:v>1.5539166357430301E-2</c:v>
                </c:pt>
                <c:pt idx="55">
                  <c:v>1.34285702975854E-2</c:v>
                </c:pt>
                <c:pt idx="56">
                  <c:v>1.5619880538001001E-2</c:v>
                </c:pt>
                <c:pt idx="57">
                  <c:v>0.14171898895635099</c:v>
                </c:pt>
                <c:pt idx="58">
                  <c:v>0.13685287150699199</c:v>
                </c:pt>
                <c:pt idx="59">
                  <c:v>0.138939256498856</c:v>
                </c:pt>
                <c:pt idx="60">
                  <c:v>1.2104937804739599E-2</c:v>
                </c:pt>
                <c:pt idx="61">
                  <c:v>8.0695112993499508E-3</c:v>
                </c:pt>
                <c:pt idx="62">
                  <c:v>7.9417632484026605E-3</c:v>
                </c:pt>
                <c:pt idx="63">
                  <c:v>8.1740836983757198E-2</c:v>
                </c:pt>
                <c:pt idx="64">
                  <c:v>8.4416552220771907E-2</c:v>
                </c:pt>
              </c:numCache>
            </c:numRef>
          </c:val>
          <c:smooth val="0"/>
          <c:extLst>
            <c:ext xmlns:c16="http://schemas.microsoft.com/office/drawing/2014/chart" uri="{C3380CC4-5D6E-409C-BE32-E72D297353CC}">
              <c16:uniqueId val="{00000002-6EF8-463D-A675-805F1FC4BAFA}"/>
            </c:ext>
          </c:extLst>
        </c:ser>
        <c:ser>
          <c:idx val="3"/>
          <c:order val="3"/>
          <c:tx>
            <c:strRef>
              <c:f>Лист1!$A$5</c:f>
              <c:strCache>
                <c:ptCount val="1"/>
                <c:pt idx="0">
                  <c:v>Кредити органам державної влади та місцевого самоврядування</c:v>
                </c:pt>
              </c:strCache>
            </c:strRef>
          </c:tx>
          <c:spPr>
            <a:ln w="22225" cap="rnd" cmpd="sng" algn="ctr">
              <a:solidFill>
                <a:schemeClr val="dk1">
                  <a:tint val="98500"/>
                </a:schemeClr>
              </a:solidFill>
              <a:round/>
            </a:ln>
            <a:effectLst/>
          </c:spPr>
          <c:marker>
            <c:symbol val="none"/>
          </c:marker>
          <c:cat>
            <c:numRef>
              <c:f>Лист1!$B$1:$BN$1</c:f>
              <c:numCache>
                <c:formatCode>m/d/yyyy</c:formatCode>
                <c:ptCount val="65"/>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pt idx="38">
                  <c:v>44256</c:v>
                </c:pt>
                <c:pt idx="39">
                  <c:v>44287</c:v>
                </c:pt>
                <c:pt idx="40">
                  <c:v>44317</c:v>
                </c:pt>
                <c:pt idx="41">
                  <c:v>44348</c:v>
                </c:pt>
                <c:pt idx="42">
                  <c:v>44378</c:v>
                </c:pt>
                <c:pt idx="43">
                  <c:v>44409</c:v>
                </c:pt>
                <c:pt idx="44">
                  <c:v>44440</c:v>
                </c:pt>
                <c:pt idx="45">
                  <c:v>44470</c:v>
                </c:pt>
                <c:pt idx="46">
                  <c:v>44501</c:v>
                </c:pt>
                <c:pt idx="47">
                  <c:v>44531</c:v>
                </c:pt>
                <c:pt idx="48">
                  <c:v>44562</c:v>
                </c:pt>
                <c:pt idx="49">
                  <c:v>44593</c:v>
                </c:pt>
                <c:pt idx="50">
                  <c:v>44621</c:v>
                </c:pt>
                <c:pt idx="51">
                  <c:v>44652</c:v>
                </c:pt>
                <c:pt idx="52">
                  <c:v>44682</c:v>
                </c:pt>
                <c:pt idx="53">
                  <c:v>44713</c:v>
                </c:pt>
                <c:pt idx="54">
                  <c:v>44743</c:v>
                </c:pt>
                <c:pt idx="55">
                  <c:v>44774</c:v>
                </c:pt>
                <c:pt idx="56">
                  <c:v>44805</c:v>
                </c:pt>
                <c:pt idx="57">
                  <c:v>44835</c:v>
                </c:pt>
                <c:pt idx="58">
                  <c:v>44866</c:v>
                </c:pt>
                <c:pt idx="59">
                  <c:v>44896</c:v>
                </c:pt>
                <c:pt idx="60">
                  <c:v>44927</c:v>
                </c:pt>
                <c:pt idx="61">
                  <c:v>44958</c:v>
                </c:pt>
                <c:pt idx="62">
                  <c:v>44986</c:v>
                </c:pt>
                <c:pt idx="63">
                  <c:v>45017</c:v>
                </c:pt>
                <c:pt idx="64">
                  <c:v>45047</c:v>
                </c:pt>
              </c:numCache>
            </c:numRef>
          </c:cat>
          <c:val>
            <c:numRef>
              <c:f>Лист1!$B$5:$BN$5</c:f>
              <c:numCache>
                <c:formatCode>#,##0.00</c:formatCode>
                <c:ptCount val="65"/>
                <c:pt idx="0">
                  <c:v>0.68813788352742</c:v>
                </c:pt>
                <c:pt idx="1">
                  <c:v>4.8037887306594298</c:v>
                </c:pt>
                <c:pt idx="2">
                  <c:v>4.76043110652033</c:v>
                </c:pt>
                <c:pt idx="3">
                  <c:v>57.488317436369996</c:v>
                </c:pt>
                <c:pt idx="4">
                  <c:v>56.323545091928203</c:v>
                </c:pt>
                <c:pt idx="5">
                  <c:v>91.4882721630444</c:v>
                </c:pt>
                <c:pt idx="6">
                  <c:v>56.3773467400611</c:v>
                </c:pt>
                <c:pt idx="7">
                  <c:v>47.938536078088902</c:v>
                </c:pt>
                <c:pt idx="8">
                  <c:v>41.979877944511699</c:v>
                </c:pt>
                <c:pt idx="9">
                  <c:v>37.866125287901802</c:v>
                </c:pt>
                <c:pt idx="10">
                  <c:v>36.604942763902002</c:v>
                </c:pt>
                <c:pt idx="11">
                  <c:v>34.866669106433903</c:v>
                </c:pt>
                <c:pt idx="12">
                  <c:v>29.220157013824899</c:v>
                </c:pt>
                <c:pt idx="13">
                  <c:v>29.063545169204701</c:v>
                </c:pt>
                <c:pt idx="14">
                  <c:v>29.143908431186901</c:v>
                </c:pt>
                <c:pt idx="15">
                  <c:v>28.892568030902801</c:v>
                </c:pt>
                <c:pt idx="16">
                  <c:v>27.5285156923327</c:v>
                </c:pt>
                <c:pt idx="17">
                  <c:v>2.7728470741551998</c:v>
                </c:pt>
                <c:pt idx="18">
                  <c:v>2.7438325422182501</c:v>
                </c:pt>
                <c:pt idx="19">
                  <c:v>2.76228203682843</c:v>
                </c:pt>
                <c:pt idx="20">
                  <c:v>25.635544958260301</c:v>
                </c:pt>
                <c:pt idx="21">
                  <c:v>22.804227134421801</c:v>
                </c:pt>
                <c:pt idx="22">
                  <c:v>18.331389506723699</c:v>
                </c:pt>
                <c:pt idx="23">
                  <c:v>16.8224067639072</c:v>
                </c:pt>
                <c:pt idx="24">
                  <c:v>14.479701301857499</c:v>
                </c:pt>
                <c:pt idx="25">
                  <c:v>14.2767869892873</c:v>
                </c:pt>
                <c:pt idx="26">
                  <c:v>14.549139822957301</c:v>
                </c:pt>
                <c:pt idx="27">
                  <c:v>14.576027627463199</c:v>
                </c:pt>
                <c:pt idx="28">
                  <c:v>1.66564565251008</c:v>
                </c:pt>
                <c:pt idx="29">
                  <c:v>1.6048111120583599</c:v>
                </c:pt>
                <c:pt idx="30">
                  <c:v>1.4668623512982999</c:v>
                </c:pt>
                <c:pt idx="31">
                  <c:v>1.39666090110546</c:v>
                </c:pt>
                <c:pt idx="32">
                  <c:v>4.8216772280990599</c:v>
                </c:pt>
                <c:pt idx="33">
                  <c:v>1.20656160756286</c:v>
                </c:pt>
                <c:pt idx="34">
                  <c:v>7.0571495553130598E-3</c:v>
                </c:pt>
                <c:pt idx="35">
                  <c:v>1.6141949697646599E-2</c:v>
                </c:pt>
                <c:pt idx="36">
                  <c:v>2.5567267182953698E-3</c:v>
                </c:pt>
                <c:pt idx="37">
                  <c:v>2.5960925982041298E-3</c:v>
                </c:pt>
                <c:pt idx="38">
                  <c:v>2.6656295719499098E-3</c:v>
                </c:pt>
                <c:pt idx="39">
                  <c:v>2.6682363516341901E-3</c:v>
                </c:pt>
                <c:pt idx="40">
                  <c:v>2.8268690776059899E-3</c:v>
                </c:pt>
                <c:pt idx="41">
                  <c:v>2.7746559775576199E-3</c:v>
                </c:pt>
                <c:pt idx="42">
                  <c:v>2.6758134742285201E-3</c:v>
                </c:pt>
                <c:pt idx="43">
                  <c:v>2.6269913784239501E-3</c:v>
                </c:pt>
                <c:pt idx="44">
                  <c:v>1.81146561631255E-3</c:v>
                </c:pt>
                <c:pt idx="45">
                  <c:v>1.4868464009948101E-3</c:v>
                </c:pt>
                <c:pt idx="46">
                  <c:v>1.3343575035533999E-3</c:v>
                </c:pt>
                <c:pt idx="47">
                  <c:v>1.1837509684832601E-3</c:v>
                </c:pt>
                <c:pt idx="48">
                  <c:v>1.1096098796515299E-3</c:v>
                </c:pt>
                <c:pt idx="49">
                  <c:v>1.0936651395456699E-3</c:v>
                </c:pt>
                <c:pt idx="50">
                  <c:v>2.1262581500342374E-2</c:v>
                </c:pt>
                <c:pt idx="51">
                  <c:v>1.11216251277023E-3</c:v>
                </c:pt>
                <c:pt idx="52">
                  <c:v>0.859790855645855</c:v>
                </c:pt>
                <c:pt idx="53">
                  <c:v>0.86930173566624602</c:v>
                </c:pt>
                <c:pt idx="54">
                  <c:v>0.90362345689696599</c:v>
                </c:pt>
                <c:pt idx="55">
                  <c:v>0.85742756346529703</c:v>
                </c:pt>
                <c:pt idx="56">
                  <c:v>0.87027690142096903</c:v>
                </c:pt>
                <c:pt idx="57">
                  <c:v>0.91452747733655804</c:v>
                </c:pt>
                <c:pt idx="58">
                  <c:v>0.91275914683954196</c:v>
                </c:pt>
                <c:pt idx="59">
                  <c:v>0.90129319413060105</c:v>
                </c:pt>
                <c:pt idx="60">
                  <c:v>2.0435551473527598</c:v>
                </c:pt>
                <c:pt idx="61">
                  <c:v>2.1032234814856499</c:v>
                </c:pt>
                <c:pt idx="62">
                  <c:v>2.1520278479320001</c:v>
                </c:pt>
                <c:pt idx="63">
                  <c:v>2.2087540753023598</c:v>
                </c:pt>
                <c:pt idx="64">
                  <c:v>2.2528411004556301</c:v>
                </c:pt>
              </c:numCache>
            </c:numRef>
          </c:val>
          <c:smooth val="0"/>
          <c:extLst>
            <c:ext xmlns:c16="http://schemas.microsoft.com/office/drawing/2014/chart" uri="{C3380CC4-5D6E-409C-BE32-E72D297353CC}">
              <c16:uniqueId val="{00000003-6EF8-463D-A675-805F1FC4BAFA}"/>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571878863"/>
        <c:axId val="1571869743"/>
      </c:lineChart>
      <c:dateAx>
        <c:axId val="1571878863"/>
        <c:scaling>
          <c:orientation val="minMax"/>
        </c:scaling>
        <c:delete val="0"/>
        <c:axPos val="b"/>
        <c:numFmt formatCode="m/d/yyyy"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571869743"/>
        <c:crosses val="autoZero"/>
        <c:auto val="1"/>
        <c:lblOffset val="100"/>
        <c:baseTimeUnit val="months"/>
      </c:dateAx>
      <c:valAx>
        <c:axId val="1571869743"/>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571878863"/>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lt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1"/>
          <c:order val="1"/>
          <c:tx>
            <c:strRef>
              <c:f>Лист2!$A$3</c:f>
              <c:strCache>
                <c:ptCount val="1"/>
                <c:pt idx="0">
                  <c:v>Недіючі кредити без урахування резервів, тис. грн</c:v>
                </c:pt>
              </c:strCache>
            </c:strRef>
          </c:tx>
          <c:spPr>
            <a:solidFill>
              <a:schemeClr val="tx1">
                <a:lumMod val="65000"/>
                <a:lumOff val="35000"/>
              </a:schemeClr>
            </a:solidFill>
            <a:ln>
              <a:noFill/>
            </a:ln>
            <a:effectLst/>
          </c:spPr>
          <c:invertIfNegative val="0"/>
          <c:cat>
            <c:strRef>
              <c:f>Лист2!$B$1:$J$1</c:f>
              <c:strCache>
                <c:ptCount val="9"/>
                <c:pt idx="0">
                  <c:v>2014Q4</c:v>
                </c:pt>
                <c:pt idx="1">
                  <c:v>2015Q4</c:v>
                </c:pt>
                <c:pt idx="2">
                  <c:v>2016Q4</c:v>
                </c:pt>
                <c:pt idx="3">
                  <c:v>2017Q4</c:v>
                </c:pt>
                <c:pt idx="4">
                  <c:v>2018Q4</c:v>
                </c:pt>
                <c:pt idx="5">
                  <c:v>2019Q4</c:v>
                </c:pt>
                <c:pt idx="6">
                  <c:v>2020Q4</c:v>
                </c:pt>
                <c:pt idx="7">
                  <c:v>2021Q4</c:v>
                </c:pt>
                <c:pt idx="8">
                  <c:v>2022Q3</c:v>
                </c:pt>
              </c:strCache>
            </c:strRef>
          </c:cat>
          <c:val>
            <c:numRef>
              <c:f>Лист2!$B$3:$J$3</c:f>
              <c:numCache>
                <c:formatCode>#,##0.00</c:formatCode>
                <c:ptCount val="9"/>
                <c:pt idx="0">
                  <c:v>90199.179602519958</c:v>
                </c:pt>
                <c:pt idx="1">
                  <c:v>131036.39944973995</c:v>
                </c:pt>
                <c:pt idx="2">
                  <c:v>111391.90555264003</c:v>
                </c:pt>
                <c:pt idx="3">
                  <c:v>112167.53860656003</c:v>
                </c:pt>
                <c:pt idx="4">
                  <c:v>88136.805641720071</c:v>
                </c:pt>
                <c:pt idx="5">
                  <c:v>50777.807219640003</c:v>
                </c:pt>
                <c:pt idx="6">
                  <c:v>46196.981832429999</c:v>
                </c:pt>
                <c:pt idx="7">
                  <c:v>29137.53095715004</c:v>
                </c:pt>
                <c:pt idx="8">
                  <c:v>51159.238515520003</c:v>
                </c:pt>
              </c:numCache>
            </c:numRef>
          </c:val>
          <c:extLst>
            <c:ext xmlns:c16="http://schemas.microsoft.com/office/drawing/2014/chart" uri="{C3380CC4-5D6E-409C-BE32-E72D297353CC}">
              <c16:uniqueId val="{00000000-5DC9-4FA2-A245-352BC3D4FCEE}"/>
            </c:ext>
          </c:extLst>
        </c:ser>
        <c:dLbls>
          <c:showLegendKey val="0"/>
          <c:showVal val="0"/>
          <c:showCatName val="0"/>
          <c:showSerName val="0"/>
          <c:showPercent val="0"/>
          <c:showBubbleSize val="0"/>
        </c:dLbls>
        <c:gapWidth val="247"/>
        <c:axId val="1864737792"/>
        <c:axId val="-1288552448"/>
      </c:barChart>
      <c:lineChart>
        <c:grouping val="standard"/>
        <c:varyColors val="0"/>
        <c:ser>
          <c:idx val="0"/>
          <c:order val="0"/>
          <c:tx>
            <c:strRef>
              <c:f>Лист2!$A$2</c:f>
              <c:strCache>
                <c:ptCount val="1"/>
                <c:pt idx="0">
                  <c:v>Cпіввідношення недіючих кредитів без урахування резервів до капіталу, %</c:v>
                </c:pt>
              </c:strCache>
            </c:strRef>
          </c:tx>
          <c:spPr>
            <a:ln w="22225" cap="rnd">
              <a:solidFill>
                <a:schemeClr val="tx1"/>
              </a:solidFill>
              <a:prstDash val="sysDot"/>
              <a:round/>
            </a:ln>
            <a:effectLst/>
          </c:spPr>
          <c:marker>
            <c:symbol val="none"/>
          </c:marker>
          <c:cat>
            <c:strRef>
              <c:f>Лист2!$B$1:$J$1</c:f>
              <c:strCache>
                <c:ptCount val="9"/>
                <c:pt idx="0">
                  <c:v>2014Q4</c:v>
                </c:pt>
                <c:pt idx="1">
                  <c:v>2015Q4</c:v>
                </c:pt>
                <c:pt idx="2">
                  <c:v>2016Q4</c:v>
                </c:pt>
                <c:pt idx="3">
                  <c:v>2017Q4</c:v>
                </c:pt>
                <c:pt idx="4">
                  <c:v>2018Q4</c:v>
                </c:pt>
                <c:pt idx="5">
                  <c:v>2019Q4</c:v>
                </c:pt>
                <c:pt idx="6">
                  <c:v>2020Q4</c:v>
                </c:pt>
                <c:pt idx="7">
                  <c:v>2021Q4</c:v>
                </c:pt>
                <c:pt idx="8">
                  <c:v>2022Q3</c:v>
                </c:pt>
              </c:strCache>
            </c:strRef>
          </c:cat>
          <c:val>
            <c:numRef>
              <c:f>Лист2!$B$2:$J$2</c:f>
              <c:numCache>
                <c:formatCode>#,##0.00</c:formatCode>
                <c:ptCount val="9"/>
                <c:pt idx="0">
                  <c:v>61.07</c:v>
                </c:pt>
                <c:pt idx="1">
                  <c:v>129.02000000000001</c:v>
                </c:pt>
                <c:pt idx="2">
                  <c:v>89.37</c:v>
                </c:pt>
                <c:pt idx="3">
                  <c:v>70.180000000000007</c:v>
                </c:pt>
                <c:pt idx="4">
                  <c:v>60.2</c:v>
                </c:pt>
                <c:pt idx="5">
                  <c:v>25.28</c:v>
                </c:pt>
                <c:pt idx="6">
                  <c:v>21.91</c:v>
                </c:pt>
                <c:pt idx="7">
                  <c:v>11.4</c:v>
                </c:pt>
                <c:pt idx="8">
                  <c:v>24.21</c:v>
                </c:pt>
              </c:numCache>
            </c:numRef>
          </c:val>
          <c:smooth val="0"/>
          <c:extLst>
            <c:ext xmlns:c16="http://schemas.microsoft.com/office/drawing/2014/chart" uri="{C3380CC4-5D6E-409C-BE32-E72D297353CC}">
              <c16:uniqueId val="{00000001-5DC9-4FA2-A245-352BC3D4FCEE}"/>
            </c:ext>
          </c:extLst>
        </c:ser>
        <c:ser>
          <c:idx val="2"/>
          <c:order val="2"/>
          <c:tx>
            <c:strRef>
              <c:f>Лист2!$A$4</c:f>
              <c:strCache>
                <c:ptCount val="1"/>
                <c:pt idx="0">
                  <c:v>Cпіввідношення недіючих кредитів до сукупних валових кредитів, %</c:v>
                </c:pt>
              </c:strCache>
            </c:strRef>
          </c:tx>
          <c:spPr>
            <a:ln w="28575" cap="rnd">
              <a:solidFill>
                <a:schemeClr val="tx1"/>
              </a:solidFill>
              <a:prstDash val="solid"/>
              <a:round/>
              <a:tailEnd type="stealth"/>
            </a:ln>
            <a:effectLst/>
          </c:spPr>
          <c:marker>
            <c:symbol val="none"/>
          </c:marker>
          <c:cat>
            <c:strRef>
              <c:f>Лист2!$B$1:$J$1</c:f>
              <c:strCache>
                <c:ptCount val="9"/>
                <c:pt idx="0">
                  <c:v>2014Q4</c:v>
                </c:pt>
                <c:pt idx="1">
                  <c:v>2015Q4</c:v>
                </c:pt>
                <c:pt idx="2">
                  <c:v>2016Q4</c:v>
                </c:pt>
                <c:pt idx="3">
                  <c:v>2017Q4</c:v>
                </c:pt>
                <c:pt idx="4">
                  <c:v>2018Q4</c:v>
                </c:pt>
                <c:pt idx="5">
                  <c:v>2019Q4</c:v>
                </c:pt>
                <c:pt idx="6">
                  <c:v>2020Q4</c:v>
                </c:pt>
                <c:pt idx="7">
                  <c:v>2021Q4</c:v>
                </c:pt>
                <c:pt idx="8">
                  <c:v>2022Q3</c:v>
                </c:pt>
              </c:strCache>
            </c:strRef>
          </c:cat>
          <c:val>
            <c:numRef>
              <c:f>Лист2!$B$4:$J$4</c:f>
              <c:numCache>
                <c:formatCode>#,##0.00</c:formatCode>
                <c:ptCount val="9"/>
                <c:pt idx="0">
                  <c:v>18.98</c:v>
                </c:pt>
                <c:pt idx="1">
                  <c:v>28.03</c:v>
                </c:pt>
                <c:pt idx="2">
                  <c:v>30.47</c:v>
                </c:pt>
                <c:pt idx="3">
                  <c:v>54.54</c:v>
                </c:pt>
                <c:pt idx="4">
                  <c:v>52.85</c:v>
                </c:pt>
                <c:pt idx="5">
                  <c:v>48.36</c:v>
                </c:pt>
                <c:pt idx="6">
                  <c:v>41</c:v>
                </c:pt>
                <c:pt idx="7">
                  <c:v>30.02</c:v>
                </c:pt>
                <c:pt idx="8">
                  <c:v>33.630000000000003</c:v>
                </c:pt>
              </c:numCache>
            </c:numRef>
          </c:val>
          <c:smooth val="0"/>
          <c:extLst>
            <c:ext xmlns:c16="http://schemas.microsoft.com/office/drawing/2014/chart" uri="{C3380CC4-5D6E-409C-BE32-E72D297353CC}">
              <c16:uniqueId val="{00000002-5DC9-4FA2-A245-352BC3D4FCEE}"/>
            </c:ext>
          </c:extLst>
        </c:ser>
        <c:dLbls>
          <c:showLegendKey val="0"/>
          <c:showVal val="0"/>
          <c:showCatName val="0"/>
          <c:showSerName val="0"/>
          <c:showPercent val="0"/>
          <c:showBubbleSize val="0"/>
        </c:dLbls>
        <c:marker val="1"/>
        <c:smooth val="0"/>
        <c:axId val="1768615936"/>
        <c:axId val="-1353282752"/>
      </c:lineChart>
      <c:catAx>
        <c:axId val="176861593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0"/>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353282752"/>
        <c:crosses val="autoZero"/>
        <c:auto val="1"/>
        <c:lblAlgn val="ctr"/>
        <c:lblOffset val="100"/>
        <c:noMultiLvlLbl val="0"/>
      </c:catAx>
      <c:valAx>
        <c:axId val="-1353282752"/>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68615936"/>
        <c:crosses val="autoZero"/>
        <c:crossBetween val="between"/>
      </c:valAx>
      <c:valAx>
        <c:axId val="-1288552448"/>
        <c:scaling>
          <c:orientation val="minMax"/>
        </c:scaling>
        <c:delete val="0"/>
        <c:axPos val="r"/>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64737792"/>
        <c:crosses val="max"/>
        <c:crossBetween val="between"/>
      </c:valAx>
      <c:catAx>
        <c:axId val="1864737792"/>
        <c:scaling>
          <c:orientation val="minMax"/>
        </c:scaling>
        <c:delete val="1"/>
        <c:axPos val="b"/>
        <c:numFmt formatCode="General" sourceLinked="1"/>
        <c:majorTickMark val="out"/>
        <c:minorTickMark val="none"/>
        <c:tickLblPos val="nextTo"/>
        <c:crossAx val="-1288552448"/>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lt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strRef>
              <c:f>Лист5!$A$2</c:f>
              <c:strCache>
                <c:ptCount val="1"/>
                <c:pt idx="0">
                  <c:v>Прибутковість активів, % </c:v>
                </c:pt>
              </c:strCache>
            </c:strRef>
          </c:tx>
          <c:spPr>
            <a:ln w="22225" cap="rnd">
              <a:solidFill>
                <a:schemeClr val="dk1">
                  <a:tint val="88500"/>
                </a:schemeClr>
              </a:solidFill>
              <a:round/>
            </a:ln>
            <a:effectLst/>
          </c:spPr>
          <c:marker>
            <c:symbol val="diamond"/>
            <c:size val="6"/>
            <c:spPr>
              <a:solidFill>
                <a:schemeClr val="dk1">
                  <a:tint val="88500"/>
                </a:schemeClr>
              </a:solidFill>
              <a:ln w="9525">
                <a:solidFill>
                  <a:schemeClr val="dk1">
                    <a:tint val="88500"/>
                  </a:schemeClr>
                </a:solidFill>
                <a:round/>
              </a:ln>
              <a:effectLst/>
            </c:spPr>
          </c:marker>
          <c:cat>
            <c:strRef>
              <c:f>Лист5!$B$1:$M$1</c:f>
              <c:strCache>
                <c:ptCount val="12"/>
                <c:pt idx="0">
                  <c:v>2013Q4</c:v>
                </c:pt>
                <c:pt idx="1">
                  <c:v>2014Q4</c:v>
                </c:pt>
                <c:pt idx="2">
                  <c:v>2015Q4</c:v>
                </c:pt>
                <c:pt idx="3">
                  <c:v>2016Q4</c:v>
                </c:pt>
                <c:pt idx="4">
                  <c:v>2017Q4</c:v>
                </c:pt>
                <c:pt idx="5">
                  <c:v>2018Q4</c:v>
                </c:pt>
                <c:pt idx="6">
                  <c:v>2019Q4</c:v>
                </c:pt>
                <c:pt idx="7">
                  <c:v>2020Q4</c:v>
                </c:pt>
                <c:pt idx="8">
                  <c:v>2021Q4</c:v>
                </c:pt>
                <c:pt idx="9">
                  <c:v>2022Q1 </c:v>
                </c:pt>
                <c:pt idx="10">
                  <c:v>2022Q2</c:v>
                </c:pt>
                <c:pt idx="11">
                  <c:v>2022Q3</c:v>
                </c:pt>
              </c:strCache>
            </c:strRef>
          </c:cat>
          <c:val>
            <c:numRef>
              <c:f>Лист5!$B$2:$M$2</c:f>
              <c:numCache>
                <c:formatCode>#,##0.00</c:formatCode>
                <c:ptCount val="12"/>
                <c:pt idx="0">
                  <c:v>0.26</c:v>
                </c:pt>
                <c:pt idx="1">
                  <c:v>-4.24</c:v>
                </c:pt>
                <c:pt idx="2">
                  <c:v>-5.54</c:v>
                </c:pt>
                <c:pt idx="3">
                  <c:v>-12.47</c:v>
                </c:pt>
                <c:pt idx="4">
                  <c:v>-1.76</c:v>
                </c:pt>
                <c:pt idx="5">
                  <c:v>1.6</c:v>
                </c:pt>
                <c:pt idx="6">
                  <c:v>4.7</c:v>
                </c:pt>
                <c:pt idx="7">
                  <c:v>2.77</c:v>
                </c:pt>
                <c:pt idx="8">
                  <c:v>4.46</c:v>
                </c:pt>
                <c:pt idx="9">
                  <c:v>-0.02</c:v>
                </c:pt>
                <c:pt idx="10">
                  <c:v>-0.41</c:v>
                </c:pt>
                <c:pt idx="11">
                  <c:v>0.73</c:v>
                </c:pt>
              </c:numCache>
            </c:numRef>
          </c:val>
          <c:smooth val="0"/>
          <c:extLst>
            <c:ext xmlns:c16="http://schemas.microsoft.com/office/drawing/2014/chart" uri="{C3380CC4-5D6E-409C-BE32-E72D297353CC}">
              <c16:uniqueId val="{00000000-14FE-48FC-A9B4-469B7AC31C78}"/>
            </c:ext>
          </c:extLst>
        </c:ser>
        <c:ser>
          <c:idx val="1"/>
          <c:order val="1"/>
          <c:tx>
            <c:strRef>
              <c:f>Лист5!$A$3</c:f>
              <c:strCache>
                <c:ptCount val="1"/>
                <c:pt idx="0">
                  <c:v>Прибутковість  капіталу, % </c:v>
                </c:pt>
              </c:strCache>
            </c:strRef>
          </c:tx>
          <c:spPr>
            <a:ln w="22225" cap="rnd">
              <a:solidFill>
                <a:schemeClr val="dk1">
                  <a:tint val="55000"/>
                </a:schemeClr>
              </a:solidFill>
              <a:round/>
            </a:ln>
            <a:effectLst/>
          </c:spPr>
          <c:marker>
            <c:symbol val="square"/>
            <c:size val="6"/>
            <c:spPr>
              <a:solidFill>
                <a:schemeClr val="dk1">
                  <a:tint val="55000"/>
                </a:schemeClr>
              </a:solidFill>
              <a:ln w="9525">
                <a:solidFill>
                  <a:schemeClr val="dk1">
                    <a:tint val="55000"/>
                  </a:schemeClr>
                </a:solidFill>
                <a:round/>
              </a:ln>
              <a:effectLst/>
            </c:spPr>
          </c:marker>
          <c:cat>
            <c:strRef>
              <c:f>Лист5!$B$1:$M$1</c:f>
              <c:strCache>
                <c:ptCount val="12"/>
                <c:pt idx="0">
                  <c:v>2013Q4</c:v>
                </c:pt>
                <c:pt idx="1">
                  <c:v>2014Q4</c:v>
                </c:pt>
                <c:pt idx="2">
                  <c:v>2015Q4</c:v>
                </c:pt>
                <c:pt idx="3">
                  <c:v>2016Q4</c:v>
                </c:pt>
                <c:pt idx="4">
                  <c:v>2017Q4</c:v>
                </c:pt>
                <c:pt idx="5">
                  <c:v>2018Q4</c:v>
                </c:pt>
                <c:pt idx="6">
                  <c:v>2019Q4</c:v>
                </c:pt>
                <c:pt idx="7">
                  <c:v>2020Q4</c:v>
                </c:pt>
                <c:pt idx="8">
                  <c:v>2021Q4</c:v>
                </c:pt>
                <c:pt idx="9">
                  <c:v>2022Q1 </c:v>
                </c:pt>
                <c:pt idx="10">
                  <c:v>2022Q2</c:v>
                </c:pt>
                <c:pt idx="11">
                  <c:v>2022Q3</c:v>
                </c:pt>
              </c:strCache>
            </c:strRef>
          </c:cat>
          <c:val>
            <c:numRef>
              <c:f>Лист5!$B$3:$M$3</c:f>
              <c:numCache>
                <c:formatCode>#,##0.00</c:formatCode>
                <c:ptCount val="12"/>
                <c:pt idx="0">
                  <c:v>1.72</c:v>
                </c:pt>
                <c:pt idx="1">
                  <c:v>-31.95</c:v>
                </c:pt>
                <c:pt idx="2">
                  <c:v>-65.510000000000005</c:v>
                </c:pt>
                <c:pt idx="3">
                  <c:v>-122.17</c:v>
                </c:pt>
                <c:pt idx="4">
                  <c:v>-15.34</c:v>
                </c:pt>
                <c:pt idx="5">
                  <c:v>14.61</c:v>
                </c:pt>
                <c:pt idx="6">
                  <c:v>37.549999999999997</c:v>
                </c:pt>
                <c:pt idx="7">
                  <c:v>21.68</c:v>
                </c:pt>
                <c:pt idx="8">
                  <c:v>37.86</c:v>
                </c:pt>
                <c:pt idx="9">
                  <c:v>-0.21</c:v>
                </c:pt>
                <c:pt idx="10">
                  <c:v>-3.68</c:v>
                </c:pt>
                <c:pt idx="11">
                  <c:v>6.56</c:v>
                </c:pt>
              </c:numCache>
            </c:numRef>
          </c:val>
          <c:smooth val="0"/>
          <c:extLst>
            <c:ext xmlns:c16="http://schemas.microsoft.com/office/drawing/2014/chart" uri="{C3380CC4-5D6E-409C-BE32-E72D297353CC}">
              <c16:uniqueId val="{00000001-14FE-48FC-A9B4-469B7AC31C78}"/>
            </c:ext>
          </c:extLst>
        </c:ser>
        <c:dLbls>
          <c:showLegendKey val="0"/>
          <c:showVal val="0"/>
          <c:showCatName val="0"/>
          <c:showSerName val="0"/>
          <c:showPercent val="0"/>
          <c:showBubbleSize val="0"/>
        </c:dLbls>
        <c:marker val="1"/>
        <c:smooth val="0"/>
        <c:axId val="1768618496"/>
        <c:axId val="-1288295616"/>
      </c:lineChart>
      <c:catAx>
        <c:axId val="17686184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288295616"/>
        <c:crosses val="autoZero"/>
        <c:auto val="1"/>
        <c:lblAlgn val="ctr"/>
        <c:lblOffset val="100"/>
        <c:noMultiLvlLbl val="0"/>
      </c:catAx>
      <c:valAx>
        <c:axId val="-1288295616"/>
        <c:scaling>
          <c:orientation val="minMax"/>
        </c:scaling>
        <c:delete val="0"/>
        <c:axPos val="l"/>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686184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lt1"/>
    </a:solidFill>
    <a:ln w="9525" cap="flat" cmpd="sng" algn="ctr">
      <a:noFill/>
      <a:round/>
    </a:ln>
    <a:effectLst/>
  </c:spPr>
  <c:txPr>
    <a:bodyPr/>
    <a:lstStyle/>
    <a:p>
      <a:pPr algn="just">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'2023'!$F$4</c:f>
              <c:strCache>
                <c:ptCount val="1"/>
                <c:pt idx="0">
                  <c:v>Чистий процентний дохід</c:v>
                </c:pt>
              </c:strCache>
            </c:strRef>
          </c:tx>
          <c:spPr>
            <a:solidFill>
              <a:schemeClr val="dk1">
                <a:tint val="88500"/>
              </a:schemeClr>
            </a:solidFill>
            <a:ln>
              <a:noFill/>
            </a:ln>
            <a:effectLst/>
          </c:spPr>
          <c:invertIfNegative val="0"/>
          <c:cat>
            <c:numRef>
              <c:f>'2023'!$G$3:$L$3</c:f>
              <c:numCache>
                <c:formatCode>m/d/yyyy</c:formatCode>
                <c:ptCount val="6"/>
                <c:pt idx="0">
                  <c:v>43101</c:v>
                </c:pt>
                <c:pt idx="1">
                  <c:v>43466</c:v>
                </c:pt>
                <c:pt idx="2">
                  <c:v>43831</c:v>
                </c:pt>
                <c:pt idx="3">
                  <c:v>44197</c:v>
                </c:pt>
                <c:pt idx="4">
                  <c:v>44562</c:v>
                </c:pt>
                <c:pt idx="5">
                  <c:v>44927</c:v>
                </c:pt>
              </c:numCache>
            </c:numRef>
          </c:cat>
          <c:val>
            <c:numRef>
              <c:f>'2023'!$G$4:$L$4</c:f>
              <c:numCache>
                <c:formatCode>#,##0</c:formatCode>
                <c:ptCount val="6"/>
                <c:pt idx="0">
                  <c:v>10209</c:v>
                </c:pt>
                <c:pt idx="1">
                  <c:v>7027</c:v>
                </c:pt>
                <c:pt idx="2">
                  <c:v>7276</c:v>
                </c:pt>
                <c:pt idx="3">
                  <c:v>14063</c:v>
                </c:pt>
                <c:pt idx="4">
                  <c:v>11822</c:v>
                </c:pt>
                <c:pt idx="5">
                  <c:v>16520</c:v>
                </c:pt>
              </c:numCache>
            </c:numRef>
          </c:val>
          <c:extLst>
            <c:ext xmlns:c16="http://schemas.microsoft.com/office/drawing/2014/chart" uri="{C3380CC4-5D6E-409C-BE32-E72D297353CC}">
              <c16:uniqueId val="{00000000-CB1C-4657-96F0-AC3A41578AA1}"/>
            </c:ext>
          </c:extLst>
        </c:ser>
        <c:ser>
          <c:idx val="1"/>
          <c:order val="1"/>
          <c:tx>
            <c:strRef>
              <c:f>'2023'!$F$5</c:f>
              <c:strCache>
                <c:ptCount val="1"/>
                <c:pt idx="0">
                  <c:v>Чистий комісійний дохід</c:v>
                </c:pt>
              </c:strCache>
            </c:strRef>
          </c:tx>
          <c:spPr>
            <a:solidFill>
              <a:schemeClr val="dk1">
                <a:tint val="55000"/>
              </a:schemeClr>
            </a:solidFill>
            <a:ln>
              <a:noFill/>
            </a:ln>
            <a:effectLst/>
          </c:spPr>
          <c:invertIfNegative val="0"/>
          <c:cat>
            <c:numRef>
              <c:f>'2023'!$G$3:$L$3</c:f>
              <c:numCache>
                <c:formatCode>m/d/yyyy</c:formatCode>
                <c:ptCount val="6"/>
                <c:pt idx="0">
                  <c:v>43101</c:v>
                </c:pt>
                <c:pt idx="1">
                  <c:v>43466</c:v>
                </c:pt>
                <c:pt idx="2">
                  <c:v>43831</c:v>
                </c:pt>
                <c:pt idx="3">
                  <c:v>44197</c:v>
                </c:pt>
                <c:pt idx="4">
                  <c:v>44562</c:v>
                </c:pt>
                <c:pt idx="5">
                  <c:v>44927</c:v>
                </c:pt>
              </c:numCache>
            </c:numRef>
          </c:cat>
          <c:val>
            <c:numRef>
              <c:f>'2023'!$G$5:$L$5</c:f>
              <c:numCache>
                <c:formatCode>#,##0</c:formatCode>
                <c:ptCount val="6"/>
                <c:pt idx="0">
                  <c:v>2674</c:v>
                </c:pt>
                <c:pt idx="1">
                  <c:v>3158</c:v>
                </c:pt>
                <c:pt idx="2">
                  <c:v>3491</c:v>
                </c:pt>
                <c:pt idx="3">
                  <c:v>3906</c:v>
                </c:pt>
                <c:pt idx="4">
                  <c:v>4974</c:v>
                </c:pt>
                <c:pt idx="5">
                  <c:v>8285.5</c:v>
                </c:pt>
              </c:numCache>
            </c:numRef>
          </c:val>
          <c:extLst>
            <c:ext xmlns:c16="http://schemas.microsoft.com/office/drawing/2014/chart" uri="{C3380CC4-5D6E-409C-BE32-E72D297353CC}">
              <c16:uniqueId val="{00000001-CB1C-4657-96F0-AC3A41578AA1}"/>
            </c:ext>
          </c:extLst>
        </c:ser>
        <c:ser>
          <c:idx val="2"/>
          <c:order val="2"/>
          <c:tx>
            <c:strRef>
              <c:f>'2023'!$F$6</c:f>
              <c:strCache>
                <c:ptCount val="1"/>
                <c:pt idx="0">
                  <c:v>Результат від переоцінки та від операцій купівлі-продажу</c:v>
                </c:pt>
              </c:strCache>
            </c:strRef>
          </c:tx>
          <c:spPr>
            <a:solidFill>
              <a:schemeClr val="dk1">
                <a:tint val="75000"/>
              </a:schemeClr>
            </a:solidFill>
            <a:ln>
              <a:noFill/>
            </a:ln>
            <a:effectLst/>
          </c:spPr>
          <c:invertIfNegative val="0"/>
          <c:cat>
            <c:numRef>
              <c:f>'2023'!$G$3:$L$3</c:f>
              <c:numCache>
                <c:formatCode>m/d/yyyy</c:formatCode>
                <c:ptCount val="6"/>
                <c:pt idx="0">
                  <c:v>43101</c:v>
                </c:pt>
                <c:pt idx="1">
                  <c:v>43466</c:v>
                </c:pt>
                <c:pt idx="2">
                  <c:v>43831</c:v>
                </c:pt>
                <c:pt idx="3">
                  <c:v>44197</c:v>
                </c:pt>
                <c:pt idx="4">
                  <c:v>44562</c:v>
                </c:pt>
                <c:pt idx="5">
                  <c:v>44927</c:v>
                </c:pt>
              </c:numCache>
            </c:numRef>
          </c:cat>
          <c:val>
            <c:numRef>
              <c:f>'2023'!$G$6:$L$6</c:f>
              <c:numCache>
                <c:formatCode>#,##0</c:formatCode>
                <c:ptCount val="6"/>
                <c:pt idx="0">
                  <c:v>-1059</c:v>
                </c:pt>
                <c:pt idx="1">
                  <c:v>1656</c:v>
                </c:pt>
                <c:pt idx="2">
                  <c:v>2688</c:v>
                </c:pt>
                <c:pt idx="3">
                  <c:v>-985</c:v>
                </c:pt>
                <c:pt idx="4">
                  <c:v>-42</c:v>
                </c:pt>
                <c:pt idx="5">
                  <c:v>5932</c:v>
                </c:pt>
              </c:numCache>
            </c:numRef>
          </c:val>
          <c:extLst>
            <c:ext xmlns:c16="http://schemas.microsoft.com/office/drawing/2014/chart" uri="{C3380CC4-5D6E-409C-BE32-E72D297353CC}">
              <c16:uniqueId val="{00000002-CB1C-4657-96F0-AC3A41578AA1}"/>
            </c:ext>
          </c:extLst>
        </c:ser>
        <c:ser>
          <c:idx val="3"/>
          <c:order val="3"/>
          <c:tx>
            <c:strRef>
              <c:f>'2023'!$F$7</c:f>
              <c:strCache>
                <c:ptCount val="1"/>
                <c:pt idx="0">
                  <c:v>Відрахування в резерви</c:v>
                </c:pt>
              </c:strCache>
            </c:strRef>
          </c:tx>
          <c:spPr>
            <a:solidFill>
              <a:schemeClr val="dk1">
                <a:tint val="98500"/>
              </a:schemeClr>
            </a:solidFill>
            <a:ln>
              <a:noFill/>
            </a:ln>
            <a:effectLst/>
          </c:spPr>
          <c:invertIfNegative val="0"/>
          <c:cat>
            <c:numRef>
              <c:f>'2023'!$G$3:$L$3</c:f>
              <c:numCache>
                <c:formatCode>m/d/yyyy</c:formatCode>
                <c:ptCount val="6"/>
                <c:pt idx="0">
                  <c:v>43101</c:v>
                </c:pt>
                <c:pt idx="1">
                  <c:v>43466</c:v>
                </c:pt>
                <c:pt idx="2">
                  <c:v>43831</c:v>
                </c:pt>
                <c:pt idx="3">
                  <c:v>44197</c:v>
                </c:pt>
                <c:pt idx="4">
                  <c:v>44562</c:v>
                </c:pt>
                <c:pt idx="5">
                  <c:v>44927</c:v>
                </c:pt>
              </c:numCache>
            </c:numRef>
          </c:cat>
          <c:val>
            <c:numRef>
              <c:f>'2023'!$G$7:$L$7</c:f>
              <c:numCache>
                <c:formatCode>#,##0</c:formatCode>
                <c:ptCount val="6"/>
                <c:pt idx="0">
                  <c:v>1541</c:v>
                </c:pt>
                <c:pt idx="1">
                  <c:v>1759</c:v>
                </c:pt>
                <c:pt idx="2">
                  <c:v>1342</c:v>
                </c:pt>
                <c:pt idx="3">
                  <c:v>1134</c:v>
                </c:pt>
                <c:pt idx="4">
                  <c:v>1575</c:v>
                </c:pt>
                <c:pt idx="5">
                  <c:v>2488</c:v>
                </c:pt>
              </c:numCache>
            </c:numRef>
          </c:val>
          <c:extLst>
            <c:ext xmlns:c16="http://schemas.microsoft.com/office/drawing/2014/chart" uri="{C3380CC4-5D6E-409C-BE32-E72D297353CC}">
              <c16:uniqueId val="{00000003-CB1C-4657-96F0-AC3A41578AA1}"/>
            </c:ext>
          </c:extLst>
        </c:ser>
        <c:dLbls>
          <c:showLegendKey val="0"/>
          <c:showVal val="0"/>
          <c:showCatName val="0"/>
          <c:showSerName val="0"/>
          <c:showPercent val="0"/>
          <c:showBubbleSize val="0"/>
        </c:dLbls>
        <c:gapWidth val="219"/>
        <c:overlap val="-27"/>
        <c:axId val="1578842143"/>
        <c:axId val="1578837343"/>
      </c:barChart>
      <c:dateAx>
        <c:axId val="1578842143"/>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578837343"/>
        <c:crosses val="autoZero"/>
        <c:auto val="1"/>
        <c:lblOffset val="100"/>
        <c:baseTimeUnit val="years"/>
      </c:dateAx>
      <c:valAx>
        <c:axId val="157883734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5788421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strRef>
              <c:f>Лист3!$A$3</c:f>
              <c:strCache>
                <c:ptCount val="1"/>
                <c:pt idx="0">
                  <c:v>Cпіввідношення ліквідних активів  до cукупних активів</c:v>
                </c:pt>
              </c:strCache>
            </c:strRef>
          </c:tx>
          <c:cat>
            <c:strRef>
              <c:f>Лист3!$B$2:$J$2</c:f>
              <c:strCache>
                <c:ptCount val="9"/>
                <c:pt idx="0">
                  <c:v>2014Q4</c:v>
                </c:pt>
                <c:pt idx="1">
                  <c:v>2015Q4</c:v>
                </c:pt>
                <c:pt idx="2">
                  <c:v>2016Q4</c:v>
                </c:pt>
                <c:pt idx="3">
                  <c:v>2017Q4</c:v>
                </c:pt>
                <c:pt idx="4">
                  <c:v>2018Q4</c:v>
                </c:pt>
                <c:pt idx="5">
                  <c:v>2019Q4</c:v>
                </c:pt>
                <c:pt idx="6">
                  <c:v>2020Q4</c:v>
                </c:pt>
                <c:pt idx="7">
                  <c:v>2021Q4</c:v>
                </c:pt>
                <c:pt idx="8">
                  <c:v>2022Q3</c:v>
                </c:pt>
              </c:strCache>
            </c:strRef>
          </c:cat>
          <c:val>
            <c:numRef>
              <c:f>Лист3!$B$3:$J$3</c:f>
              <c:numCache>
                <c:formatCode>#,##0.00</c:formatCode>
                <c:ptCount val="9"/>
                <c:pt idx="0">
                  <c:v>26.4</c:v>
                </c:pt>
                <c:pt idx="1">
                  <c:v>33</c:v>
                </c:pt>
                <c:pt idx="2">
                  <c:v>48.53</c:v>
                </c:pt>
                <c:pt idx="3">
                  <c:v>53.94</c:v>
                </c:pt>
                <c:pt idx="4">
                  <c:v>51.14</c:v>
                </c:pt>
                <c:pt idx="5">
                  <c:v>72.28</c:v>
                </c:pt>
                <c:pt idx="6">
                  <c:v>69.099999999999994</c:v>
                </c:pt>
                <c:pt idx="7">
                  <c:v>69.239999999999995</c:v>
                </c:pt>
                <c:pt idx="8">
                  <c:v>74.02</c:v>
                </c:pt>
              </c:numCache>
            </c:numRef>
          </c:val>
          <c:smooth val="0"/>
          <c:extLst>
            <c:ext xmlns:c16="http://schemas.microsoft.com/office/drawing/2014/chart" uri="{C3380CC4-5D6E-409C-BE32-E72D297353CC}">
              <c16:uniqueId val="{00000000-D546-4885-9632-52CE4A0F40F6}"/>
            </c:ext>
          </c:extLst>
        </c:ser>
        <c:ser>
          <c:idx val="1"/>
          <c:order val="1"/>
          <c:tx>
            <c:strRef>
              <c:f>Лист3!$A$4</c:f>
              <c:strCache>
                <c:ptCount val="1"/>
                <c:pt idx="0">
                  <c:v>Cпіввідношення ліквідних активів  до короткострокових зобов’язань</c:v>
                </c:pt>
              </c:strCache>
            </c:strRef>
          </c:tx>
          <c:cat>
            <c:strRef>
              <c:f>Лист3!$B$2:$J$2</c:f>
              <c:strCache>
                <c:ptCount val="9"/>
                <c:pt idx="0">
                  <c:v>2014Q4</c:v>
                </c:pt>
                <c:pt idx="1">
                  <c:v>2015Q4</c:v>
                </c:pt>
                <c:pt idx="2">
                  <c:v>2016Q4</c:v>
                </c:pt>
                <c:pt idx="3">
                  <c:v>2017Q4</c:v>
                </c:pt>
                <c:pt idx="4">
                  <c:v>2018Q4</c:v>
                </c:pt>
                <c:pt idx="5">
                  <c:v>2019Q4</c:v>
                </c:pt>
                <c:pt idx="6">
                  <c:v>2020Q4</c:v>
                </c:pt>
                <c:pt idx="7">
                  <c:v>2021Q4</c:v>
                </c:pt>
                <c:pt idx="8">
                  <c:v>2022Q3</c:v>
                </c:pt>
              </c:strCache>
            </c:strRef>
          </c:cat>
          <c:val>
            <c:numRef>
              <c:f>Лист3!$B$4:$J$4</c:f>
              <c:numCache>
                <c:formatCode>#,##0.00</c:formatCode>
                <c:ptCount val="9"/>
                <c:pt idx="0">
                  <c:v>86.14</c:v>
                </c:pt>
                <c:pt idx="1">
                  <c:v>92.87</c:v>
                </c:pt>
                <c:pt idx="2">
                  <c:v>92.09</c:v>
                </c:pt>
                <c:pt idx="3">
                  <c:v>98.37</c:v>
                </c:pt>
                <c:pt idx="4">
                  <c:v>93.52</c:v>
                </c:pt>
                <c:pt idx="5">
                  <c:v>94.35</c:v>
                </c:pt>
                <c:pt idx="6">
                  <c:v>86.82</c:v>
                </c:pt>
                <c:pt idx="7">
                  <c:v>89.13</c:v>
                </c:pt>
                <c:pt idx="8">
                  <c:v>88.8</c:v>
                </c:pt>
              </c:numCache>
            </c:numRef>
          </c:val>
          <c:smooth val="0"/>
          <c:extLst>
            <c:ext xmlns:c16="http://schemas.microsoft.com/office/drawing/2014/chart" uri="{C3380CC4-5D6E-409C-BE32-E72D297353CC}">
              <c16:uniqueId val="{00000001-D546-4885-9632-52CE4A0F40F6}"/>
            </c:ext>
          </c:extLst>
        </c:ser>
        <c:dLbls>
          <c:showLegendKey val="0"/>
          <c:showVal val="0"/>
          <c:showCatName val="0"/>
          <c:showSerName val="0"/>
          <c:showPercent val="0"/>
          <c:showBubbleSize val="0"/>
        </c:dLbls>
        <c:marker val="1"/>
        <c:smooth val="0"/>
        <c:axId val="1768616448"/>
        <c:axId val="-1288548992"/>
      </c:lineChart>
      <c:catAx>
        <c:axId val="1768616448"/>
        <c:scaling>
          <c:orientation val="minMax"/>
        </c:scaling>
        <c:delete val="0"/>
        <c:axPos val="b"/>
        <c:numFmt formatCode="General" sourceLinked="0"/>
        <c:majorTickMark val="out"/>
        <c:minorTickMark val="none"/>
        <c:tickLblPos val="nextTo"/>
        <c:crossAx val="-1288548992"/>
        <c:crosses val="autoZero"/>
        <c:auto val="1"/>
        <c:lblAlgn val="ctr"/>
        <c:lblOffset val="100"/>
        <c:noMultiLvlLbl val="0"/>
      </c:catAx>
      <c:valAx>
        <c:axId val="-1288548992"/>
        <c:scaling>
          <c:orientation val="minMax"/>
        </c:scaling>
        <c:delete val="0"/>
        <c:axPos val="l"/>
        <c:majorGridlines/>
        <c:numFmt formatCode="#,##0.00" sourceLinked="1"/>
        <c:majorTickMark val="out"/>
        <c:minorTickMark val="none"/>
        <c:tickLblPos val="nextTo"/>
        <c:crossAx val="1768616448"/>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xMode val="edge"/>
          <c:yMode val="edge"/>
          <c:x val="0"/>
          <c:y val="2.6373621809531574E-2"/>
          <c:w val="0.96680497925311204"/>
          <c:h val="0.87032951971454187"/>
        </c:manualLayout>
      </c:layout>
      <c:lineChart>
        <c:grouping val="standard"/>
        <c:varyColors val="0"/>
        <c:ser>
          <c:idx val="4"/>
          <c:order val="0"/>
          <c:tx>
            <c:strRef>
              <c:f>'3.2.2.'!$K$12</c:f>
              <c:strCache>
                <c:ptCount val="1"/>
                <c:pt idx="0">
                  <c:v> Високоліквідні активи в усіх валютах </c:v>
                </c:pt>
              </c:strCache>
            </c:strRef>
          </c:tx>
          <c:spPr>
            <a:ln w="22225" cap="rnd" cmpd="sng" algn="ctr">
              <a:solidFill>
                <a:schemeClr val="dk1">
                  <a:tint val="30000"/>
                </a:schemeClr>
              </a:solidFill>
              <a:round/>
            </a:ln>
            <a:effectLst/>
          </c:spPr>
          <c:marker>
            <c:symbol val="none"/>
          </c:marker>
          <c:dPt>
            <c:idx val="28"/>
            <c:marker>
              <c:symbol val="none"/>
            </c:marker>
            <c:bubble3D val="0"/>
            <c:extLst>
              <c:ext xmlns:c16="http://schemas.microsoft.com/office/drawing/2014/chart" uri="{C3380CC4-5D6E-409C-BE32-E72D297353CC}">
                <c16:uniqueId val="{00000000-DF3F-43BE-B117-094577CDAA4A}"/>
              </c:ext>
            </c:extLst>
          </c:dPt>
          <c:cat>
            <c:numRef>
              <c:f>'3.2.2.'!$J$13:$J$48</c:f>
              <c:numCache>
                <c:formatCode>m/d/yyyy</c:formatCode>
                <c:ptCount val="36"/>
                <c:pt idx="0">
                  <c:v>43799</c:v>
                </c:pt>
                <c:pt idx="1">
                  <c:v>43830</c:v>
                </c:pt>
                <c:pt idx="2">
                  <c:v>43861</c:v>
                </c:pt>
                <c:pt idx="3">
                  <c:v>43890</c:v>
                </c:pt>
                <c:pt idx="4">
                  <c:v>43921</c:v>
                </c:pt>
                <c:pt idx="5">
                  <c:v>43951</c:v>
                </c:pt>
                <c:pt idx="6">
                  <c:v>43982</c:v>
                </c:pt>
                <c:pt idx="7">
                  <c:v>44012</c:v>
                </c:pt>
                <c:pt idx="8">
                  <c:v>44043</c:v>
                </c:pt>
                <c:pt idx="9">
                  <c:v>44074</c:v>
                </c:pt>
                <c:pt idx="10">
                  <c:v>44104</c:v>
                </c:pt>
                <c:pt idx="11">
                  <c:v>44135</c:v>
                </c:pt>
                <c:pt idx="12">
                  <c:v>44165</c:v>
                </c:pt>
                <c:pt idx="13">
                  <c:v>44196</c:v>
                </c:pt>
                <c:pt idx="14">
                  <c:v>44227</c:v>
                </c:pt>
                <c:pt idx="15">
                  <c:v>44255</c:v>
                </c:pt>
                <c:pt idx="16">
                  <c:v>44286</c:v>
                </c:pt>
                <c:pt idx="17">
                  <c:v>44316</c:v>
                </c:pt>
                <c:pt idx="18">
                  <c:v>44347</c:v>
                </c:pt>
                <c:pt idx="19">
                  <c:v>44377</c:v>
                </c:pt>
                <c:pt idx="20">
                  <c:v>44408</c:v>
                </c:pt>
                <c:pt idx="21">
                  <c:v>44439</c:v>
                </c:pt>
                <c:pt idx="22">
                  <c:v>44469</c:v>
                </c:pt>
                <c:pt idx="23">
                  <c:v>44500</c:v>
                </c:pt>
                <c:pt idx="24">
                  <c:v>44530</c:v>
                </c:pt>
                <c:pt idx="25">
                  <c:v>44561</c:v>
                </c:pt>
                <c:pt idx="26">
                  <c:v>44592</c:v>
                </c:pt>
                <c:pt idx="27">
                  <c:v>44620</c:v>
                </c:pt>
                <c:pt idx="28">
                  <c:v>44681</c:v>
                </c:pt>
                <c:pt idx="29">
                  <c:v>44712</c:v>
                </c:pt>
                <c:pt idx="30">
                  <c:v>44742</c:v>
                </c:pt>
                <c:pt idx="31">
                  <c:v>44773</c:v>
                </c:pt>
                <c:pt idx="32">
                  <c:v>44804</c:v>
                </c:pt>
                <c:pt idx="33">
                  <c:v>44834</c:v>
                </c:pt>
                <c:pt idx="34">
                  <c:v>44865</c:v>
                </c:pt>
                <c:pt idx="35">
                  <c:v>44895</c:v>
                </c:pt>
              </c:numCache>
            </c:numRef>
          </c:cat>
          <c:val>
            <c:numRef>
              <c:f>'3.2.2.'!$K$13:$K$48</c:f>
              <c:numCache>
                <c:formatCode>0.0%</c:formatCode>
                <c:ptCount val="36"/>
                <c:pt idx="0">
                  <c:v>0.3599</c:v>
                </c:pt>
                <c:pt idx="1">
                  <c:v>0.4022</c:v>
                </c:pt>
                <c:pt idx="2">
                  <c:v>0.42930000000000001</c:v>
                </c:pt>
                <c:pt idx="3">
                  <c:v>0.4219</c:v>
                </c:pt>
                <c:pt idx="4">
                  <c:v>0.37740000000000001</c:v>
                </c:pt>
                <c:pt idx="5">
                  <c:v>0.39360000000000001</c:v>
                </c:pt>
                <c:pt idx="6">
                  <c:v>0.40749999999999997</c:v>
                </c:pt>
                <c:pt idx="7">
                  <c:v>0.40770000000000001</c:v>
                </c:pt>
                <c:pt idx="8">
                  <c:v>0.41199999999999998</c:v>
                </c:pt>
                <c:pt idx="9">
                  <c:v>0.4078</c:v>
                </c:pt>
                <c:pt idx="10">
                  <c:v>0.41710000000000003</c:v>
                </c:pt>
                <c:pt idx="11">
                  <c:v>0.41520000000000001</c:v>
                </c:pt>
                <c:pt idx="12">
                  <c:v>0.40899999999999997</c:v>
                </c:pt>
                <c:pt idx="13">
                  <c:v>0.41639999999999999</c:v>
                </c:pt>
                <c:pt idx="14">
                  <c:v>0.40510000000000002</c:v>
                </c:pt>
                <c:pt idx="15">
                  <c:v>0.40479999999999999</c:v>
                </c:pt>
                <c:pt idx="16">
                  <c:v>0.41310000000000002</c:v>
                </c:pt>
                <c:pt idx="17">
                  <c:v>0.41049999999999998</c:v>
                </c:pt>
                <c:pt idx="18">
                  <c:v>0.40160000000000001</c:v>
                </c:pt>
                <c:pt idx="19">
                  <c:v>0.3982</c:v>
                </c:pt>
                <c:pt idx="20">
                  <c:v>0.39539999999999997</c:v>
                </c:pt>
                <c:pt idx="21">
                  <c:v>0.37230000000000002</c:v>
                </c:pt>
                <c:pt idx="22">
                  <c:v>0.37590000000000001</c:v>
                </c:pt>
                <c:pt idx="23">
                  <c:v>0.37040000000000001</c:v>
                </c:pt>
                <c:pt idx="24">
                  <c:v>0.36170000000000002</c:v>
                </c:pt>
                <c:pt idx="25">
                  <c:v>0.3795</c:v>
                </c:pt>
                <c:pt idx="26">
                  <c:v>0.36280000000000001</c:v>
                </c:pt>
                <c:pt idx="27">
                  <c:v>0.33610000000000001</c:v>
                </c:pt>
                <c:pt idx="28">
                  <c:v>0.36199999999999999</c:v>
                </c:pt>
                <c:pt idx="29">
                  <c:v>0.37959999999999999</c:v>
                </c:pt>
                <c:pt idx="30">
                  <c:v>0.40339999999999998</c:v>
                </c:pt>
                <c:pt idx="31">
                  <c:v>0.41199999999999998</c:v>
                </c:pt>
                <c:pt idx="32">
                  <c:v>0.42449999999999999</c:v>
                </c:pt>
                <c:pt idx="33">
                  <c:v>0.4446</c:v>
                </c:pt>
                <c:pt idx="34">
                  <c:v>0.47699999999999998</c:v>
                </c:pt>
                <c:pt idx="35">
                  <c:v>0.49370000000000003</c:v>
                </c:pt>
              </c:numCache>
            </c:numRef>
          </c:val>
          <c:smooth val="0"/>
          <c:extLst>
            <c:ext xmlns:c16="http://schemas.microsoft.com/office/drawing/2014/chart" uri="{C3380CC4-5D6E-409C-BE32-E72D297353CC}">
              <c16:uniqueId val="{00000001-DF3F-43BE-B117-094577CDAA4A}"/>
            </c:ext>
          </c:extLst>
        </c:ser>
        <c:ser>
          <c:idx val="0"/>
          <c:order val="1"/>
          <c:tx>
            <c:strRef>
              <c:f>'3.2.2.'!$L$12</c:f>
              <c:strCache>
                <c:ptCount val="1"/>
                <c:pt idx="0">
                  <c:v>Депозитні сертифікати НБУ</c:v>
                </c:pt>
              </c:strCache>
            </c:strRef>
          </c:tx>
          <c:spPr>
            <a:ln w="22225" cap="rnd" cmpd="sng" algn="ctr">
              <a:solidFill>
                <a:schemeClr val="dk1">
                  <a:tint val="88500"/>
                </a:schemeClr>
              </a:solidFill>
              <a:round/>
            </a:ln>
            <a:effectLst/>
          </c:spPr>
          <c:marker>
            <c:symbol val="none"/>
          </c:marker>
          <c:dPt>
            <c:idx val="28"/>
            <c:marker>
              <c:symbol val="none"/>
            </c:marker>
            <c:bubble3D val="0"/>
            <c:extLst>
              <c:ext xmlns:c16="http://schemas.microsoft.com/office/drawing/2014/chart" uri="{C3380CC4-5D6E-409C-BE32-E72D297353CC}">
                <c16:uniqueId val="{00000002-DF3F-43BE-B117-094577CDAA4A}"/>
              </c:ext>
            </c:extLst>
          </c:dPt>
          <c:cat>
            <c:numRef>
              <c:f>'3.2.2.'!$J$13:$J$48</c:f>
              <c:numCache>
                <c:formatCode>m/d/yyyy</c:formatCode>
                <c:ptCount val="36"/>
                <c:pt idx="0">
                  <c:v>43799</c:v>
                </c:pt>
                <c:pt idx="1">
                  <c:v>43830</c:v>
                </c:pt>
                <c:pt idx="2">
                  <c:v>43861</c:v>
                </c:pt>
                <c:pt idx="3">
                  <c:v>43890</c:v>
                </c:pt>
                <c:pt idx="4">
                  <c:v>43921</c:v>
                </c:pt>
                <c:pt idx="5">
                  <c:v>43951</c:v>
                </c:pt>
                <c:pt idx="6">
                  <c:v>43982</c:v>
                </c:pt>
                <c:pt idx="7">
                  <c:v>44012</c:v>
                </c:pt>
                <c:pt idx="8">
                  <c:v>44043</c:v>
                </c:pt>
                <c:pt idx="9">
                  <c:v>44074</c:v>
                </c:pt>
                <c:pt idx="10">
                  <c:v>44104</c:v>
                </c:pt>
                <c:pt idx="11">
                  <c:v>44135</c:v>
                </c:pt>
                <c:pt idx="12">
                  <c:v>44165</c:v>
                </c:pt>
                <c:pt idx="13">
                  <c:v>44196</c:v>
                </c:pt>
                <c:pt idx="14">
                  <c:v>44227</c:v>
                </c:pt>
                <c:pt idx="15">
                  <c:v>44255</c:v>
                </c:pt>
                <c:pt idx="16">
                  <c:v>44286</c:v>
                </c:pt>
                <c:pt idx="17">
                  <c:v>44316</c:v>
                </c:pt>
                <c:pt idx="18">
                  <c:v>44347</c:v>
                </c:pt>
                <c:pt idx="19">
                  <c:v>44377</c:v>
                </c:pt>
                <c:pt idx="20">
                  <c:v>44408</c:v>
                </c:pt>
                <c:pt idx="21">
                  <c:v>44439</c:v>
                </c:pt>
                <c:pt idx="22">
                  <c:v>44469</c:v>
                </c:pt>
                <c:pt idx="23">
                  <c:v>44500</c:v>
                </c:pt>
                <c:pt idx="24">
                  <c:v>44530</c:v>
                </c:pt>
                <c:pt idx="25">
                  <c:v>44561</c:v>
                </c:pt>
                <c:pt idx="26">
                  <c:v>44592</c:v>
                </c:pt>
                <c:pt idx="27">
                  <c:v>44620</c:v>
                </c:pt>
                <c:pt idx="28">
                  <c:v>44681</c:v>
                </c:pt>
                <c:pt idx="29">
                  <c:v>44712</c:v>
                </c:pt>
                <c:pt idx="30">
                  <c:v>44742</c:v>
                </c:pt>
                <c:pt idx="31">
                  <c:v>44773</c:v>
                </c:pt>
                <c:pt idx="32">
                  <c:v>44804</c:v>
                </c:pt>
                <c:pt idx="33">
                  <c:v>44834</c:v>
                </c:pt>
                <c:pt idx="34">
                  <c:v>44865</c:v>
                </c:pt>
                <c:pt idx="35">
                  <c:v>44895</c:v>
                </c:pt>
              </c:numCache>
            </c:numRef>
          </c:cat>
          <c:val>
            <c:numRef>
              <c:f>'3.2.2.'!$L$13:$L$48</c:f>
              <c:numCache>
                <c:formatCode>0.0%</c:formatCode>
                <c:ptCount val="36"/>
                <c:pt idx="0">
                  <c:v>5.16E-2</c:v>
                </c:pt>
                <c:pt idx="1">
                  <c:v>9.98E-2</c:v>
                </c:pt>
                <c:pt idx="2">
                  <c:v>0.1087</c:v>
                </c:pt>
                <c:pt idx="3">
                  <c:v>0.1169</c:v>
                </c:pt>
                <c:pt idx="4">
                  <c:v>7.2099999999999997E-2</c:v>
                </c:pt>
                <c:pt idx="5">
                  <c:v>8.77E-2</c:v>
                </c:pt>
                <c:pt idx="6">
                  <c:v>8.09E-2</c:v>
                </c:pt>
                <c:pt idx="7">
                  <c:v>6.3200000000000006E-2</c:v>
                </c:pt>
                <c:pt idx="8">
                  <c:v>5.9299999999999999E-2</c:v>
                </c:pt>
                <c:pt idx="9">
                  <c:v>6.2399999999999997E-2</c:v>
                </c:pt>
                <c:pt idx="10">
                  <c:v>6.8699999999999997E-2</c:v>
                </c:pt>
                <c:pt idx="11">
                  <c:v>6.7699999999999996E-2</c:v>
                </c:pt>
                <c:pt idx="12">
                  <c:v>6.4100000000000004E-2</c:v>
                </c:pt>
                <c:pt idx="13">
                  <c:v>8.7599999999999997E-2</c:v>
                </c:pt>
                <c:pt idx="14">
                  <c:v>7.17E-2</c:v>
                </c:pt>
                <c:pt idx="15">
                  <c:v>7.1099999999999997E-2</c:v>
                </c:pt>
                <c:pt idx="16">
                  <c:v>7.6700000000000004E-2</c:v>
                </c:pt>
                <c:pt idx="17">
                  <c:v>8.4900000000000003E-2</c:v>
                </c:pt>
                <c:pt idx="18">
                  <c:v>7.3499999999999996E-2</c:v>
                </c:pt>
                <c:pt idx="19">
                  <c:v>8.0699999999999994E-2</c:v>
                </c:pt>
                <c:pt idx="20">
                  <c:v>8.14E-2</c:v>
                </c:pt>
                <c:pt idx="21">
                  <c:v>5.6599999999999998E-2</c:v>
                </c:pt>
                <c:pt idx="22">
                  <c:v>7.4300000000000005E-2</c:v>
                </c:pt>
                <c:pt idx="23">
                  <c:v>8.1299999999999997E-2</c:v>
                </c:pt>
                <c:pt idx="24">
                  <c:v>7.0599999999999996E-2</c:v>
                </c:pt>
                <c:pt idx="25">
                  <c:v>0.10340000000000001</c:v>
                </c:pt>
                <c:pt idx="26">
                  <c:v>5.9700000000000003E-2</c:v>
                </c:pt>
                <c:pt idx="27">
                  <c:v>3.3399999999999999E-2</c:v>
                </c:pt>
                <c:pt idx="28">
                  <c:v>3.3399999999999999E-2</c:v>
                </c:pt>
                <c:pt idx="29">
                  <c:v>8.4699999999999998E-2</c:v>
                </c:pt>
                <c:pt idx="30">
                  <c:v>8.2299999999999998E-2</c:v>
                </c:pt>
                <c:pt idx="31">
                  <c:v>9.2899999999999996E-2</c:v>
                </c:pt>
                <c:pt idx="32">
                  <c:v>9.1899999999999996E-2</c:v>
                </c:pt>
                <c:pt idx="33">
                  <c:v>9.9699999999999997E-2</c:v>
                </c:pt>
                <c:pt idx="34">
                  <c:v>0.1188</c:v>
                </c:pt>
                <c:pt idx="35">
                  <c:v>0.14360000000000001</c:v>
                </c:pt>
              </c:numCache>
            </c:numRef>
          </c:val>
          <c:smooth val="0"/>
          <c:extLst>
            <c:ext xmlns:c16="http://schemas.microsoft.com/office/drawing/2014/chart" uri="{C3380CC4-5D6E-409C-BE32-E72D297353CC}">
              <c16:uniqueId val="{00000003-DF3F-43BE-B117-094577CDAA4A}"/>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144097855"/>
        <c:axId val="1144111999"/>
      </c:lineChart>
      <c:dateAx>
        <c:axId val="1144097855"/>
        <c:scaling>
          <c:orientation val="minMax"/>
          <c:max val="44866"/>
        </c:scaling>
        <c:delete val="0"/>
        <c:axPos val="b"/>
        <c:numFmt formatCode="[$-409]mm\.yy;@" sourceLinked="0"/>
        <c:majorTickMark val="in"/>
        <c:minorTickMark val="none"/>
        <c:tickLblPos val="low"/>
        <c:spPr>
          <a:noFill/>
          <a:ln w="9525" cap="flat" cmpd="sng" algn="ctr">
            <a:solidFill>
              <a:schemeClr val="dk1">
                <a:lumMod val="15000"/>
                <a:lumOff val="85000"/>
              </a:schemeClr>
            </a:solidFill>
            <a:round/>
          </a:ln>
          <a:effectLst/>
        </c:spPr>
        <c:txPr>
          <a:bodyPr rot="0" spcFirstLastPara="1" vertOverflow="ellipsis" wrap="square" anchor="ctr" anchorCtr="1"/>
          <a:lstStyle/>
          <a:p>
            <a:pPr>
              <a:defRPr sz="1200" b="0" i="0" u="none" strike="noStrike" kern="1200"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44111999"/>
        <c:crosses val="autoZero"/>
        <c:auto val="1"/>
        <c:lblOffset val="100"/>
        <c:baseTimeUnit val="months"/>
        <c:majorUnit val="6"/>
        <c:majorTimeUnit val="months"/>
      </c:dateAx>
      <c:valAx>
        <c:axId val="1144111999"/>
        <c:scaling>
          <c:orientation val="minMax"/>
        </c:scaling>
        <c:delete val="0"/>
        <c:axPos val="l"/>
        <c:numFmt formatCode="0%" sourceLinked="0"/>
        <c:majorTickMark val="none"/>
        <c:minorTickMark val="none"/>
        <c:tickLblPos val="low"/>
        <c:spPr>
          <a:noFill/>
          <a:ln>
            <a:noFill/>
          </a:ln>
          <a:effectLst/>
        </c:spPr>
        <c:txPr>
          <a:bodyPr rot="0" spcFirstLastPara="1" vertOverflow="ellipsis" wrap="square" anchor="ctr" anchorCtr="1"/>
          <a:lstStyle/>
          <a:p>
            <a:pPr>
              <a:defRPr sz="1200" b="0" i="0" u="none" strike="noStrike" kern="1200"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44097855"/>
        <c:crosses val="autoZero"/>
        <c:crossBetween val="between"/>
        <c:majorUnit val="0.1"/>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a:noFill/>
            </a14:hiddenLine>
          </a:ext>
        </a:ex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lt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userShapes r:id="rId4"/>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Лист1!$D$5</c:f>
              <c:strCache>
                <c:ptCount val="1"/>
                <c:pt idx="0">
                  <c:v>на вимогу</c:v>
                </c:pt>
              </c:strCache>
            </c:strRef>
          </c:tx>
          <c:spPr>
            <a:ln w="22225" cap="rnd" cmpd="sng" algn="ctr">
              <a:solidFill>
                <a:schemeClr val="dk1">
                  <a:tint val="88500"/>
                </a:schemeClr>
              </a:solidFill>
              <a:round/>
            </a:ln>
            <a:effectLst/>
          </c:spPr>
          <c:marker>
            <c:symbol val="none"/>
          </c:marker>
          <c:cat>
            <c:multiLvlStrRef>
              <c:f>Лист1!$A$6:$C$69</c:f>
              <c:multiLvlStrCache>
                <c:ptCount val="64"/>
                <c:lvl>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січень</c:v>
                  </c:pt>
                  <c:pt idx="13">
                    <c:v>лютий</c:v>
                  </c:pt>
                  <c:pt idx="14">
                    <c:v>березень</c:v>
                  </c:pt>
                  <c:pt idx="15">
                    <c:v>квітень</c:v>
                  </c:pt>
                  <c:pt idx="16">
                    <c:v>травень</c:v>
                  </c:pt>
                  <c:pt idx="17">
                    <c:v>червень</c:v>
                  </c:pt>
                  <c:pt idx="18">
                    <c:v>липень</c:v>
                  </c:pt>
                  <c:pt idx="19">
                    <c:v>серпень</c:v>
                  </c:pt>
                  <c:pt idx="20">
                    <c:v>вересень</c:v>
                  </c:pt>
                  <c:pt idx="21">
                    <c:v>жовтень</c:v>
                  </c:pt>
                  <c:pt idx="22">
                    <c:v>листопад</c:v>
                  </c:pt>
                  <c:pt idx="23">
                    <c:v>грудень</c:v>
                  </c:pt>
                  <c:pt idx="24">
                    <c:v>січень</c:v>
                  </c:pt>
                  <c:pt idx="25">
                    <c:v>лютий</c:v>
                  </c:pt>
                  <c:pt idx="26">
                    <c:v>березень</c:v>
                  </c:pt>
                  <c:pt idx="27">
                    <c:v>квітень</c:v>
                  </c:pt>
                  <c:pt idx="28">
                    <c:v>травень</c:v>
                  </c:pt>
                  <c:pt idx="29">
                    <c:v>червень</c:v>
                  </c:pt>
                  <c:pt idx="30">
                    <c:v>липень</c:v>
                  </c:pt>
                  <c:pt idx="31">
                    <c:v>серпень</c:v>
                  </c:pt>
                  <c:pt idx="32">
                    <c:v>вересень</c:v>
                  </c:pt>
                  <c:pt idx="33">
                    <c:v>жовтень</c:v>
                  </c:pt>
                  <c:pt idx="34">
                    <c:v>листопад</c:v>
                  </c:pt>
                  <c:pt idx="35">
                    <c:v>грудень</c:v>
                  </c:pt>
                  <c:pt idx="36">
                    <c:v>січень</c:v>
                  </c:pt>
                  <c:pt idx="37">
                    <c:v>лютий</c:v>
                  </c:pt>
                  <c:pt idx="38">
                    <c:v>березень</c:v>
                  </c:pt>
                  <c:pt idx="39">
                    <c:v>квітень</c:v>
                  </c:pt>
                  <c:pt idx="40">
                    <c:v>травень</c:v>
                  </c:pt>
                  <c:pt idx="41">
                    <c:v>червень</c:v>
                  </c:pt>
                  <c:pt idx="42">
                    <c:v>липень</c:v>
                  </c:pt>
                  <c:pt idx="43">
                    <c:v>серпень</c:v>
                  </c:pt>
                  <c:pt idx="44">
                    <c:v>вересень</c:v>
                  </c:pt>
                  <c:pt idx="45">
                    <c:v>жовтень</c:v>
                  </c:pt>
                  <c:pt idx="46">
                    <c:v>листопад</c:v>
                  </c:pt>
                  <c:pt idx="47">
                    <c:v>грудень</c:v>
                  </c:pt>
                  <c:pt idx="48">
                    <c:v>січень</c:v>
                  </c:pt>
                  <c:pt idx="49">
                    <c:v>лютий</c:v>
                  </c:pt>
                  <c:pt idx="50">
                    <c:v>березень</c:v>
                  </c:pt>
                  <c:pt idx="51">
                    <c:v>квітень</c:v>
                  </c:pt>
                  <c:pt idx="52">
                    <c:v>травень</c:v>
                  </c:pt>
                  <c:pt idx="53">
                    <c:v>червень</c:v>
                  </c:pt>
                  <c:pt idx="54">
                    <c:v>липень</c:v>
                  </c:pt>
                  <c:pt idx="55">
                    <c:v>серпень</c:v>
                  </c:pt>
                  <c:pt idx="56">
                    <c:v>вересень</c:v>
                  </c:pt>
                  <c:pt idx="57">
                    <c:v>жовтень</c:v>
                  </c:pt>
                  <c:pt idx="58">
                    <c:v>листопад</c:v>
                  </c:pt>
                  <c:pt idx="59">
                    <c:v>грудень</c:v>
                  </c:pt>
                  <c:pt idx="60">
                    <c:v>січень</c:v>
                  </c:pt>
                  <c:pt idx="61">
                    <c:v>лютий</c:v>
                  </c:pt>
                  <c:pt idx="62">
                    <c:v>березень</c:v>
                  </c:pt>
                  <c:pt idx="63">
                    <c:v>квітень</c:v>
                  </c:pt>
                </c:lvl>
                <c:lvl>
                  <c:pt idx="0">
                    <c:v>2018</c:v>
                  </c:pt>
                  <c:pt idx="12">
                    <c:v>2019</c:v>
                  </c:pt>
                  <c:pt idx="24">
                    <c:v>2020</c:v>
                  </c:pt>
                  <c:pt idx="36">
                    <c:v>2021</c:v>
                  </c:pt>
                  <c:pt idx="48">
                    <c:v>2022</c:v>
                  </c:pt>
                  <c:pt idx="60">
                    <c:v>2023</c:v>
                  </c:pt>
                </c:lvl>
              </c:multiLvlStrCache>
            </c:multiLvlStrRef>
          </c:cat>
          <c:val>
            <c:numRef>
              <c:f>Лист1!$D$6:$D$69</c:f>
              <c:numCache>
                <c:formatCode>#\ ##0;\–#\ ##0;"–"</c:formatCode>
                <c:ptCount val="64"/>
                <c:pt idx="0">
                  <c:v>162088.25795678992</c:v>
                </c:pt>
                <c:pt idx="1">
                  <c:v>164969.13927705999</c:v>
                </c:pt>
                <c:pt idx="2">
                  <c:v>168095.49537807002</c:v>
                </c:pt>
                <c:pt idx="3">
                  <c:v>176826.0744601</c:v>
                </c:pt>
                <c:pt idx="4">
                  <c:v>174561.90309589991</c:v>
                </c:pt>
                <c:pt idx="5">
                  <c:v>190836.45277860999</c:v>
                </c:pt>
                <c:pt idx="6">
                  <c:v>187209.07794796998</c:v>
                </c:pt>
                <c:pt idx="7">
                  <c:v>190449.94331577999</c:v>
                </c:pt>
                <c:pt idx="8">
                  <c:v>197675.89331071993</c:v>
                </c:pt>
                <c:pt idx="9">
                  <c:v>195626.28577133</c:v>
                </c:pt>
                <c:pt idx="10">
                  <c:v>192831.13698005999</c:v>
                </c:pt>
                <c:pt idx="11">
                  <c:v>203410.12154132992</c:v>
                </c:pt>
                <c:pt idx="12">
                  <c:v>197426.19168285999</c:v>
                </c:pt>
                <c:pt idx="13">
                  <c:v>203133.558616711</c:v>
                </c:pt>
                <c:pt idx="14">
                  <c:v>207495.04445485002</c:v>
                </c:pt>
                <c:pt idx="15">
                  <c:v>212683.30952500002</c:v>
                </c:pt>
                <c:pt idx="16">
                  <c:v>205180.3578575899</c:v>
                </c:pt>
                <c:pt idx="17">
                  <c:v>223966.17878821</c:v>
                </c:pt>
                <c:pt idx="18">
                  <c:v>215317.08674871002</c:v>
                </c:pt>
                <c:pt idx="19">
                  <c:v>219434.1136922001</c:v>
                </c:pt>
                <c:pt idx="20">
                  <c:v>217532.3864280899</c:v>
                </c:pt>
                <c:pt idx="21">
                  <c:v>225144.80402801</c:v>
                </c:pt>
                <c:pt idx="22">
                  <c:v>230826.16838046</c:v>
                </c:pt>
                <c:pt idx="23">
                  <c:v>240124.76863011991</c:v>
                </c:pt>
                <c:pt idx="24">
                  <c:v>243518.97047475999</c:v>
                </c:pt>
                <c:pt idx="25">
                  <c:v>250379.34683329012</c:v>
                </c:pt>
                <c:pt idx="26">
                  <c:v>268716.31634870981</c:v>
                </c:pt>
                <c:pt idx="27">
                  <c:v>289834.96921582008</c:v>
                </c:pt>
                <c:pt idx="28">
                  <c:v>298124.73060619988</c:v>
                </c:pt>
                <c:pt idx="29">
                  <c:v>309193.83788834891</c:v>
                </c:pt>
                <c:pt idx="30">
                  <c:v>319690.63959725003</c:v>
                </c:pt>
                <c:pt idx="31">
                  <c:v>322816.69516869</c:v>
                </c:pt>
                <c:pt idx="32">
                  <c:v>333147.76802813</c:v>
                </c:pt>
                <c:pt idx="33">
                  <c:v>342038.76808186097</c:v>
                </c:pt>
                <c:pt idx="34">
                  <c:v>350988.69883716002</c:v>
                </c:pt>
                <c:pt idx="35">
                  <c:v>378999.47366451001</c:v>
                </c:pt>
                <c:pt idx="36">
                  <c:v>376083.34598436003</c:v>
                </c:pt>
                <c:pt idx="37">
                  <c:v>382347.36693620001</c:v>
                </c:pt>
                <c:pt idx="38">
                  <c:v>385974.22140588</c:v>
                </c:pt>
                <c:pt idx="39">
                  <c:v>399122.57016165997</c:v>
                </c:pt>
                <c:pt idx="40">
                  <c:v>399184.40645347</c:v>
                </c:pt>
                <c:pt idx="41">
                  <c:v>418060.33884784998</c:v>
                </c:pt>
                <c:pt idx="42">
                  <c:v>415667.54390448995</c:v>
                </c:pt>
                <c:pt idx="43">
                  <c:v>415148.42630645004</c:v>
                </c:pt>
                <c:pt idx="44">
                  <c:v>423063.03351369</c:v>
                </c:pt>
                <c:pt idx="45">
                  <c:v>425867.39711513999</c:v>
                </c:pt>
                <c:pt idx="46">
                  <c:v>434788.35764067003</c:v>
                </c:pt>
                <c:pt idx="47">
                  <c:v>473241.76335698005</c:v>
                </c:pt>
                <c:pt idx="48">
                  <c:v>452457.01816608</c:v>
                </c:pt>
                <c:pt idx="49">
                  <c:v>449299.43335474003</c:v>
                </c:pt>
                <c:pt idx="50">
                  <c:v>533219.56618367997</c:v>
                </c:pt>
                <c:pt idx="51">
                  <c:v>551902.45195742208</c:v>
                </c:pt>
                <c:pt idx="52">
                  <c:v>554902.37299110007</c:v>
                </c:pt>
                <c:pt idx="53">
                  <c:v>588127.19632165995</c:v>
                </c:pt>
                <c:pt idx="54">
                  <c:v>632875.12398799998</c:v>
                </c:pt>
                <c:pt idx="55">
                  <c:v>641320.92640146997</c:v>
                </c:pt>
                <c:pt idx="56">
                  <c:v>647875.94809693005</c:v>
                </c:pt>
                <c:pt idx="57">
                  <c:v>650752.63771520997</c:v>
                </c:pt>
                <c:pt idx="58">
                  <c:v>665163.13984876999</c:v>
                </c:pt>
                <c:pt idx="59">
                  <c:v>711848.34807747998</c:v>
                </c:pt>
                <c:pt idx="60">
                  <c:v>690454.71785438003</c:v>
                </c:pt>
                <c:pt idx="61">
                  <c:v>688883.77369903005</c:v>
                </c:pt>
                <c:pt idx="62">
                  <c:v>688445.48872642894</c:v>
                </c:pt>
                <c:pt idx="63">
                  <c:v>695358.33344469999</c:v>
                </c:pt>
              </c:numCache>
            </c:numRef>
          </c:val>
          <c:smooth val="0"/>
          <c:extLst>
            <c:ext xmlns:c16="http://schemas.microsoft.com/office/drawing/2014/chart" uri="{C3380CC4-5D6E-409C-BE32-E72D297353CC}">
              <c16:uniqueId val="{00000000-ECED-4272-9F4F-393E08431E75}"/>
            </c:ext>
          </c:extLst>
        </c:ser>
        <c:ser>
          <c:idx val="1"/>
          <c:order val="1"/>
          <c:tx>
            <c:strRef>
              <c:f>Лист1!$E$5</c:f>
              <c:strCache>
                <c:ptCount val="1"/>
                <c:pt idx="0">
                  <c:v>до 1 року</c:v>
                </c:pt>
              </c:strCache>
            </c:strRef>
          </c:tx>
          <c:spPr>
            <a:ln w="22225" cap="rnd" cmpd="sng" algn="ctr">
              <a:solidFill>
                <a:schemeClr val="dk1">
                  <a:tint val="55000"/>
                </a:schemeClr>
              </a:solidFill>
              <a:round/>
            </a:ln>
            <a:effectLst/>
          </c:spPr>
          <c:marker>
            <c:symbol val="none"/>
          </c:marker>
          <c:cat>
            <c:multiLvlStrRef>
              <c:f>Лист1!$A$6:$C$69</c:f>
              <c:multiLvlStrCache>
                <c:ptCount val="64"/>
                <c:lvl>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січень</c:v>
                  </c:pt>
                  <c:pt idx="13">
                    <c:v>лютий</c:v>
                  </c:pt>
                  <c:pt idx="14">
                    <c:v>березень</c:v>
                  </c:pt>
                  <c:pt idx="15">
                    <c:v>квітень</c:v>
                  </c:pt>
                  <c:pt idx="16">
                    <c:v>травень</c:v>
                  </c:pt>
                  <c:pt idx="17">
                    <c:v>червень</c:v>
                  </c:pt>
                  <c:pt idx="18">
                    <c:v>липень</c:v>
                  </c:pt>
                  <c:pt idx="19">
                    <c:v>серпень</c:v>
                  </c:pt>
                  <c:pt idx="20">
                    <c:v>вересень</c:v>
                  </c:pt>
                  <c:pt idx="21">
                    <c:v>жовтень</c:v>
                  </c:pt>
                  <c:pt idx="22">
                    <c:v>листопад</c:v>
                  </c:pt>
                  <c:pt idx="23">
                    <c:v>грудень</c:v>
                  </c:pt>
                  <c:pt idx="24">
                    <c:v>січень</c:v>
                  </c:pt>
                  <c:pt idx="25">
                    <c:v>лютий</c:v>
                  </c:pt>
                  <c:pt idx="26">
                    <c:v>березень</c:v>
                  </c:pt>
                  <c:pt idx="27">
                    <c:v>квітень</c:v>
                  </c:pt>
                  <c:pt idx="28">
                    <c:v>травень</c:v>
                  </c:pt>
                  <c:pt idx="29">
                    <c:v>червень</c:v>
                  </c:pt>
                  <c:pt idx="30">
                    <c:v>липень</c:v>
                  </c:pt>
                  <c:pt idx="31">
                    <c:v>серпень</c:v>
                  </c:pt>
                  <c:pt idx="32">
                    <c:v>вересень</c:v>
                  </c:pt>
                  <c:pt idx="33">
                    <c:v>жовтень</c:v>
                  </c:pt>
                  <c:pt idx="34">
                    <c:v>листопад</c:v>
                  </c:pt>
                  <c:pt idx="35">
                    <c:v>грудень</c:v>
                  </c:pt>
                  <c:pt idx="36">
                    <c:v>січень</c:v>
                  </c:pt>
                  <c:pt idx="37">
                    <c:v>лютий</c:v>
                  </c:pt>
                  <c:pt idx="38">
                    <c:v>березень</c:v>
                  </c:pt>
                  <c:pt idx="39">
                    <c:v>квітень</c:v>
                  </c:pt>
                  <c:pt idx="40">
                    <c:v>травень</c:v>
                  </c:pt>
                  <c:pt idx="41">
                    <c:v>червень</c:v>
                  </c:pt>
                  <c:pt idx="42">
                    <c:v>липень</c:v>
                  </c:pt>
                  <c:pt idx="43">
                    <c:v>серпень</c:v>
                  </c:pt>
                  <c:pt idx="44">
                    <c:v>вересень</c:v>
                  </c:pt>
                  <c:pt idx="45">
                    <c:v>жовтень</c:v>
                  </c:pt>
                  <c:pt idx="46">
                    <c:v>листопад</c:v>
                  </c:pt>
                  <c:pt idx="47">
                    <c:v>грудень</c:v>
                  </c:pt>
                  <c:pt idx="48">
                    <c:v>січень</c:v>
                  </c:pt>
                  <c:pt idx="49">
                    <c:v>лютий</c:v>
                  </c:pt>
                  <c:pt idx="50">
                    <c:v>березень</c:v>
                  </c:pt>
                  <c:pt idx="51">
                    <c:v>квітень</c:v>
                  </c:pt>
                  <c:pt idx="52">
                    <c:v>травень</c:v>
                  </c:pt>
                  <c:pt idx="53">
                    <c:v>червень</c:v>
                  </c:pt>
                  <c:pt idx="54">
                    <c:v>липень</c:v>
                  </c:pt>
                  <c:pt idx="55">
                    <c:v>серпень</c:v>
                  </c:pt>
                  <c:pt idx="56">
                    <c:v>вересень</c:v>
                  </c:pt>
                  <c:pt idx="57">
                    <c:v>жовтень</c:v>
                  </c:pt>
                  <c:pt idx="58">
                    <c:v>листопад</c:v>
                  </c:pt>
                  <c:pt idx="59">
                    <c:v>грудень</c:v>
                  </c:pt>
                  <c:pt idx="60">
                    <c:v>січень</c:v>
                  </c:pt>
                  <c:pt idx="61">
                    <c:v>лютий</c:v>
                  </c:pt>
                  <c:pt idx="62">
                    <c:v>березень</c:v>
                  </c:pt>
                  <c:pt idx="63">
                    <c:v>квітень</c:v>
                  </c:pt>
                </c:lvl>
                <c:lvl>
                  <c:pt idx="0">
                    <c:v>2018</c:v>
                  </c:pt>
                  <c:pt idx="12">
                    <c:v>2019</c:v>
                  </c:pt>
                  <c:pt idx="24">
                    <c:v>2020</c:v>
                  </c:pt>
                  <c:pt idx="36">
                    <c:v>2021</c:v>
                  </c:pt>
                  <c:pt idx="48">
                    <c:v>2022</c:v>
                  </c:pt>
                  <c:pt idx="60">
                    <c:v>2023</c:v>
                  </c:pt>
                </c:lvl>
              </c:multiLvlStrCache>
            </c:multiLvlStrRef>
          </c:cat>
          <c:val>
            <c:numRef>
              <c:f>Лист1!$E$6:$E$69</c:f>
              <c:numCache>
                <c:formatCode>#\ ##0;\–#\ ##0;"–"</c:formatCode>
                <c:ptCount val="64"/>
                <c:pt idx="0">
                  <c:v>181636.03005537996</c:v>
                </c:pt>
                <c:pt idx="1">
                  <c:v>181107.53160317001</c:v>
                </c:pt>
                <c:pt idx="2">
                  <c:v>182148.34690330998</c:v>
                </c:pt>
                <c:pt idx="3">
                  <c:v>185531.33990329999</c:v>
                </c:pt>
                <c:pt idx="4">
                  <c:v>186130.2055531501</c:v>
                </c:pt>
                <c:pt idx="5">
                  <c:v>188690.03047626989</c:v>
                </c:pt>
                <c:pt idx="6">
                  <c:v>191355.8683249802</c:v>
                </c:pt>
                <c:pt idx="7">
                  <c:v>202509.55585537999</c:v>
                </c:pt>
                <c:pt idx="8">
                  <c:v>205188.77335238003</c:v>
                </c:pt>
                <c:pt idx="9">
                  <c:v>206426.59311600999</c:v>
                </c:pt>
                <c:pt idx="10">
                  <c:v>209451.44637670001</c:v>
                </c:pt>
                <c:pt idx="11">
                  <c:v>210187.74424375989</c:v>
                </c:pt>
                <c:pt idx="12">
                  <c:v>213118.74502169999</c:v>
                </c:pt>
                <c:pt idx="13">
                  <c:v>215242.78906291001</c:v>
                </c:pt>
                <c:pt idx="14">
                  <c:v>218280.10866052</c:v>
                </c:pt>
                <c:pt idx="15">
                  <c:v>218684.28893227002</c:v>
                </c:pt>
                <c:pt idx="16">
                  <c:v>221470.6270369</c:v>
                </c:pt>
                <c:pt idx="17">
                  <c:v>224380.87414547999</c:v>
                </c:pt>
                <c:pt idx="18">
                  <c:v>219446.27820363001</c:v>
                </c:pt>
                <c:pt idx="19">
                  <c:v>224640.35620554999</c:v>
                </c:pt>
                <c:pt idx="20">
                  <c:v>225441.20510932</c:v>
                </c:pt>
                <c:pt idx="21">
                  <c:v>234769.55556196999</c:v>
                </c:pt>
                <c:pt idx="22">
                  <c:v>234923.7284807</c:v>
                </c:pt>
                <c:pt idx="23">
                  <c:v>237690.31385382</c:v>
                </c:pt>
                <c:pt idx="24">
                  <c:v>247248.05670279998</c:v>
                </c:pt>
                <c:pt idx="25">
                  <c:v>249141.25206259999</c:v>
                </c:pt>
                <c:pt idx="26">
                  <c:v>256378.74061638999</c:v>
                </c:pt>
                <c:pt idx="27">
                  <c:v>245140.33166093001</c:v>
                </c:pt>
                <c:pt idx="28">
                  <c:v>243020.94280366</c:v>
                </c:pt>
                <c:pt idx="29">
                  <c:v>241913.31376398</c:v>
                </c:pt>
                <c:pt idx="30">
                  <c:v>242599.49998783</c:v>
                </c:pt>
                <c:pt idx="31">
                  <c:v>238049.39859351999</c:v>
                </c:pt>
                <c:pt idx="32">
                  <c:v>240460.18322180997</c:v>
                </c:pt>
                <c:pt idx="33">
                  <c:v>239566.06668217003</c:v>
                </c:pt>
                <c:pt idx="34">
                  <c:v>238512.98198193999</c:v>
                </c:pt>
                <c:pt idx="35">
                  <c:v>237492.63214131998</c:v>
                </c:pt>
                <c:pt idx="36">
                  <c:v>236926.06233098998</c:v>
                </c:pt>
                <c:pt idx="37">
                  <c:v>236490.90506238001</c:v>
                </c:pt>
                <c:pt idx="38">
                  <c:v>233240.76969079988</c:v>
                </c:pt>
                <c:pt idx="39">
                  <c:v>230629.5558084299</c:v>
                </c:pt>
                <c:pt idx="40">
                  <c:v>225799.78831942999</c:v>
                </c:pt>
                <c:pt idx="41">
                  <c:v>220644.35936449</c:v>
                </c:pt>
                <c:pt idx="42">
                  <c:v>217556.23631571</c:v>
                </c:pt>
                <c:pt idx="43">
                  <c:v>215183.68261197</c:v>
                </c:pt>
                <c:pt idx="44">
                  <c:v>212155.41354689002</c:v>
                </c:pt>
                <c:pt idx="45">
                  <c:v>211443.86785827999</c:v>
                </c:pt>
                <c:pt idx="46">
                  <c:v>211708.5967999901</c:v>
                </c:pt>
                <c:pt idx="47">
                  <c:v>209207.20312344999</c:v>
                </c:pt>
                <c:pt idx="48">
                  <c:v>207834.52995092</c:v>
                </c:pt>
                <c:pt idx="49">
                  <c:v>197203.60763784999</c:v>
                </c:pt>
                <c:pt idx="50">
                  <c:v>183184.98952542999</c:v>
                </c:pt>
                <c:pt idx="51">
                  <c:v>177619.69585069001</c:v>
                </c:pt>
                <c:pt idx="52">
                  <c:v>174595.79026968998</c:v>
                </c:pt>
                <c:pt idx="53">
                  <c:v>173665.68288664002</c:v>
                </c:pt>
                <c:pt idx="54">
                  <c:v>188004.84351595992</c:v>
                </c:pt>
                <c:pt idx="55">
                  <c:v>193916.68359878002</c:v>
                </c:pt>
                <c:pt idx="56">
                  <c:v>202790.36527343001</c:v>
                </c:pt>
                <c:pt idx="57">
                  <c:v>212841.96856327989</c:v>
                </c:pt>
                <c:pt idx="58">
                  <c:v>225451.6040808</c:v>
                </c:pt>
                <c:pt idx="59">
                  <c:v>238154.36250875</c:v>
                </c:pt>
                <c:pt idx="60">
                  <c:v>250344.34261688998</c:v>
                </c:pt>
                <c:pt idx="61">
                  <c:v>264611.17541341</c:v>
                </c:pt>
                <c:pt idx="62">
                  <c:v>299046.32560792996</c:v>
                </c:pt>
                <c:pt idx="63">
                  <c:v>295974.86370043003</c:v>
                </c:pt>
              </c:numCache>
            </c:numRef>
          </c:val>
          <c:smooth val="0"/>
          <c:extLst>
            <c:ext xmlns:c16="http://schemas.microsoft.com/office/drawing/2014/chart" uri="{C3380CC4-5D6E-409C-BE32-E72D297353CC}">
              <c16:uniqueId val="{00000001-ECED-4272-9F4F-393E08431E75}"/>
            </c:ext>
          </c:extLst>
        </c:ser>
        <c:ser>
          <c:idx val="2"/>
          <c:order val="2"/>
          <c:tx>
            <c:strRef>
              <c:f>Лист1!$F$5</c:f>
              <c:strCache>
                <c:ptCount val="1"/>
                <c:pt idx="0">
                  <c:v>від  1 року до 2 років</c:v>
                </c:pt>
              </c:strCache>
            </c:strRef>
          </c:tx>
          <c:spPr>
            <a:ln w="22225" cap="rnd" cmpd="sng" algn="ctr">
              <a:solidFill>
                <a:schemeClr val="dk1">
                  <a:tint val="75000"/>
                </a:schemeClr>
              </a:solidFill>
              <a:round/>
            </a:ln>
            <a:effectLst/>
          </c:spPr>
          <c:marker>
            <c:symbol val="none"/>
          </c:marker>
          <c:cat>
            <c:multiLvlStrRef>
              <c:f>Лист1!$A$6:$C$69</c:f>
              <c:multiLvlStrCache>
                <c:ptCount val="64"/>
                <c:lvl>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січень</c:v>
                  </c:pt>
                  <c:pt idx="13">
                    <c:v>лютий</c:v>
                  </c:pt>
                  <c:pt idx="14">
                    <c:v>березень</c:v>
                  </c:pt>
                  <c:pt idx="15">
                    <c:v>квітень</c:v>
                  </c:pt>
                  <c:pt idx="16">
                    <c:v>травень</c:v>
                  </c:pt>
                  <c:pt idx="17">
                    <c:v>червень</c:v>
                  </c:pt>
                  <c:pt idx="18">
                    <c:v>липень</c:v>
                  </c:pt>
                  <c:pt idx="19">
                    <c:v>серпень</c:v>
                  </c:pt>
                  <c:pt idx="20">
                    <c:v>вересень</c:v>
                  </c:pt>
                  <c:pt idx="21">
                    <c:v>жовтень</c:v>
                  </c:pt>
                  <c:pt idx="22">
                    <c:v>листопад</c:v>
                  </c:pt>
                  <c:pt idx="23">
                    <c:v>грудень</c:v>
                  </c:pt>
                  <c:pt idx="24">
                    <c:v>січень</c:v>
                  </c:pt>
                  <c:pt idx="25">
                    <c:v>лютий</c:v>
                  </c:pt>
                  <c:pt idx="26">
                    <c:v>березень</c:v>
                  </c:pt>
                  <c:pt idx="27">
                    <c:v>квітень</c:v>
                  </c:pt>
                  <c:pt idx="28">
                    <c:v>травень</c:v>
                  </c:pt>
                  <c:pt idx="29">
                    <c:v>червень</c:v>
                  </c:pt>
                  <c:pt idx="30">
                    <c:v>липень</c:v>
                  </c:pt>
                  <c:pt idx="31">
                    <c:v>серпень</c:v>
                  </c:pt>
                  <c:pt idx="32">
                    <c:v>вересень</c:v>
                  </c:pt>
                  <c:pt idx="33">
                    <c:v>жовтень</c:v>
                  </c:pt>
                  <c:pt idx="34">
                    <c:v>листопад</c:v>
                  </c:pt>
                  <c:pt idx="35">
                    <c:v>грудень</c:v>
                  </c:pt>
                  <c:pt idx="36">
                    <c:v>січень</c:v>
                  </c:pt>
                  <c:pt idx="37">
                    <c:v>лютий</c:v>
                  </c:pt>
                  <c:pt idx="38">
                    <c:v>березень</c:v>
                  </c:pt>
                  <c:pt idx="39">
                    <c:v>квітень</c:v>
                  </c:pt>
                  <c:pt idx="40">
                    <c:v>травень</c:v>
                  </c:pt>
                  <c:pt idx="41">
                    <c:v>червень</c:v>
                  </c:pt>
                  <c:pt idx="42">
                    <c:v>липень</c:v>
                  </c:pt>
                  <c:pt idx="43">
                    <c:v>серпень</c:v>
                  </c:pt>
                  <c:pt idx="44">
                    <c:v>вересень</c:v>
                  </c:pt>
                  <c:pt idx="45">
                    <c:v>жовтень</c:v>
                  </c:pt>
                  <c:pt idx="46">
                    <c:v>листопад</c:v>
                  </c:pt>
                  <c:pt idx="47">
                    <c:v>грудень</c:v>
                  </c:pt>
                  <c:pt idx="48">
                    <c:v>січень</c:v>
                  </c:pt>
                  <c:pt idx="49">
                    <c:v>лютий</c:v>
                  </c:pt>
                  <c:pt idx="50">
                    <c:v>березень</c:v>
                  </c:pt>
                  <c:pt idx="51">
                    <c:v>квітень</c:v>
                  </c:pt>
                  <c:pt idx="52">
                    <c:v>травень</c:v>
                  </c:pt>
                  <c:pt idx="53">
                    <c:v>червень</c:v>
                  </c:pt>
                  <c:pt idx="54">
                    <c:v>липень</c:v>
                  </c:pt>
                  <c:pt idx="55">
                    <c:v>серпень</c:v>
                  </c:pt>
                  <c:pt idx="56">
                    <c:v>вересень</c:v>
                  </c:pt>
                  <c:pt idx="57">
                    <c:v>жовтень</c:v>
                  </c:pt>
                  <c:pt idx="58">
                    <c:v>листопад</c:v>
                  </c:pt>
                  <c:pt idx="59">
                    <c:v>грудень</c:v>
                  </c:pt>
                  <c:pt idx="60">
                    <c:v>січень</c:v>
                  </c:pt>
                  <c:pt idx="61">
                    <c:v>лютий</c:v>
                  </c:pt>
                  <c:pt idx="62">
                    <c:v>березень</c:v>
                  </c:pt>
                  <c:pt idx="63">
                    <c:v>квітень</c:v>
                  </c:pt>
                </c:lvl>
                <c:lvl>
                  <c:pt idx="0">
                    <c:v>2018</c:v>
                  </c:pt>
                  <c:pt idx="12">
                    <c:v>2019</c:v>
                  </c:pt>
                  <c:pt idx="24">
                    <c:v>2020</c:v>
                  </c:pt>
                  <c:pt idx="36">
                    <c:v>2021</c:v>
                  </c:pt>
                  <c:pt idx="48">
                    <c:v>2022</c:v>
                  </c:pt>
                  <c:pt idx="60">
                    <c:v>2023</c:v>
                  </c:pt>
                </c:lvl>
              </c:multiLvlStrCache>
            </c:multiLvlStrRef>
          </c:cat>
          <c:val>
            <c:numRef>
              <c:f>Лист1!$F$6:$F$69</c:f>
              <c:numCache>
                <c:formatCode>#\ ##0;\–#\ ##0;"–"</c:formatCode>
                <c:ptCount val="64"/>
                <c:pt idx="0">
                  <c:v>141645.79964502004</c:v>
                </c:pt>
                <c:pt idx="1">
                  <c:v>136200.35189034996</c:v>
                </c:pt>
                <c:pt idx="2">
                  <c:v>132434.62054455999</c:v>
                </c:pt>
                <c:pt idx="3">
                  <c:v>127544.36997160001</c:v>
                </c:pt>
                <c:pt idx="4">
                  <c:v>123705.75710235001</c:v>
                </c:pt>
                <c:pt idx="5">
                  <c:v>121656.00843118</c:v>
                </c:pt>
                <c:pt idx="6">
                  <c:v>121439.55961396999</c:v>
                </c:pt>
                <c:pt idx="7">
                  <c:v>120256.04563678999</c:v>
                </c:pt>
                <c:pt idx="8">
                  <c:v>119063.62649008</c:v>
                </c:pt>
                <c:pt idx="9">
                  <c:v>116546.88547496</c:v>
                </c:pt>
                <c:pt idx="10">
                  <c:v>115525.13543838001</c:v>
                </c:pt>
                <c:pt idx="11">
                  <c:v>109894.78527016001</c:v>
                </c:pt>
                <c:pt idx="12">
                  <c:v>110381.35057287</c:v>
                </c:pt>
                <c:pt idx="13">
                  <c:v>105791.88918615</c:v>
                </c:pt>
                <c:pt idx="14">
                  <c:v>103694.59257942002</c:v>
                </c:pt>
                <c:pt idx="15">
                  <c:v>99576.03078505001</c:v>
                </c:pt>
                <c:pt idx="16">
                  <c:v>98952.689725839999</c:v>
                </c:pt>
                <c:pt idx="17">
                  <c:v>93679.453262359995</c:v>
                </c:pt>
                <c:pt idx="18">
                  <c:v>94624.420992829997</c:v>
                </c:pt>
                <c:pt idx="19">
                  <c:v>94678.239747340005</c:v>
                </c:pt>
                <c:pt idx="20">
                  <c:v>91257.959340550005</c:v>
                </c:pt>
                <c:pt idx="21">
                  <c:v>93355.97193426</c:v>
                </c:pt>
                <c:pt idx="22">
                  <c:v>92025.264023020005</c:v>
                </c:pt>
                <c:pt idx="23">
                  <c:v>92668.501644780001</c:v>
                </c:pt>
                <c:pt idx="24">
                  <c:v>96020.825283690006</c:v>
                </c:pt>
                <c:pt idx="25">
                  <c:v>96175.369852579999</c:v>
                </c:pt>
                <c:pt idx="26">
                  <c:v>103159.1906209</c:v>
                </c:pt>
                <c:pt idx="27">
                  <c:v>99876.300385590002</c:v>
                </c:pt>
                <c:pt idx="28">
                  <c:v>99871.055556439998</c:v>
                </c:pt>
                <c:pt idx="29">
                  <c:v>100601.49187686</c:v>
                </c:pt>
                <c:pt idx="30">
                  <c:v>103797.87975486999</c:v>
                </c:pt>
                <c:pt idx="31">
                  <c:v>103773.24068783</c:v>
                </c:pt>
                <c:pt idx="32">
                  <c:v>105431.31535063</c:v>
                </c:pt>
                <c:pt idx="33">
                  <c:v>106064.7018547601</c:v>
                </c:pt>
                <c:pt idx="34">
                  <c:v>105208.64558856</c:v>
                </c:pt>
                <c:pt idx="35">
                  <c:v>104883.3491046101</c:v>
                </c:pt>
                <c:pt idx="36">
                  <c:v>104673.08615486999</c:v>
                </c:pt>
                <c:pt idx="37">
                  <c:v>105179.01692116991</c:v>
                </c:pt>
                <c:pt idx="38">
                  <c:v>104223.41215393</c:v>
                </c:pt>
                <c:pt idx="39">
                  <c:v>104232.51484203001</c:v>
                </c:pt>
                <c:pt idx="40">
                  <c:v>102984.87061221999</c:v>
                </c:pt>
                <c:pt idx="41">
                  <c:v>101364.47792997</c:v>
                </c:pt>
                <c:pt idx="42">
                  <c:v>100411.60224194001</c:v>
                </c:pt>
                <c:pt idx="43">
                  <c:v>99282.523455090006</c:v>
                </c:pt>
                <c:pt idx="44">
                  <c:v>98657.279231400098</c:v>
                </c:pt>
                <c:pt idx="45">
                  <c:v>98012.156311929997</c:v>
                </c:pt>
                <c:pt idx="46">
                  <c:v>100411.80654737999</c:v>
                </c:pt>
                <c:pt idx="47">
                  <c:v>101748.04140707001</c:v>
                </c:pt>
                <c:pt idx="48">
                  <c:v>103082.73073152</c:v>
                </c:pt>
                <c:pt idx="49">
                  <c:v>100948.69801815</c:v>
                </c:pt>
                <c:pt idx="50">
                  <c:v>97543.239021689995</c:v>
                </c:pt>
                <c:pt idx="51">
                  <c:v>95812.907835100006</c:v>
                </c:pt>
                <c:pt idx="52">
                  <c:v>94731.669870530008</c:v>
                </c:pt>
                <c:pt idx="53">
                  <c:v>92377.168149029996</c:v>
                </c:pt>
                <c:pt idx="54">
                  <c:v>96838.579743970011</c:v>
                </c:pt>
                <c:pt idx="55">
                  <c:v>93946.65807469</c:v>
                </c:pt>
                <c:pt idx="56">
                  <c:v>92062.803033389995</c:v>
                </c:pt>
                <c:pt idx="57">
                  <c:v>90033.623138930008</c:v>
                </c:pt>
                <c:pt idx="58">
                  <c:v>86622.876611979998</c:v>
                </c:pt>
                <c:pt idx="59">
                  <c:v>85358.939422199997</c:v>
                </c:pt>
                <c:pt idx="60">
                  <c:v>84787.753987589997</c:v>
                </c:pt>
                <c:pt idx="61">
                  <c:v>83608.384141820003</c:v>
                </c:pt>
                <c:pt idx="62">
                  <c:v>58160.055584990005</c:v>
                </c:pt>
                <c:pt idx="63">
                  <c:v>59870.441788150099</c:v>
                </c:pt>
              </c:numCache>
            </c:numRef>
          </c:val>
          <c:smooth val="0"/>
          <c:extLst>
            <c:ext xmlns:c16="http://schemas.microsoft.com/office/drawing/2014/chart" uri="{C3380CC4-5D6E-409C-BE32-E72D297353CC}">
              <c16:uniqueId val="{00000002-ECED-4272-9F4F-393E08431E75}"/>
            </c:ext>
          </c:extLst>
        </c:ser>
        <c:ser>
          <c:idx val="3"/>
          <c:order val="3"/>
          <c:tx>
            <c:strRef>
              <c:f>Лист1!$G$5</c:f>
              <c:strCache>
                <c:ptCount val="1"/>
                <c:pt idx="0">
                  <c:v>більше 2 років</c:v>
                </c:pt>
              </c:strCache>
            </c:strRef>
          </c:tx>
          <c:spPr>
            <a:ln w="22225" cap="rnd" cmpd="sng" algn="ctr">
              <a:solidFill>
                <a:schemeClr val="dk1">
                  <a:tint val="98500"/>
                </a:schemeClr>
              </a:solidFill>
              <a:round/>
            </a:ln>
            <a:effectLst/>
          </c:spPr>
          <c:marker>
            <c:symbol val="none"/>
          </c:marker>
          <c:cat>
            <c:multiLvlStrRef>
              <c:f>Лист1!$A$6:$C$69</c:f>
              <c:multiLvlStrCache>
                <c:ptCount val="64"/>
                <c:lvl>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січень</c:v>
                  </c:pt>
                  <c:pt idx="13">
                    <c:v>лютий</c:v>
                  </c:pt>
                  <c:pt idx="14">
                    <c:v>березень</c:v>
                  </c:pt>
                  <c:pt idx="15">
                    <c:v>квітень</c:v>
                  </c:pt>
                  <c:pt idx="16">
                    <c:v>травень</c:v>
                  </c:pt>
                  <c:pt idx="17">
                    <c:v>червень</c:v>
                  </c:pt>
                  <c:pt idx="18">
                    <c:v>липень</c:v>
                  </c:pt>
                  <c:pt idx="19">
                    <c:v>серпень</c:v>
                  </c:pt>
                  <c:pt idx="20">
                    <c:v>вересень</c:v>
                  </c:pt>
                  <c:pt idx="21">
                    <c:v>жовтень</c:v>
                  </c:pt>
                  <c:pt idx="22">
                    <c:v>листопад</c:v>
                  </c:pt>
                  <c:pt idx="23">
                    <c:v>грудень</c:v>
                  </c:pt>
                  <c:pt idx="24">
                    <c:v>січень</c:v>
                  </c:pt>
                  <c:pt idx="25">
                    <c:v>лютий</c:v>
                  </c:pt>
                  <c:pt idx="26">
                    <c:v>березень</c:v>
                  </c:pt>
                  <c:pt idx="27">
                    <c:v>квітень</c:v>
                  </c:pt>
                  <c:pt idx="28">
                    <c:v>травень</c:v>
                  </c:pt>
                  <c:pt idx="29">
                    <c:v>червень</c:v>
                  </c:pt>
                  <c:pt idx="30">
                    <c:v>липень</c:v>
                  </c:pt>
                  <c:pt idx="31">
                    <c:v>серпень</c:v>
                  </c:pt>
                  <c:pt idx="32">
                    <c:v>вересень</c:v>
                  </c:pt>
                  <c:pt idx="33">
                    <c:v>жовтень</c:v>
                  </c:pt>
                  <c:pt idx="34">
                    <c:v>листопад</c:v>
                  </c:pt>
                  <c:pt idx="35">
                    <c:v>грудень</c:v>
                  </c:pt>
                  <c:pt idx="36">
                    <c:v>січень</c:v>
                  </c:pt>
                  <c:pt idx="37">
                    <c:v>лютий</c:v>
                  </c:pt>
                  <c:pt idx="38">
                    <c:v>березень</c:v>
                  </c:pt>
                  <c:pt idx="39">
                    <c:v>квітень</c:v>
                  </c:pt>
                  <c:pt idx="40">
                    <c:v>травень</c:v>
                  </c:pt>
                  <c:pt idx="41">
                    <c:v>червень</c:v>
                  </c:pt>
                  <c:pt idx="42">
                    <c:v>липень</c:v>
                  </c:pt>
                  <c:pt idx="43">
                    <c:v>серпень</c:v>
                  </c:pt>
                  <c:pt idx="44">
                    <c:v>вересень</c:v>
                  </c:pt>
                  <c:pt idx="45">
                    <c:v>жовтень</c:v>
                  </c:pt>
                  <c:pt idx="46">
                    <c:v>листопад</c:v>
                  </c:pt>
                  <c:pt idx="47">
                    <c:v>грудень</c:v>
                  </c:pt>
                  <c:pt idx="48">
                    <c:v>січень</c:v>
                  </c:pt>
                  <c:pt idx="49">
                    <c:v>лютий</c:v>
                  </c:pt>
                  <c:pt idx="50">
                    <c:v>березень</c:v>
                  </c:pt>
                  <c:pt idx="51">
                    <c:v>квітень</c:v>
                  </c:pt>
                  <c:pt idx="52">
                    <c:v>травень</c:v>
                  </c:pt>
                  <c:pt idx="53">
                    <c:v>червень</c:v>
                  </c:pt>
                  <c:pt idx="54">
                    <c:v>липень</c:v>
                  </c:pt>
                  <c:pt idx="55">
                    <c:v>серпень</c:v>
                  </c:pt>
                  <c:pt idx="56">
                    <c:v>вересень</c:v>
                  </c:pt>
                  <c:pt idx="57">
                    <c:v>жовтень</c:v>
                  </c:pt>
                  <c:pt idx="58">
                    <c:v>листопад</c:v>
                  </c:pt>
                  <c:pt idx="59">
                    <c:v>грудень</c:v>
                  </c:pt>
                  <c:pt idx="60">
                    <c:v>січень</c:v>
                  </c:pt>
                  <c:pt idx="61">
                    <c:v>лютий</c:v>
                  </c:pt>
                  <c:pt idx="62">
                    <c:v>березень</c:v>
                  </c:pt>
                  <c:pt idx="63">
                    <c:v>квітень</c:v>
                  </c:pt>
                </c:lvl>
                <c:lvl>
                  <c:pt idx="0">
                    <c:v>2018</c:v>
                  </c:pt>
                  <c:pt idx="12">
                    <c:v>2019</c:v>
                  </c:pt>
                  <c:pt idx="24">
                    <c:v>2020</c:v>
                  </c:pt>
                  <c:pt idx="36">
                    <c:v>2021</c:v>
                  </c:pt>
                  <c:pt idx="48">
                    <c:v>2022</c:v>
                  </c:pt>
                  <c:pt idx="60">
                    <c:v>2023</c:v>
                  </c:pt>
                </c:lvl>
              </c:multiLvlStrCache>
            </c:multiLvlStrRef>
          </c:cat>
          <c:val>
            <c:numRef>
              <c:f>Лист1!$G$6:$G$69</c:f>
              <c:numCache>
                <c:formatCode>#\ ##0;\–#\ ##0;"–"</c:formatCode>
                <c:ptCount val="64"/>
                <c:pt idx="0">
                  <c:v>6299.4671578600028</c:v>
                </c:pt>
                <c:pt idx="1">
                  <c:v>6257.5381595399986</c:v>
                </c:pt>
                <c:pt idx="2">
                  <c:v>6677.3258435899988</c:v>
                </c:pt>
                <c:pt idx="3">
                  <c:v>6147.3859349300001</c:v>
                </c:pt>
                <c:pt idx="4">
                  <c:v>6146.1759681200001</c:v>
                </c:pt>
                <c:pt idx="5">
                  <c:v>6257.0988233100006</c:v>
                </c:pt>
                <c:pt idx="6">
                  <c:v>6460.3775468900003</c:v>
                </c:pt>
                <c:pt idx="7">
                  <c:v>6822.15909354</c:v>
                </c:pt>
                <c:pt idx="8">
                  <c:v>6927.7279568799995</c:v>
                </c:pt>
                <c:pt idx="9">
                  <c:v>6828.24221855</c:v>
                </c:pt>
                <c:pt idx="10">
                  <c:v>6772.7113042300007</c:v>
                </c:pt>
                <c:pt idx="11">
                  <c:v>6756.9828798200006</c:v>
                </c:pt>
                <c:pt idx="12">
                  <c:v>6804.8747154100001</c:v>
                </c:pt>
                <c:pt idx="13">
                  <c:v>7051.0519585000002</c:v>
                </c:pt>
                <c:pt idx="14">
                  <c:v>7557.8636689800005</c:v>
                </c:pt>
                <c:pt idx="15">
                  <c:v>7371.9359842399999</c:v>
                </c:pt>
                <c:pt idx="16">
                  <c:v>7306.9897648400001</c:v>
                </c:pt>
                <c:pt idx="17">
                  <c:v>6839.0904051500002</c:v>
                </c:pt>
                <c:pt idx="18">
                  <c:v>6190.2587574399995</c:v>
                </c:pt>
                <c:pt idx="19">
                  <c:v>6182.58094136</c:v>
                </c:pt>
                <c:pt idx="20">
                  <c:v>5763.0604271299999</c:v>
                </c:pt>
                <c:pt idx="21">
                  <c:v>5679.5797190499998</c:v>
                </c:pt>
                <c:pt idx="22">
                  <c:v>5543.8079574399999</c:v>
                </c:pt>
                <c:pt idx="23">
                  <c:v>5642.3335592700005</c:v>
                </c:pt>
                <c:pt idx="24">
                  <c:v>5845.9518852599995</c:v>
                </c:pt>
                <c:pt idx="25">
                  <c:v>5654.6394601900001</c:v>
                </c:pt>
                <c:pt idx="26">
                  <c:v>6126.0927010299993</c:v>
                </c:pt>
                <c:pt idx="27">
                  <c:v>6207.7285165599997</c:v>
                </c:pt>
                <c:pt idx="28">
                  <c:v>6371.9907375999992</c:v>
                </c:pt>
                <c:pt idx="29">
                  <c:v>6501.4160326199999</c:v>
                </c:pt>
                <c:pt idx="30">
                  <c:v>7179.8668132799994</c:v>
                </c:pt>
                <c:pt idx="31">
                  <c:v>7335.1708060199999</c:v>
                </c:pt>
                <c:pt idx="32">
                  <c:v>7536.4152420099999</c:v>
                </c:pt>
                <c:pt idx="33">
                  <c:v>8110.0489005500003</c:v>
                </c:pt>
                <c:pt idx="34">
                  <c:v>8595.4861932799995</c:v>
                </c:pt>
                <c:pt idx="35">
                  <c:v>8942.0299270800006</c:v>
                </c:pt>
                <c:pt idx="36">
                  <c:v>9099.8428439700001</c:v>
                </c:pt>
                <c:pt idx="37">
                  <c:v>9234.9482195300006</c:v>
                </c:pt>
                <c:pt idx="38">
                  <c:v>9320.4326761399989</c:v>
                </c:pt>
                <c:pt idx="39">
                  <c:v>9488.0041931399992</c:v>
                </c:pt>
                <c:pt idx="40">
                  <c:v>9470.9792585399991</c:v>
                </c:pt>
                <c:pt idx="41">
                  <c:v>9748.0262868199989</c:v>
                </c:pt>
                <c:pt idx="42">
                  <c:v>9790.3031054000003</c:v>
                </c:pt>
                <c:pt idx="43">
                  <c:v>10015.005229079999</c:v>
                </c:pt>
                <c:pt idx="44">
                  <c:v>9954.9903086300001</c:v>
                </c:pt>
                <c:pt idx="45">
                  <c:v>9777.9957558100014</c:v>
                </c:pt>
                <c:pt idx="46">
                  <c:v>10132.215811890001</c:v>
                </c:pt>
                <c:pt idx="47">
                  <c:v>9954.8060855799995</c:v>
                </c:pt>
                <c:pt idx="48">
                  <c:v>10456.37970516</c:v>
                </c:pt>
                <c:pt idx="49">
                  <c:v>10213.21389297</c:v>
                </c:pt>
                <c:pt idx="50">
                  <c:v>10121.65423925</c:v>
                </c:pt>
                <c:pt idx="51">
                  <c:v>9724.6058191600005</c:v>
                </c:pt>
                <c:pt idx="52">
                  <c:v>9665.9168966100005</c:v>
                </c:pt>
                <c:pt idx="53">
                  <c:v>9534.7201139200006</c:v>
                </c:pt>
                <c:pt idx="54">
                  <c:v>11130.51008466</c:v>
                </c:pt>
                <c:pt idx="55">
                  <c:v>11066.23053069</c:v>
                </c:pt>
                <c:pt idx="56">
                  <c:v>10842.61893221</c:v>
                </c:pt>
                <c:pt idx="57">
                  <c:v>10362.876345330002</c:v>
                </c:pt>
                <c:pt idx="58">
                  <c:v>10151.268538479999</c:v>
                </c:pt>
                <c:pt idx="59">
                  <c:v>10369.45716991</c:v>
                </c:pt>
                <c:pt idx="60">
                  <c:v>10435.538323769999</c:v>
                </c:pt>
                <c:pt idx="61">
                  <c:v>10557.943053680001</c:v>
                </c:pt>
                <c:pt idx="62">
                  <c:v>9755.9541801100004</c:v>
                </c:pt>
                <c:pt idx="63">
                  <c:v>9865.694059129999</c:v>
                </c:pt>
              </c:numCache>
            </c:numRef>
          </c:val>
          <c:smooth val="0"/>
          <c:extLst>
            <c:ext xmlns:c16="http://schemas.microsoft.com/office/drawing/2014/chart" uri="{C3380CC4-5D6E-409C-BE32-E72D297353CC}">
              <c16:uniqueId val="{00000003-ECED-4272-9F4F-393E08431E75}"/>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2130835023"/>
        <c:axId val="2130840303"/>
      </c:lineChart>
      <c:lineChart>
        <c:grouping val="standard"/>
        <c:varyColors val="0"/>
        <c:ser>
          <c:idx val="4"/>
          <c:order val="4"/>
          <c:tx>
            <c:strRef>
              <c:f>Лист1!$I$5</c:f>
              <c:strCache>
                <c:ptCount val="1"/>
                <c:pt idx="0">
                  <c:v>частка коштів на вимогу</c:v>
                </c:pt>
              </c:strCache>
            </c:strRef>
          </c:tx>
          <c:spPr>
            <a:ln w="50800" cap="rnd" cmpd="sng" algn="ctr">
              <a:solidFill>
                <a:schemeClr val="tx1"/>
              </a:solidFill>
              <a:round/>
            </a:ln>
            <a:effectLst/>
          </c:spPr>
          <c:marker>
            <c:symbol val="none"/>
          </c:marker>
          <c:cat>
            <c:multiLvlStrRef>
              <c:f>Лист1!$A$6:$C$69</c:f>
              <c:multiLvlStrCache>
                <c:ptCount val="64"/>
                <c:lvl>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січень</c:v>
                  </c:pt>
                  <c:pt idx="13">
                    <c:v>лютий</c:v>
                  </c:pt>
                  <c:pt idx="14">
                    <c:v>березень</c:v>
                  </c:pt>
                  <c:pt idx="15">
                    <c:v>квітень</c:v>
                  </c:pt>
                  <c:pt idx="16">
                    <c:v>травень</c:v>
                  </c:pt>
                  <c:pt idx="17">
                    <c:v>червень</c:v>
                  </c:pt>
                  <c:pt idx="18">
                    <c:v>липень</c:v>
                  </c:pt>
                  <c:pt idx="19">
                    <c:v>серпень</c:v>
                  </c:pt>
                  <c:pt idx="20">
                    <c:v>вересень</c:v>
                  </c:pt>
                  <c:pt idx="21">
                    <c:v>жовтень</c:v>
                  </c:pt>
                  <c:pt idx="22">
                    <c:v>листопад</c:v>
                  </c:pt>
                  <c:pt idx="23">
                    <c:v>грудень</c:v>
                  </c:pt>
                  <c:pt idx="24">
                    <c:v>січень</c:v>
                  </c:pt>
                  <c:pt idx="25">
                    <c:v>лютий</c:v>
                  </c:pt>
                  <c:pt idx="26">
                    <c:v>березень</c:v>
                  </c:pt>
                  <c:pt idx="27">
                    <c:v>квітень</c:v>
                  </c:pt>
                  <c:pt idx="28">
                    <c:v>травень</c:v>
                  </c:pt>
                  <c:pt idx="29">
                    <c:v>червень</c:v>
                  </c:pt>
                  <c:pt idx="30">
                    <c:v>липень</c:v>
                  </c:pt>
                  <c:pt idx="31">
                    <c:v>серпень</c:v>
                  </c:pt>
                  <c:pt idx="32">
                    <c:v>вересень</c:v>
                  </c:pt>
                  <c:pt idx="33">
                    <c:v>жовтень</c:v>
                  </c:pt>
                  <c:pt idx="34">
                    <c:v>листопад</c:v>
                  </c:pt>
                  <c:pt idx="35">
                    <c:v>грудень</c:v>
                  </c:pt>
                  <c:pt idx="36">
                    <c:v>січень</c:v>
                  </c:pt>
                  <c:pt idx="37">
                    <c:v>лютий</c:v>
                  </c:pt>
                  <c:pt idx="38">
                    <c:v>березень</c:v>
                  </c:pt>
                  <c:pt idx="39">
                    <c:v>квітень</c:v>
                  </c:pt>
                  <c:pt idx="40">
                    <c:v>травень</c:v>
                  </c:pt>
                  <c:pt idx="41">
                    <c:v>червень</c:v>
                  </c:pt>
                  <c:pt idx="42">
                    <c:v>липень</c:v>
                  </c:pt>
                  <c:pt idx="43">
                    <c:v>серпень</c:v>
                  </c:pt>
                  <c:pt idx="44">
                    <c:v>вересень</c:v>
                  </c:pt>
                  <c:pt idx="45">
                    <c:v>жовтень</c:v>
                  </c:pt>
                  <c:pt idx="46">
                    <c:v>листопад</c:v>
                  </c:pt>
                  <c:pt idx="47">
                    <c:v>грудень</c:v>
                  </c:pt>
                  <c:pt idx="48">
                    <c:v>січень</c:v>
                  </c:pt>
                  <c:pt idx="49">
                    <c:v>лютий</c:v>
                  </c:pt>
                  <c:pt idx="50">
                    <c:v>березень</c:v>
                  </c:pt>
                  <c:pt idx="51">
                    <c:v>квітень</c:v>
                  </c:pt>
                  <c:pt idx="52">
                    <c:v>травень</c:v>
                  </c:pt>
                  <c:pt idx="53">
                    <c:v>червень</c:v>
                  </c:pt>
                  <c:pt idx="54">
                    <c:v>липень</c:v>
                  </c:pt>
                  <c:pt idx="55">
                    <c:v>серпень</c:v>
                  </c:pt>
                  <c:pt idx="56">
                    <c:v>вересень</c:v>
                  </c:pt>
                  <c:pt idx="57">
                    <c:v>жовтень</c:v>
                  </c:pt>
                  <c:pt idx="58">
                    <c:v>листопад</c:v>
                  </c:pt>
                  <c:pt idx="59">
                    <c:v>грудень</c:v>
                  </c:pt>
                  <c:pt idx="60">
                    <c:v>січень</c:v>
                  </c:pt>
                  <c:pt idx="61">
                    <c:v>лютий</c:v>
                  </c:pt>
                  <c:pt idx="62">
                    <c:v>березень</c:v>
                  </c:pt>
                  <c:pt idx="63">
                    <c:v>квітень</c:v>
                  </c:pt>
                </c:lvl>
                <c:lvl>
                  <c:pt idx="0">
                    <c:v>2018</c:v>
                  </c:pt>
                  <c:pt idx="12">
                    <c:v>2019</c:v>
                  </c:pt>
                  <c:pt idx="24">
                    <c:v>2020</c:v>
                  </c:pt>
                  <c:pt idx="36">
                    <c:v>2021</c:v>
                  </c:pt>
                  <c:pt idx="48">
                    <c:v>2022</c:v>
                  </c:pt>
                  <c:pt idx="60">
                    <c:v>2023</c:v>
                  </c:pt>
                </c:lvl>
              </c:multiLvlStrCache>
            </c:multiLvlStrRef>
          </c:cat>
          <c:val>
            <c:numRef>
              <c:f>Лист1!$I$6:$I$69</c:f>
              <c:numCache>
                <c:formatCode>0</c:formatCode>
                <c:ptCount val="64"/>
                <c:pt idx="0">
                  <c:v>32.96690965902134</c:v>
                </c:pt>
                <c:pt idx="1">
                  <c:v>33.76816145064037</c:v>
                </c:pt>
                <c:pt idx="2">
                  <c:v>34.35036414611367</c:v>
                </c:pt>
                <c:pt idx="3">
                  <c:v>35.646884433629509</c:v>
                </c:pt>
                <c:pt idx="4">
                  <c:v>35.585368132085016</c:v>
                </c:pt>
                <c:pt idx="5">
                  <c:v>37.607718504393326</c:v>
                </c:pt>
                <c:pt idx="6">
                  <c:v>36.96388122286001</c:v>
                </c:pt>
                <c:pt idx="7">
                  <c:v>36.622333705222395</c:v>
                </c:pt>
                <c:pt idx="8">
                  <c:v>37.378016968739722</c:v>
                </c:pt>
                <c:pt idx="9">
                  <c:v>37.231796425230741</c:v>
                </c:pt>
                <c:pt idx="10">
                  <c:v>36.75911755677437</c:v>
                </c:pt>
                <c:pt idx="11">
                  <c:v>38.361199805418053</c:v>
                </c:pt>
                <c:pt idx="12">
                  <c:v>37.41037215565045</c:v>
                </c:pt>
                <c:pt idx="13">
                  <c:v>38.239115726821474</c:v>
                </c:pt>
                <c:pt idx="14">
                  <c:v>38.637686561529783</c:v>
                </c:pt>
                <c:pt idx="15">
                  <c:v>39.509039541795211</c:v>
                </c:pt>
                <c:pt idx="16">
                  <c:v>38.50182996324736</c:v>
                </c:pt>
                <c:pt idx="17">
                  <c:v>40.805286426239881</c:v>
                </c:pt>
                <c:pt idx="18">
                  <c:v>40.202747083904264</c:v>
                </c:pt>
                <c:pt idx="19">
                  <c:v>40.267921252824138</c:v>
                </c:pt>
                <c:pt idx="20">
                  <c:v>40.284177262870301</c:v>
                </c:pt>
                <c:pt idx="21">
                  <c:v>40.279960600980026</c:v>
                </c:pt>
                <c:pt idx="22">
                  <c:v>40.976104329509624</c:v>
                </c:pt>
                <c:pt idx="23">
                  <c:v>41.679216514637559</c:v>
                </c:pt>
                <c:pt idx="24">
                  <c:v>41.090968602995126</c:v>
                </c:pt>
                <c:pt idx="25">
                  <c:v>41.636167556084366</c:v>
                </c:pt>
                <c:pt idx="26">
                  <c:v>42.358865696740736</c:v>
                </c:pt>
                <c:pt idx="27">
                  <c:v>45.211879111997867</c:v>
                </c:pt>
                <c:pt idx="28">
                  <c:v>46.050343716608936</c:v>
                </c:pt>
                <c:pt idx="29">
                  <c:v>46.974948710779188</c:v>
                </c:pt>
                <c:pt idx="30">
                  <c:v>47.483423191892918</c:v>
                </c:pt>
                <c:pt idx="31">
                  <c:v>48.040021257306286</c:v>
                </c:pt>
                <c:pt idx="32">
                  <c:v>48.52309466220143</c:v>
                </c:pt>
                <c:pt idx="33">
                  <c:v>49.15906922255526</c:v>
                </c:pt>
                <c:pt idx="34">
                  <c:v>49.905559224535104</c:v>
                </c:pt>
                <c:pt idx="35">
                  <c:v>51.895166353415348</c:v>
                </c:pt>
                <c:pt idx="36">
                  <c:v>51.746351923489044</c:v>
                </c:pt>
                <c:pt idx="37">
                  <c:v>52.144043696054041</c:v>
                </c:pt>
                <c:pt idx="38">
                  <c:v>52.674113566672013</c:v>
                </c:pt>
                <c:pt idx="39">
                  <c:v>53.683558210650283</c:v>
                </c:pt>
                <c:pt idx="40">
                  <c:v>54.131099789456208</c:v>
                </c:pt>
                <c:pt idx="41">
                  <c:v>55.754967676586951</c:v>
                </c:pt>
                <c:pt idx="42">
                  <c:v>55.912453924317198</c:v>
                </c:pt>
                <c:pt idx="43">
                  <c:v>56.129230793414095</c:v>
                </c:pt>
                <c:pt idx="44">
                  <c:v>56.876252092295346</c:v>
                </c:pt>
                <c:pt idx="45">
                  <c:v>57.155628398384152</c:v>
                </c:pt>
                <c:pt idx="46">
                  <c:v>57.432605494956633</c:v>
                </c:pt>
                <c:pt idx="47">
                  <c:v>59.590843341323897</c:v>
                </c:pt>
                <c:pt idx="48">
                  <c:v>58.46977154042203</c:v>
                </c:pt>
                <c:pt idx="49">
                  <c:v>59.300543285369635</c:v>
                </c:pt>
                <c:pt idx="50">
                  <c:v>64.705658831317663</c:v>
                </c:pt>
                <c:pt idx="51">
                  <c:v>66.091379745360982</c:v>
                </c:pt>
                <c:pt idx="52">
                  <c:v>66.543374633161818</c:v>
                </c:pt>
                <c:pt idx="53">
                  <c:v>68.093545210312485</c:v>
                </c:pt>
                <c:pt idx="54">
                  <c:v>68.135411129710434</c:v>
                </c:pt>
                <c:pt idx="55">
                  <c:v>68.207454008536473</c:v>
                </c:pt>
                <c:pt idx="56">
                  <c:v>67.942025134445913</c:v>
                </c:pt>
                <c:pt idx="57">
                  <c:v>67.506083181162495</c:v>
                </c:pt>
                <c:pt idx="58">
                  <c:v>67.365872474878245</c:v>
                </c:pt>
                <c:pt idx="59">
                  <c:v>68.071834450658713</c:v>
                </c:pt>
                <c:pt idx="60">
                  <c:v>66.64477035653745</c:v>
                </c:pt>
                <c:pt idx="61">
                  <c:v>65.754436980502263</c:v>
                </c:pt>
                <c:pt idx="62">
                  <c:v>65.230280940342141</c:v>
                </c:pt>
                <c:pt idx="63">
                  <c:v>65.533732040267537</c:v>
                </c:pt>
              </c:numCache>
            </c:numRef>
          </c:val>
          <c:smooth val="0"/>
          <c:extLst>
            <c:ext xmlns:c16="http://schemas.microsoft.com/office/drawing/2014/chart" uri="{C3380CC4-5D6E-409C-BE32-E72D297353CC}">
              <c16:uniqueId val="{00000004-ECED-4272-9F4F-393E08431E75}"/>
            </c:ext>
          </c:extLst>
        </c:ser>
        <c:dLbls>
          <c:showLegendKey val="0"/>
          <c:showVal val="0"/>
          <c:showCatName val="0"/>
          <c:showSerName val="0"/>
          <c:showPercent val="0"/>
          <c:showBubbleSize val="0"/>
        </c:dLbls>
        <c:marker val="1"/>
        <c:smooth val="0"/>
        <c:axId val="1732989216"/>
        <c:axId val="1732990176"/>
      </c:lineChart>
      <c:catAx>
        <c:axId val="2130835023"/>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130840303"/>
        <c:crosses val="autoZero"/>
        <c:auto val="1"/>
        <c:lblAlgn val="ctr"/>
        <c:lblOffset val="100"/>
        <c:noMultiLvlLbl val="0"/>
      </c:catAx>
      <c:valAx>
        <c:axId val="2130840303"/>
        <c:scaling>
          <c:orientation val="minMax"/>
        </c:scaling>
        <c:delete val="0"/>
        <c:axPos val="l"/>
        <c:title>
          <c:tx>
            <c:rich>
              <a:bodyPr rot="-5400000" spcFirstLastPara="1" vertOverflow="ellipsis" vert="horz" wrap="square" anchor="ctr" anchorCtr="1"/>
              <a:lstStyle/>
              <a:p>
                <a:pPr>
                  <a:defRPr sz="12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r>
                  <a:rPr lang="ru-RU" cap="none" baseline="0"/>
                  <a:t>млн грн</a:t>
                </a:r>
              </a:p>
            </c:rich>
          </c:tx>
          <c:overlay val="0"/>
          <c:spPr>
            <a:noFill/>
            <a:ln>
              <a:noFill/>
            </a:ln>
            <a:effectLst/>
          </c:spPr>
          <c:txPr>
            <a:bodyPr rot="-5400000" spcFirstLastPara="1" vertOverflow="ellipsis" vert="horz" wrap="square" anchor="ctr" anchorCtr="1"/>
            <a:lstStyle/>
            <a:p>
              <a:pPr>
                <a:defRPr sz="12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 ##0;\–#\ ##0;&quot;–&quot;"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130835023"/>
        <c:crosses val="autoZero"/>
        <c:crossBetween val="between"/>
      </c:valAx>
      <c:valAx>
        <c:axId val="1732990176"/>
        <c:scaling>
          <c:orientation val="minMax"/>
        </c:scaling>
        <c:delete val="0"/>
        <c:axPos val="r"/>
        <c:title>
          <c:tx>
            <c:rich>
              <a:bodyPr rot="-5400000" spcFirstLastPara="1" vertOverflow="ellipsis" vert="horz" wrap="square" anchor="ctr" anchorCtr="1"/>
              <a:lstStyle/>
              <a:p>
                <a:pPr>
                  <a:defRPr sz="12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a:t>
                </a:r>
              </a:p>
            </c:rich>
          </c:tx>
          <c:overlay val="0"/>
          <c:spPr>
            <a:noFill/>
            <a:ln>
              <a:noFill/>
            </a:ln>
            <a:effectLst/>
          </c:spPr>
          <c:txPr>
            <a:bodyPr rot="-5400000" spcFirstLastPara="1" vertOverflow="ellipsis" vert="horz" wrap="square" anchor="ctr" anchorCtr="1"/>
            <a:lstStyle/>
            <a:p>
              <a:pPr>
                <a:defRPr sz="12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32989216"/>
        <c:crosses val="max"/>
        <c:crossBetween val="between"/>
      </c:valAx>
      <c:catAx>
        <c:axId val="1732989216"/>
        <c:scaling>
          <c:orientation val="minMax"/>
        </c:scaling>
        <c:delete val="1"/>
        <c:axPos val="b"/>
        <c:numFmt formatCode="General" sourceLinked="1"/>
        <c:majorTickMark val="out"/>
        <c:minorTickMark val="none"/>
        <c:tickLblPos val="nextTo"/>
        <c:crossAx val="1732990176"/>
        <c:crosses val="autoZero"/>
        <c:auto val="1"/>
        <c:lblAlgn val="ctr"/>
        <c:lblOffset val="100"/>
        <c:noMultiLvlLbl val="0"/>
      </c:cat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lt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0.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0">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6.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4.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drawings/drawing1.xml><?xml version="1.0" encoding="utf-8"?>
<c:userShapes xmlns:c="http://schemas.openxmlformats.org/drawingml/2006/chart">
  <cdr:relSizeAnchor xmlns:cdr="http://schemas.openxmlformats.org/drawingml/2006/chartDrawing">
    <cdr:from>
      <cdr:x>0.38404</cdr:x>
      <cdr:y>0.06228</cdr:y>
    </cdr:from>
    <cdr:to>
      <cdr:x>0.9148</cdr:x>
      <cdr:y>0.20516</cdr:y>
    </cdr:to>
    <cdr:sp macro="" textlink="">
      <cdr:nvSpPr>
        <cdr:cNvPr id="2" name="Прямоугольник 1"/>
        <cdr:cNvSpPr/>
      </cdr:nvSpPr>
      <cdr:spPr>
        <a:xfrm xmlns:a="http://schemas.openxmlformats.org/drawingml/2006/main">
          <a:off x="2350101" y="242737"/>
          <a:ext cx="3248025" cy="55689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sp>
  </cdr:relSizeAnchor>
  <cdr:relSizeAnchor xmlns:cdr="http://schemas.openxmlformats.org/drawingml/2006/chartDrawing">
    <cdr:from>
      <cdr:x>0.31505</cdr:x>
      <cdr:y>0.05264</cdr:y>
    </cdr:from>
    <cdr:to>
      <cdr:x>0.91227</cdr:x>
      <cdr:y>0.14876</cdr:y>
    </cdr:to>
    <cdr:sp macro="" textlink="">
      <cdr:nvSpPr>
        <cdr:cNvPr id="3" name="Прямоугольник 2"/>
        <cdr:cNvSpPr/>
      </cdr:nvSpPr>
      <cdr:spPr>
        <a:xfrm xmlns:a="http://schemas.openxmlformats.org/drawingml/2006/main">
          <a:off x="1927953" y="253388"/>
          <a:ext cx="3654680" cy="462709"/>
        </a:xfrm>
        <a:prstGeom xmlns:a="http://schemas.openxmlformats.org/drawingml/2006/main" prst="rect">
          <a:avLst/>
        </a:prstGeom>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uk-UA" sz="1200">
              <a:solidFill>
                <a:sysClr val="windowText" lastClr="000000"/>
              </a:solidFill>
              <a:latin typeface="Times New Roman" panose="02020603050405020304" pitchFamily="18" charset="0"/>
              <a:cs typeface="Times New Roman" panose="02020603050405020304" pitchFamily="18" charset="0"/>
            </a:rPr>
            <a:t>Аудиторія - користувачі інтернет-мережі</a:t>
          </a:r>
        </a:p>
        <a:p xmlns:a="http://schemas.openxmlformats.org/drawingml/2006/main">
          <a:r>
            <a:rPr lang="uk-UA" sz="1200">
              <a:solidFill>
                <a:sysClr val="windowText" lastClr="000000"/>
              </a:solidFill>
              <a:latin typeface="Times New Roman" panose="02020603050405020304" pitchFamily="18" charset="0"/>
              <a:cs typeface="Times New Roman" panose="02020603050405020304" pitchFamily="18" charset="0"/>
            </a:rPr>
            <a:t>Категорія</a:t>
          </a:r>
          <a:r>
            <a:rPr lang="uk-UA" sz="1200" baseline="0">
              <a:solidFill>
                <a:sysClr val="windowText" lastClr="000000"/>
              </a:solidFill>
              <a:latin typeface="Times New Roman" panose="02020603050405020304" pitchFamily="18" charset="0"/>
              <a:cs typeface="Times New Roman" panose="02020603050405020304" pitchFamily="18" charset="0"/>
            </a:rPr>
            <a:t> - фінанси </a:t>
          </a:r>
          <a:endParaRPr lang="uk-UA" sz="1200">
            <a:solidFill>
              <a:sysClr val="windowText" lastClr="000000"/>
            </a:solidFill>
            <a:latin typeface="Times New Roman" panose="02020603050405020304" pitchFamily="18" charset="0"/>
            <a:cs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0.51314</cdr:x>
      <cdr:y>0.04836</cdr:y>
    </cdr:from>
    <cdr:to>
      <cdr:x>0.79985</cdr:x>
      <cdr:y>0.22727</cdr:y>
    </cdr:to>
    <cdr:sp macro="" textlink="">
      <cdr:nvSpPr>
        <cdr:cNvPr id="4" name="Поле 3"/>
        <cdr:cNvSpPr txBox="1"/>
      </cdr:nvSpPr>
      <cdr:spPr>
        <a:xfrm xmlns:a="http://schemas.openxmlformats.org/drawingml/2006/main">
          <a:off x="1500187" y="95250"/>
          <a:ext cx="838201" cy="35242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endParaRPr lang="uk-UA" sz="750"/>
        </a:p>
      </cdr:txBody>
    </cdr:sp>
  </cdr:relSizeAnchor>
</c:userShape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Документ" ma:contentTypeID="0x0101002AAD457ABA98E74F8EF8F141A00850D1" ma:contentTypeVersion="4" ma:contentTypeDescription="Створення нового документа." ma:contentTypeScope="" ma:versionID="e8a6adc30b54452007165e3f84443def">
  <xsd:schema xmlns:xsd="http://www.w3.org/2001/XMLSchema" xmlns:xs="http://www.w3.org/2001/XMLSchema" xmlns:p="http://schemas.microsoft.com/office/2006/metadata/properties" xmlns:ns3="c9ddf01d-5e97-4522-b089-a158577373dd" targetNamespace="http://schemas.microsoft.com/office/2006/metadata/properties" ma:root="true" ma:fieldsID="ac1b5655f267b4ea34b74ee13b1ee919" ns3:_="">
    <xsd:import namespace="c9ddf01d-5e97-4522-b089-a158577373dd"/>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ddf01d-5e97-4522-b089-a158577373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_activity" ma:index="1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c9ddf01d-5e97-4522-b089-a158577373d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4E9FB0-492D-48B4-88A9-748E750F3B52}">
  <ds:schemaRefs>
    <ds:schemaRef ds:uri="http://schemas.microsoft.com/sharepoint/v3/contenttype/forms"/>
  </ds:schemaRefs>
</ds:datastoreItem>
</file>

<file path=customXml/itemProps2.xml><?xml version="1.0" encoding="utf-8"?>
<ds:datastoreItem xmlns:ds="http://schemas.openxmlformats.org/officeDocument/2006/customXml" ds:itemID="{3D7F3790-A353-4C73-95B4-4CCB46EB23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ddf01d-5e97-4522-b089-a158577373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A28497B-14A9-4904-B408-7ADA42734188}">
  <ds:schemaRefs>
    <ds:schemaRef ds:uri="http://schemas.microsoft.com/office/2006/metadata/properties"/>
    <ds:schemaRef ds:uri="http://schemas.microsoft.com/office/infopath/2007/PartnerControls"/>
    <ds:schemaRef ds:uri="c9ddf01d-5e97-4522-b089-a158577373dd"/>
  </ds:schemaRefs>
</ds:datastoreItem>
</file>

<file path=customXml/itemProps4.xml><?xml version="1.0" encoding="utf-8"?>
<ds:datastoreItem xmlns:ds="http://schemas.openxmlformats.org/officeDocument/2006/customXml" ds:itemID="{46D2CC43-B89B-4702-931F-127EFD92D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18278</Words>
  <Characters>104187</Characters>
  <Application>Microsoft Office Word</Application>
  <DocSecurity>0</DocSecurity>
  <Lines>868</Lines>
  <Paragraphs>244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122221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Дейнека Ольга Валеріївна</dc:creator>
  <cp:keywords/>
  <dc:description/>
  <cp:lastModifiedBy>Дейнека Ольга Валеріївна</cp:lastModifiedBy>
  <cp:revision>3</cp:revision>
  <dcterms:created xsi:type="dcterms:W3CDTF">2023-06-19T08:12:00Z</dcterms:created>
  <dcterms:modified xsi:type="dcterms:W3CDTF">2023-06-19T08:12:00Z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0x0101002AAD457ABA98E74F8EF8F141A00850D1</vt:lpwstr>
  </property>
</Properties>
</file>