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D5D" w:rsidRPr="001A1D5D" w:rsidRDefault="001A1D5D" w:rsidP="001A1D5D">
      <w:pPr>
        <w:suppressAutoHyphens/>
        <w:spacing w:after="0" w:line="240" w:lineRule="auto"/>
        <w:jc w:val="center"/>
        <w:rPr>
          <w:rFonts w:ascii="SchoolBook" w:eastAsia="Times New Roman" w:hAnsi="SchoolBook" w:cs="Times New Roman"/>
          <w:b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b/>
          <w:sz w:val="20"/>
          <w:szCs w:val="20"/>
          <w:lang w:val="uk-UA" w:eastAsia="ar-SA"/>
        </w:rPr>
        <w:t>КІЛЬКІСНО-ЯКІСНІ ОДИНИЦІ У ПЕРЕКЛАДАЦЬКОМУ АСПЕКТІ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b/>
          <w:i/>
          <w:sz w:val="20"/>
          <w:szCs w:val="20"/>
          <w:lang w:val="uk-UA" w:eastAsia="ar-SA"/>
        </w:rPr>
      </w:pPr>
    </w:p>
    <w:p w:rsidR="001A1D5D" w:rsidRPr="001A1D5D" w:rsidRDefault="001A1D5D" w:rsidP="001A1D5D">
      <w:pPr>
        <w:suppressAutoHyphens/>
        <w:spacing w:after="0" w:line="240" w:lineRule="auto"/>
        <w:rPr>
          <w:rFonts w:ascii="SchoolBook" w:eastAsia="Times New Roman" w:hAnsi="SchoolBook" w:cs="Times New Roman"/>
          <w:b/>
          <w:i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b/>
          <w:i/>
          <w:sz w:val="20"/>
          <w:szCs w:val="20"/>
          <w:lang w:val="uk-UA" w:eastAsia="ar-SA"/>
        </w:rPr>
        <w:t>С.В. Баранова</w:t>
      </w:r>
    </w:p>
    <w:p w:rsidR="001A1D5D" w:rsidRPr="001A1D5D" w:rsidRDefault="001A1D5D" w:rsidP="001A1D5D">
      <w:pPr>
        <w:suppressAutoHyphens/>
        <w:spacing w:after="0" w:line="240" w:lineRule="auto"/>
        <w:rPr>
          <w:rFonts w:ascii="SchoolBook" w:eastAsia="Times New Roman" w:hAnsi="SchoolBook" w:cs="Times New Roman"/>
          <w:i/>
          <w:sz w:val="20"/>
          <w:szCs w:val="20"/>
          <w:lang w:eastAsia="ar-SA"/>
        </w:rPr>
      </w:pP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>Сумський</w:t>
      </w:r>
      <w:proofErr w:type="spellEnd"/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>державний</w:t>
      </w:r>
      <w:proofErr w:type="spellEnd"/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>університет</w:t>
      </w:r>
      <w:proofErr w:type="spellEnd"/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eastAsia="ar-SA"/>
        </w:rPr>
      </w:pP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Дії перекладача  детерміновані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лінгвоетнічним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бар’єром: усім тим, що не дозволяє носію мови перекладу безпосередньо сприймати першотвір і реагувати на нього так, ніби він є носієм вихідної мови. Серед факторів, що підлягають нейтралізації у процесі перекладу, важливе місце посідає розбіжність двох мовних систем - оригіналу та транслятора. Якщо така нейтралізація не відбувається, відсутня двомовна опосередкована комунікація. Окремі недоліки у переході від системи однієї мови до іншої спричиняють ускладненість смислового та емоційного сприйняття (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Латышев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1988:81–91).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Вивчення іноземної мови як реально функціонуючої системи з урахуванням її комунікативних завдань можна проводити на основі теорії мовних полів (Тарасова 1992:15), серед яких чільне місце посідають поля якості та кількості: їхні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конституенти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спрямовані на вербалізацію об’єктивно існуючих притаманних усім формам руху матерії кількісно-якісних відношень. У мові семантичне поле - це об’єднання навколо ядерного елемента слів, що перебувають у синонімічних стосунках з ним та з однокореневими йому словами. В поле входять також похідні від них одиниці та відповідні словосполучення (Гаврилов 1990:58).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Поле слід розглядати не як абстрактну побудову формальної граматики, гіпотетичний конструкт, відірваний від носія мови, а як необхідний фон для формування іншомовно-мовленнєвої компетенції (Тарасова 1992:18). Остання враховує знання одиниць, моделей та норм іноземної мови, звичку до певного способу вираження даного змісту за даних обставин (узус), наявність стабільної / сталої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преінформації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та національно-культурних оцінних стереотипів. Сприйняття тексту базується на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перцептивних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навичках та уміннях використання мови оригіналу, фонових знаннях, усвідомлені теми,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мікро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– та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макротекстів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, оцінці тексту з точки зору значення форми та стилю, що визначає принципи перекладу. Останні реалізуються у власне перекладі, результат якого залежить від сформованості продуктивних навичок і умінь у сфері мови перекладу та обсягу і структури матеріалу, що зберігається у свідомості перекладача (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Черноватий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2002:102–103).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Кількісно–якісними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лексичними одиницями англійської мови, похідними від квантитативних слів, є порядкові числівники (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first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second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) та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нумеративні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прикметники деривати (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three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–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part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first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-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class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). Вони характеризуються високою частотністю вживання в мовленні і тому привертають до себе увагу при перекладі з англійської на українську мову. При вивченні кількісно-якісних одиниць студентів слід націлювати, по-перше, на з’ясування місця і ролі даних слів у процесі пізнання світу, їх взаємозв’язок з квалітативними та квантитативними одиницями. По-друге, необхідним є аналіз співвідношення аспектів об’єктивного і логічного у мовному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знаці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та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відображальної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сутності похідних слів. До того ж студентів навчають обирати найоптимальніший засіб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семантизації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кількісно-якісної одиниці (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Кабанова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1997(а);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Кабанова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1997 (б)), спосіб її перекладу.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Порядкові числівники англійської мови, позначаючи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просторово–часовий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порядок слідування подібних та однакових частин множини, даючи якісну характеристику предмета через відношення до числа, не викликають певних труднощів при їх передаванні українською мовою.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Основний шлях їх перекладу – це добір еквівалентного порядкового числівника в українській мові. Певний інтерес становлять сталі словосполучення типу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first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teeth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second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teeth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, для яких існує готовий відповідник в українській мові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(молочні зуби, постійні зуби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). Щодо порядкових числівників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first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second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third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вони можуть асоціюватися з близькими за значеннями словами –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вищий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(першого, вищого ґатунку) та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низький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(другого, третього ґатунку, низької якості, нижчого рангу). Враховуючи семантико – функціональну переорієнтацію числівника на вираження властивості означуваного, використовується перекладацький прийом модуляції.</w:t>
      </w: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3685"/>
      </w:tblGrid>
      <w:tr w:rsidR="001A1D5D" w:rsidRPr="001A1D5D" w:rsidTr="00F05A30">
        <w:tc>
          <w:tcPr>
            <w:tcW w:w="3686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ind w:firstLine="284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Пор.: англ.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second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lieutenant       - </w:t>
            </w:r>
          </w:p>
        </w:tc>
        <w:tc>
          <w:tcPr>
            <w:tcW w:w="3685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ind w:firstLine="284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укр.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молодший лейтенант</w:t>
            </w: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Формули типу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the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 xml:space="preserve">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first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eastAsia="ar-SA"/>
        </w:rPr>
        <w:t xml:space="preserve">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thing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передаються на українську мову еквівалентом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перш за все, у першу чергу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.</w:t>
      </w: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3685"/>
      </w:tblGrid>
      <w:tr w:rsidR="001A1D5D" w:rsidRPr="001A1D5D" w:rsidTr="00F05A30">
        <w:tc>
          <w:tcPr>
            <w:tcW w:w="3686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20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sz w:val="20"/>
                <w:szCs w:val="20"/>
                <w:lang w:val="uk-UA" w:eastAsia="ar-SA"/>
              </w:rPr>
              <w:t xml:space="preserve">Наприклад: 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“The first thing I want to say”, he replied</w:t>
            </w:r>
            <w:proofErr w:type="gram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, ”</w:t>
            </w:r>
            <w:proofErr w:type="gram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is how grateful I am to you for coming to speak to me”.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                  [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Snow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  <w:t xml:space="preserve"> 1977:59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].</w:t>
            </w:r>
          </w:p>
        </w:tc>
        <w:tc>
          <w:tcPr>
            <w:tcW w:w="3685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“Перш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за все я хочу сказати, - відповів він, – як я вдячний вам, що ви прийшли поговорити зі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мною”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.</w:t>
            </w: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eastAsia="ar-SA"/>
        </w:rPr>
      </w:pP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Досить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продуктивним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засобом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вираження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значення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порядковості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є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компресійно-нумеративний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спосіб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.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Числові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нумеративні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визначники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входять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до </w:t>
      </w:r>
      <w:proofErr w:type="spellStart"/>
      <w:proofErr w:type="gram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назв</w:t>
      </w:r>
      <w:proofErr w:type="spellEnd"/>
      <w:proofErr w:type="gram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господарських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політичних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культурних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спортивних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та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інших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заходів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житлових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масивів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до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структури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поштових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індексів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поштових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філій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адресних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формул,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державних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реєстраційних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номерів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транспортних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засобів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.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Порядковий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числівник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у таких формулах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займає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позицію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комунікативно-акцентованого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компонента-кваліфікатора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. Переклад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зазначених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компрес-моделей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proofErr w:type="gram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англ</w:t>
      </w:r>
      <w:proofErr w:type="gram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ійської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на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українську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мову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враховує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експлікацію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.</w:t>
      </w: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3685"/>
      </w:tblGrid>
      <w:tr w:rsidR="001A1D5D" w:rsidRPr="001A1D5D" w:rsidTr="00F05A30">
        <w:tc>
          <w:tcPr>
            <w:tcW w:w="3686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Пор.: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Oh, better meet me at Fourteenth and Broadway at two o’clock.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         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>(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London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  <w:t xml:space="preserve"> 1980:329).</w:t>
            </w:r>
          </w:p>
        </w:tc>
        <w:tc>
          <w:tcPr>
            <w:tcW w:w="3685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А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краще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зустрінемось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на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розі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14-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vertAlign w:val="superscript"/>
                <w:lang w:eastAsia="ar-SA"/>
              </w:rPr>
              <w:t xml:space="preserve">ї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авеню та Бродвею </w:t>
            </w:r>
            <w:proofErr w:type="gram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о</w:t>
            </w:r>
            <w:proofErr w:type="gram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другій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годині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.</w:t>
            </w: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Прикметники англійської мови з кількісно-якісним значенням, утворені від кількісних або порядкових числівників, діляться на два розряди: афіксальні похідні, що мають еквіваленти серед українських відносних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lastRenderedPageBreak/>
        <w:t>прикметників (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double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“подвійний”</w:t>
      </w:r>
      <w:proofErr w:type="spellEnd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,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octagonal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“восьмикутний”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), та композити, які являють собою багатокомпонентні одиниці, що виникли в результаті інтеграції словосполучень. Останні, головним чином, утворюються для синтаксичної зручності, оскільки дають можливість вживати поширені синтаксичні конструкції атрибутивного типу у препозиції до слів, означеннями яких вони виступають.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Завдяки типологічним особливостям сучасної англійської мови, де немає принципової різниці між основою і словом, утворення багатокомпонентних одиниць значно полегшено. У процес стягнення словосполучення у складне слово зберігається лінійний порядок організації компонентів (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Єнікєєва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 2002:73-74). Складні слова з кількісно-якісним значенням у англійській мові характеризується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цільнооформленістю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, неподільністю, тобто неможливістю використання будь-яких інших компонентів між складовими. Відсутність прямих відповідників у синтетичних мовах обумовлює певні труднощі при передачі англійських квантитативно-квалітативних композитів українською мовою. Їх переклад здійснюється різними шляхами, але найчастіше за допомогою калькування (а) та описового способу (б).</w:t>
      </w:r>
    </w:p>
    <w:tbl>
      <w:tblPr>
        <w:tblW w:w="0" w:type="auto"/>
        <w:tblLayout w:type="fixed"/>
        <w:tblLook w:val="0000"/>
      </w:tblPr>
      <w:tblGrid>
        <w:gridCol w:w="690"/>
        <w:gridCol w:w="2820"/>
        <w:gridCol w:w="3969"/>
      </w:tblGrid>
      <w:tr w:rsidR="001A1D5D" w:rsidRPr="001A1D5D" w:rsidTr="00F05A30">
        <w:tc>
          <w:tcPr>
            <w:tcW w:w="690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Пор.: </w:t>
            </w:r>
          </w:p>
        </w:tc>
        <w:tc>
          <w:tcPr>
            <w:tcW w:w="2820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а)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My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three-day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journey was almost over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        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(Lee 1980:1090).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A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third-rate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actress with a pretty face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!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      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 xml:space="preserve"> (Wild 1978:88).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б)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Young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Croom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ordered the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three-course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dinner and ate it to the last crumb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 xml:space="preserve"> (Galsworthy 1960:30).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…or may they could take one of the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 xml:space="preserve">fifteen-dollar-a-month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cottages that were for rent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 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(Dreiser 1972:98).</w:t>
            </w:r>
          </w:p>
        </w:tc>
        <w:tc>
          <w:tcPr>
            <w:tcW w:w="3969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Моя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eastAsia="ar-SA"/>
              </w:rPr>
              <w:t>триденна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подорож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майже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 xml:space="preserve">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закінчилась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eastAsia="ar-SA"/>
              </w:rPr>
              <w:t>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uk-UA" w:eastAsia="ar-SA"/>
              </w:rPr>
              <w:t>Нікчемна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актриса з гарненьким обличчям!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Молодий </w:t>
            </w:r>
            <w:proofErr w:type="spellStart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Крум</w:t>
            </w:r>
            <w:proofErr w:type="spellEnd"/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замовив обід з трьох страв і з’їв його до останнього шматочка.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А може вони б знайшли якийсь будинок серед тих, що здаються, за п’ятнадцять доларів за місяць.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                                                                           </w:t>
            </w: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Сутність прийому калькування полягає в тому, що складові частини (морфеми) англійського квантитативно-квалітативного слова чи словосполучення замінюються на їх буквальні відповідники в українській мові. Розгорнуте пояснення, що подається в описовому перекладі, повністю змальовує феномен. Проте громіздкий характер такої експлікації іноді заважає виокремити певне явище дійсності з низки інших явищ і закріпити його у свідомості носіїв мови перекладу як поняття.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Контекст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є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gram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головною</w:t>
      </w:r>
      <w:proofErr w:type="gram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детермінантою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при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перекладі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складних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слів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кількісно-якісним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значенням</w:t>
      </w:r>
      <w:proofErr w:type="spellEnd"/>
      <w:r w:rsidRPr="001A1D5D">
        <w:rPr>
          <w:rFonts w:ascii="SchoolBook" w:eastAsia="Times New Roman" w:hAnsi="SchoolBook" w:cs="Times New Roman"/>
          <w:sz w:val="20"/>
          <w:szCs w:val="20"/>
          <w:lang w:eastAsia="ar-SA"/>
        </w:rPr>
        <w:t>.</w:t>
      </w:r>
    </w:p>
    <w:tbl>
      <w:tblPr>
        <w:tblW w:w="0" w:type="auto"/>
        <w:tblInd w:w="108" w:type="dxa"/>
        <w:tblLayout w:type="fixed"/>
        <w:tblLook w:val="0000"/>
      </w:tblPr>
      <w:tblGrid>
        <w:gridCol w:w="709"/>
        <w:gridCol w:w="3260"/>
        <w:gridCol w:w="3402"/>
      </w:tblGrid>
      <w:tr w:rsidR="001A1D5D" w:rsidRPr="001A1D5D" w:rsidTr="00F05A30">
        <w:tc>
          <w:tcPr>
            <w:tcW w:w="709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>Пор.:</w:t>
            </w:r>
          </w:p>
        </w:tc>
        <w:tc>
          <w:tcPr>
            <w:tcW w:w="3260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Three-guineas-a-time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 xml:space="preserve"> injections – of sterile water!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         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  <w:t>(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Cronin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eastAsia="ar-SA"/>
              </w:rPr>
              <w:t xml:space="preserve"> 1966:425).</w:t>
            </w:r>
          </w:p>
        </w:tc>
        <w:tc>
          <w:tcPr>
            <w:tcW w:w="3402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>Ін’єкції по три гінеї – із стерильної води!</w:t>
            </w: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Окремі одиниці перекладаються шляхом транскрибування (наприклад: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five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-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o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’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clock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en-US" w:eastAsia="ar-SA"/>
        </w:rPr>
        <w:t>tea</w:t>
      </w: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“файвоклок”</w:t>
      </w:r>
      <w:proofErr w:type="spellEnd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)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та підбору аналога у мові перекладу.</w:t>
      </w:r>
    </w:p>
    <w:tbl>
      <w:tblPr>
        <w:tblW w:w="0" w:type="auto"/>
        <w:tblLayout w:type="fixed"/>
        <w:tblLook w:val="0000"/>
      </w:tblPr>
      <w:tblGrid>
        <w:gridCol w:w="959"/>
        <w:gridCol w:w="3118"/>
        <w:gridCol w:w="3402"/>
      </w:tblGrid>
      <w:tr w:rsidR="001A1D5D" w:rsidRPr="001A1D5D" w:rsidTr="00F05A30">
        <w:tc>
          <w:tcPr>
            <w:tcW w:w="959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Напр.: </w:t>
            </w:r>
          </w:p>
        </w:tc>
        <w:tc>
          <w:tcPr>
            <w:tcW w:w="3118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They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went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to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the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winding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shaft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,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two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of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the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men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carrying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stretcher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with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splints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strapped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to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it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and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the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third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a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wooden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box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of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first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uk-UA" w:eastAsia="ar-SA"/>
              </w:rPr>
              <w:t>-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en-US" w:eastAsia="ar-SA"/>
              </w:rPr>
              <w:t>aid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en-US" w:eastAsia="ar-SA"/>
              </w:rPr>
              <w:t>material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             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>(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en-US" w:eastAsia="ar-SA"/>
              </w:rPr>
              <w:t>Cronin</w:t>
            </w:r>
            <w:r w:rsidRPr="001A1D5D">
              <w:rPr>
                <w:rFonts w:ascii="SchoolBook" w:eastAsia="Times New Roman" w:hAnsi="SchoolBook" w:cs="Times New Roman"/>
                <w:sz w:val="18"/>
                <w:szCs w:val="20"/>
                <w:lang w:val="uk-UA" w:eastAsia="ar-SA"/>
              </w:rPr>
              <w:t xml:space="preserve"> 1966:295).</w:t>
            </w:r>
          </w:p>
        </w:tc>
        <w:tc>
          <w:tcPr>
            <w:tcW w:w="3402" w:type="dxa"/>
            <w:shd w:val="clear" w:color="auto" w:fill="auto"/>
          </w:tcPr>
          <w:p w:rsidR="001A1D5D" w:rsidRPr="001A1D5D" w:rsidRDefault="001A1D5D" w:rsidP="001A1D5D">
            <w:pPr>
              <w:suppressAutoHyphens/>
              <w:snapToGrid w:val="0"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Вони йшли по спіральних проходах шахт: два чоловіки несли 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u w:val="single"/>
                <w:lang w:val="uk-UA" w:eastAsia="ar-SA"/>
              </w:rPr>
              <w:t>носилки</w:t>
            </w:r>
            <w:r w:rsidRPr="001A1D5D"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  <w:t xml:space="preserve"> з пристебнутими до них шинами, а третій – дерев’яну аптечку. </w:t>
            </w:r>
          </w:p>
          <w:p w:rsidR="001A1D5D" w:rsidRPr="001A1D5D" w:rsidRDefault="001A1D5D" w:rsidP="001A1D5D">
            <w:pPr>
              <w:suppressAutoHyphens/>
              <w:spacing w:after="0" w:line="240" w:lineRule="auto"/>
              <w:jc w:val="both"/>
              <w:rPr>
                <w:rFonts w:ascii="SchoolBook" w:eastAsia="Times New Roman" w:hAnsi="SchoolBook" w:cs="Times New Roman"/>
                <w:i/>
                <w:sz w:val="18"/>
                <w:szCs w:val="20"/>
                <w:lang w:val="uk-UA" w:eastAsia="ar-SA"/>
              </w:rPr>
            </w:pPr>
          </w:p>
        </w:tc>
      </w:tr>
    </w:tbl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 xml:space="preserve">Транскрипція відтворює лише звукову оболонку слова й у наведеному вище прикладі не здатна повністю розкрити зміст нового поняття, яке може залишитися взагалі незрозумілим для реципієнта або бути лише приблизно зрозумілим з контексту. Цей недолік можна компенсувати приміткою, поданою в дужках, пор.: </w:t>
      </w:r>
      <w:proofErr w:type="spellStart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файвоклок</w:t>
      </w:r>
      <w:proofErr w:type="spellEnd"/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 xml:space="preserve"> </w:t>
      </w: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(година між другим сніданком та обідом).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sz w:val="20"/>
          <w:szCs w:val="20"/>
          <w:lang w:val="uk-UA" w:eastAsia="ar-SA"/>
        </w:rPr>
        <w:t>Таким чином, похідний характер англійських кількісно-якісних одиниць зумовлює необхідність розгляду їх формально-семантичної структури у процесі перекладу. У деяких випадках при передачі змісту не завжди вдається зберегти форму квантитативно-квалітативних слів в українській мові. Для створення комунікативно-функціонального еквівалента оригіналу перекладач використовує найдоцільніші для певного контексту трансформації. Окремого дослідження потребують контекстуально та стилістично зумовлені трансформації, що застосовуються у перекладі кількісно-якісних одиниць.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16"/>
          <w:szCs w:val="20"/>
          <w:lang w:val="uk-UA" w:eastAsia="ar-SA"/>
        </w:rPr>
      </w:pPr>
    </w:p>
    <w:p w:rsidR="001A1D5D" w:rsidRPr="001A1D5D" w:rsidRDefault="001A1D5D" w:rsidP="001A1D5D">
      <w:pPr>
        <w:suppressAutoHyphens/>
        <w:spacing w:after="0" w:line="240" w:lineRule="auto"/>
        <w:jc w:val="both"/>
        <w:rPr>
          <w:rFonts w:ascii="SchoolBook" w:eastAsia="Times New Roman" w:hAnsi="SchoolBook" w:cs="Times New Roman"/>
          <w:b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b/>
          <w:sz w:val="20"/>
          <w:szCs w:val="20"/>
          <w:lang w:val="uk-UA" w:eastAsia="ar-SA"/>
        </w:rPr>
        <w:t>СПИСОК ЛІТЕРАТУРИ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16"/>
          <w:szCs w:val="20"/>
          <w:lang w:val="uk-UA" w:eastAsia="ar-SA"/>
        </w:rPr>
      </w:pP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Гаврилов Ю.М.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Семантическое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поле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как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один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из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способов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систематизации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семантики//Семантика и прагматика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языковых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единиц.–Душанбе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: ТГУ, 1990.–С. 56–63.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ar-SA"/>
        </w:rPr>
      </w:pPr>
      <w:proofErr w:type="spellStart"/>
      <w:r w:rsidRPr="001A1D5D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ar-SA"/>
        </w:rPr>
        <w:t>Єнікєєва</w:t>
      </w:r>
      <w:proofErr w:type="spellEnd"/>
      <w:r w:rsidRPr="001A1D5D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ar-SA"/>
        </w:rPr>
        <w:t xml:space="preserve"> С.М. Утворення складних слів синтаксичного типу в англійській мові та особливості їх перекладу // Вісник </w:t>
      </w:r>
      <w:proofErr w:type="spellStart"/>
      <w:r w:rsidRPr="001A1D5D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ar-SA"/>
        </w:rPr>
        <w:t>СумДУ</w:t>
      </w:r>
      <w:proofErr w:type="spellEnd"/>
      <w:r w:rsidRPr="001A1D5D">
        <w:rPr>
          <w:rFonts w:ascii="Times New Roman" w:eastAsia="Times New Roman" w:hAnsi="Times New Roman" w:cs="Times New Roman"/>
          <w:spacing w:val="-6"/>
          <w:sz w:val="20"/>
          <w:szCs w:val="20"/>
          <w:lang w:val="uk-UA" w:eastAsia="ar-SA"/>
        </w:rPr>
        <w:t>. Сер. Філологічні науки. – 2002. - №4 (37). – С. 72–75.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Кабанова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С.В. </w:t>
      </w:r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К проблеме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семантизации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нумеративных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прилагательных в процессе обучения иностранному языку</w:t>
      </w:r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// Матеріали ІІІ Міжнародної науково-методичної конференції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“Досвід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і проблеми реалізації ступеневої системи підготовки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фахівців”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. – Суми: Вид-во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СумДУ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, 1997. – С. 256.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Кабанова С.В. Методический аспект изучения количественно-качественных единиц //Современные технологии машиностроения. Прогрессивные методики преподавания в вузе. </w:t>
      </w:r>
      <w:proofErr w:type="gramStart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–К</w:t>
      </w:r>
      <w:proofErr w:type="gramEnd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иев, Сумы: ИСМО,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СумГУ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, 1997. - Вып.1. – С.191–194.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lastRenderedPageBreak/>
        <w:t>Латышев Л.К. Перевод: Проблемы теории, практики и методики преподавания. – М.: Просвещение, 1988. – 160с.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eastAsia="ar-SA"/>
        </w:rPr>
        <w:t>Тарасова Е.В., Черноватый Л.Н. О дидактических аспектах теории языкового поля //Вестник Харьковского ун-та. – 1992. - №367. – С. 13–20.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</w:pP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Черноватий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 xml:space="preserve"> Л.М. Принципи складання вправ для навчання галузевого перекладу //Вісник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СумДУ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uk-UA" w:eastAsia="ar-SA"/>
        </w:rPr>
        <w:t>. Сер. Філологічні науки. – 2002. - №3 (36). – С. 101–105.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Cronin A.J. The Citadel. – M.: Higher School Publishing House, 1966. – 515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de-DE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de-DE" w:eastAsia="ar-SA"/>
        </w:rPr>
        <w:t xml:space="preserve">Dreiser T. Jennie Gerhardt. –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de-DE" w:eastAsia="ar-SA"/>
        </w:rPr>
        <w:t>M.:Progress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de-DE" w:eastAsia="ar-SA"/>
        </w:rPr>
        <w:t xml:space="preserve"> Publishers, 1972. – 360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Galsworthy. End of the Chapter. Book Three: Over the River. – M.: Foreign Languages Publishing House, 1960. – 304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Lee L. I Can’t Stay Long. – London: Penguin Books, 1980. – 238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London J. Martin Eden. – K.: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Dnipro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Publishers, 1980. – 367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Snow C.P. The Masters. –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Harmondworth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: Penguin Books, 1977</w:t>
      </w:r>
      <w:proofErr w:type="gramStart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.-</w:t>
      </w:r>
      <w:proofErr w:type="gramEnd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320 p.</w:t>
      </w:r>
    </w:p>
    <w:p w:rsidR="001A1D5D" w:rsidRPr="001A1D5D" w:rsidRDefault="001A1D5D" w:rsidP="001A1D5D">
      <w:pPr>
        <w:widowControl w:val="0"/>
        <w:numPr>
          <w:ilvl w:val="0"/>
          <w:numId w:val="1"/>
        </w:numPr>
        <w:suppressAutoHyphens/>
        <w:spacing w:after="0" w:line="228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Wilde O. The Picture of Dorian Gray. – K.: </w:t>
      </w:r>
      <w:proofErr w:type="spellStart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Dnipro</w:t>
      </w:r>
      <w:proofErr w:type="spellEnd"/>
      <w:r w:rsidRPr="001A1D5D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Publishers, 1978. – 232 p. </w:t>
      </w:r>
    </w:p>
    <w:p w:rsidR="001A1D5D" w:rsidRPr="001A1D5D" w:rsidRDefault="001A1D5D" w:rsidP="001A1D5D">
      <w:pPr>
        <w:suppressAutoHyphens/>
        <w:spacing w:after="0" w:line="240" w:lineRule="auto"/>
        <w:ind w:firstLine="284"/>
        <w:jc w:val="both"/>
        <w:rPr>
          <w:rFonts w:ascii="SchoolBook" w:eastAsia="Times New Roman" w:hAnsi="SchoolBook" w:cs="Times New Roman"/>
          <w:sz w:val="16"/>
          <w:szCs w:val="20"/>
          <w:lang w:val="en-US" w:eastAsia="ar-SA"/>
        </w:rPr>
      </w:pPr>
    </w:p>
    <w:p w:rsidR="001A1D5D" w:rsidRPr="001A1D5D" w:rsidRDefault="001A1D5D" w:rsidP="001A1D5D">
      <w:pPr>
        <w:suppressAutoHyphens/>
        <w:spacing w:after="0" w:line="240" w:lineRule="auto"/>
        <w:ind w:firstLine="284"/>
        <w:jc w:val="right"/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</w:pPr>
      <w:r w:rsidRPr="001A1D5D">
        <w:rPr>
          <w:rFonts w:ascii="SchoolBook" w:eastAsia="Times New Roman" w:hAnsi="SchoolBook" w:cs="Times New Roman"/>
          <w:i/>
          <w:sz w:val="20"/>
          <w:szCs w:val="20"/>
          <w:lang w:val="uk-UA" w:eastAsia="ar-SA"/>
        </w:rPr>
        <w:t>Надійшла до редколегії 4 березня 2003р.</w:t>
      </w:r>
    </w:p>
    <w:p w:rsidR="00152293" w:rsidRPr="001A1D5D" w:rsidRDefault="00152293">
      <w:pPr>
        <w:rPr>
          <w:lang w:val="uk-UA"/>
        </w:rPr>
      </w:pPr>
    </w:p>
    <w:sectPr w:rsidR="00152293" w:rsidRPr="001A1D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A1D5D"/>
    <w:rsid w:val="00152293"/>
    <w:rsid w:val="001A1D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1633</Words>
  <Characters>9314</Characters>
  <Application>Microsoft Office Word</Application>
  <DocSecurity>0</DocSecurity>
  <Lines>77</Lines>
  <Paragraphs>21</Paragraphs>
  <ScaleCrop>false</ScaleCrop>
  <Company>library</Company>
  <LinksUpToDate>false</LinksUpToDate>
  <CharactersWithSpaces>10926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2010-12-24T08:00:00Z</dcterms:created>
  <dcterms:modified xsi:type="dcterms:W3CDTF">2010-12-24T08:01:00Z</dcterms:modified>
</cp:coreProperties>
</file>