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AE3" w:rsidRDefault="00375AE3" w:rsidP="00375AE3">
      <w:pPr>
        <w:ind w:firstLine="28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ИНСТИТУЦИОНАЛЬНАЯ СОСТАВЛЯЮЩАЯ УСТОЙЧИВОГО РАЗВИТИЯ</w:t>
      </w:r>
    </w:p>
    <w:p w:rsidR="00375AE3" w:rsidRDefault="00375AE3" w:rsidP="00375AE3">
      <w:pPr>
        <w:ind w:firstLine="284"/>
        <w:jc w:val="center"/>
        <w:rPr>
          <w:b/>
          <w:sz w:val="22"/>
          <w:szCs w:val="22"/>
        </w:rPr>
      </w:pPr>
    </w:p>
    <w:p w:rsidR="00375AE3" w:rsidRDefault="00375AE3" w:rsidP="00375AE3">
      <w:pPr>
        <w:pStyle w:val="1"/>
      </w:pPr>
      <w:r>
        <w:t>Н.Н. Костюченко</w:t>
      </w:r>
    </w:p>
    <w:p w:rsidR="00375AE3" w:rsidRDefault="00375AE3" w:rsidP="00375AE3">
      <w:pPr>
        <w:ind w:firstLine="284"/>
        <w:jc w:val="center"/>
        <w:rPr>
          <w:sz w:val="22"/>
          <w:szCs w:val="22"/>
        </w:rPr>
      </w:pPr>
      <w:r>
        <w:rPr>
          <w:sz w:val="22"/>
          <w:szCs w:val="22"/>
        </w:rPr>
        <w:t>Сумский государственный университет</w:t>
      </w:r>
    </w:p>
    <w:p w:rsidR="00375AE3" w:rsidRDefault="00375AE3" w:rsidP="00375AE3">
      <w:pPr>
        <w:ind w:firstLine="284"/>
        <w:jc w:val="center"/>
        <w:rPr>
          <w:sz w:val="22"/>
          <w:szCs w:val="22"/>
        </w:rPr>
      </w:pPr>
    </w:p>
    <w:p w:rsidR="00375AE3" w:rsidRPr="002518B0" w:rsidRDefault="00375AE3" w:rsidP="00375AE3">
      <w:pPr>
        <w:pStyle w:val="a3"/>
        <w:jc w:val="both"/>
        <w:rPr>
          <w:b/>
        </w:rPr>
      </w:pPr>
      <w:r w:rsidRPr="002518B0">
        <w:rPr>
          <w:b/>
        </w:rPr>
        <w:t>На сегодняшний день все острее стоит проблема учета экологической составляющей в экономическом развитии. Последствиями истощающей природные ресурсы экономической деятельности является все возрастающая деградация окружающей среды. Это обуславливает необходимость разработки новой эколого-экономической концепции –</w:t>
      </w:r>
      <w:r w:rsidRPr="002518B0">
        <w:rPr>
          <w:b/>
          <w:lang w:val="uk-UA"/>
        </w:rPr>
        <w:t xml:space="preserve"> </w:t>
      </w:r>
      <w:r w:rsidRPr="002518B0">
        <w:rPr>
          <w:b/>
        </w:rPr>
        <w:t>устойчивого развития.</w:t>
      </w:r>
    </w:p>
    <w:p w:rsidR="00375AE3" w:rsidRDefault="00375AE3" w:rsidP="00375AE3">
      <w:pPr>
        <w:ind w:firstLine="284"/>
        <w:jc w:val="both"/>
        <w:rPr>
          <w:sz w:val="22"/>
          <w:szCs w:val="22"/>
        </w:rPr>
      </w:pPr>
      <w:r w:rsidRPr="002518B0">
        <w:rPr>
          <w:sz w:val="22"/>
          <w:szCs w:val="22"/>
        </w:rPr>
        <w:t>Для разработки экономической теории устойчивого развития необходимы исследования общественных, экологических и экономических взаимосвязей, глубокий анализ условий, которые</w:t>
      </w:r>
      <w:r>
        <w:rPr>
          <w:sz w:val="22"/>
          <w:szCs w:val="22"/>
        </w:rPr>
        <w:t xml:space="preserve"> приводят к негативным экологическим внешним эффектам. Это позволит не только устранить такие эффекты, но и создать предпосылки для достижения экологических целей общества и большей справедливости при распределении экологической пользы и издержек. Достижение этих целей в значительной степени зависит от изменения сознания, развития экологического мышления и образа жизни и требует институциональных перемен. Принципиальное отличие институциональной концепции от других состоит в том, что в ней </w:t>
      </w:r>
      <w:proofErr w:type="gramStart"/>
      <w:r>
        <w:rPr>
          <w:sz w:val="22"/>
          <w:szCs w:val="22"/>
        </w:rPr>
        <w:t>экономические процессы</w:t>
      </w:r>
      <w:proofErr w:type="gramEnd"/>
      <w:r>
        <w:rPr>
          <w:sz w:val="22"/>
          <w:szCs w:val="22"/>
        </w:rPr>
        <w:t xml:space="preserve"> объясняются не только экономическими, но и социально-политическими, правовыми, социально-психологическими, этическими условиями жизни, а также обычаями, традициями и привычками. На самом деле экономическое поведение человека в значительной мере определяется социально-правовым устройством общества и его "неписаными" законами.</w:t>
      </w:r>
    </w:p>
    <w:p w:rsidR="00375AE3" w:rsidRDefault="00375AE3" w:rsidP="00375AE3">
      <w:pPr>
        <w:ind w:firstLine="284"/>
        <w:jc w:val="both"/>
        <w:rPr>
          <w:sz w:val="22"/>
          <w:szCs w:val="22"/>
        </w:rPr>
      </w:pPr>
      <w:r>
        <w:rPr>
          <w:sz w:val="22"/>
          <w:szCs w:val="22"/>
        </w:rPr>
        <w:t>Устойчивое развитие требует процветания широкого портфеля ресурсов в целях процветания общества, и эффективное управление этим широким портфелем нуждается в более эффективных институтах. Термин "институты" вобрал в себя как институции (обычаи), так и собственно институты (учреждения, законы), так как объединил в себе как формальные, так и неформальные "правила игры".</w:t>
      </w:r>
    </w:p>
    <w:p w:rsidR="00375AE3" w:rsidRDefault="00375AE3" w:rsidP="00375AE3">
      <w:pPr>
        <w:ind w:firstLine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Институции – это придуманные людьми ограничения, которые направляют человеческое взаимодействие в определенное русло. Институции существуют для того, чтобы уменьшить неопределенность, которая имеет место в человеческих взаимоотношениях.  Институциональные ограничения </w:t>
      </w:r>
      <w:proofErr w:type="gramStart"/>
      <w:r>
        <w:rPr>
          <w:sz w:val="22"/>
          <w:szCs w:val="22"/>
        </w:rPr>
        <w:t>охватывают</w:t>
      </w:r>
      <w:proofErr w:type="gramEnd"/>
      <w:r>
        <w:rPr>
          <w:sz w:val="22"/>
          <w:szCs w:val="22"/>
        </w:rPr>
        <w:t xml:space="preserve"> как запрет индивидам делать что-либо, так и условия, при которых иногда им разрешается осуществлять определенные виды деятельности. Официальные правила могут измениться буквально за одну ночь путем принятия политических или юридических решений. Неофициальные ограничения представляют собой обычаи, традиции и кодексы поведения, которые поддаются изменениям в значительно меньшей степени.</w:t>
      </w:r>
    </w:p>
    <w:p w:rsidR="00375AE3" w:rsidRDefault="00375AE3" w:rsidP="00375AE3">
      <w:pPr>
        <w:ind w:firstLine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И как следствие, они структурируют стимулы в процессе человеческого обмена – политического, социального или экономического. Институциональные изменения определяют путь, по которому общество будет развиваться во времени. </w:t>
      </w:r>
    </w:p>
    <w:p w:rsidR="00375AE3" w:rsidRDefault="00375AE3" w:rsidP="00375AE3">
      <w:pPr>
        <w:ind w:firstLine="284"/>
        <w:jc w:val="both"/>
        <w:rPr>
          <w:sz w:val="22"/>
          <w:szCs w:val="22"/>
        </w:rPr>
      </w:pPr>
      <w:r>
        <w:rPr>
          <w:sz w:val="22"/>
          <w:szCs w:val="22"/>
        </w:rPr>
        <w:t>В случае природоохранной тематики это «правила игры», которые разграничивают доступ к ресурсам. Это формальные и неформальные ограничения потребления ресурсов индивидами и определенными группами населения. С экономической точки зрения возможно понимание институций как доступа к ресурсам, права на получение дохода, а также ответственность осуществлять платежи за пользование ресурсами. В данном случае ресурсы выступают частью распределяемого дохода и правом на получение прибыли.</w:t>
      </w:r>
    </w:p>
    <w:p w:rsidR="00375AE3" w:rsidRPr="002518B0" w:rsidRDefault="00375AE3" w:rsidP="00375AE3">
      <w:pPr>
        <w:ind w:firstLine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Многие проблемы требуют долгосрочных решений и не поддаются быстрому воздействию. Для их решения требуется координация многих действующих лиц. Согласование и реализация совместных действий могли бы привести к лучшим результатам, но во многих случаях правила и организации, призванные координировать поведение общества, либо вовсе не существуют, либо недостаточно развиты, несовершенны и слабы, особенно когда речь идет о проблемах, связанных с высокими трансакционными издержками и длительным временным горизонтом. Для эффективной координации </w:t>
      </w:r>
      <w:r w:rsidRPr="002518B0">
        <w:rPr>
          <w:sz w:val="22"/>
          <w:szCs w:val="22"/>
        </w:rPr>
        <w:t>необходимы институты, которые способны:</w:t>
      </w:r>
    </w:p>
    <w:p w:rsidR="00375AE3" w:rsidRPr="002518B0" w:rsidRDefault="00375AE3" w:rsidP="00375AE3">
      <w:pPr>
        <w:numPr>
          <w:ilvl w:val="0"/>
          <w:numId w:val="2"/>
        </w:numPr>
        <w:tabs>
          <w:tab w:val="clear" w:pos="1004"/>
          <w:tab w:val="num" w:pos="540"/>
        </w:tabs>
        <w:ind w:left="540" w:hanging="256"/>
        <w:jc w:val="both"/>
        <w:rPr>
          <w:sz w:val="22"/>
          <w:szCs w:val="22"/>
        </w:rPr>
      </w:pPr>
      <w:r w:rsidRPr="002518B0">
        <w:rPr>
          <w:sz w:val="22"/>
          <w:szCs w:val="22"/>
        </w:rPr>
        <w:t>воспринимать сигналы о потребностях и проблемах, особенно из периферии (информация, обратная связь, предвидение будущих проблем);</w:t>
      </w:r>
    </w:p>
    <w:p w:rsidR="00375AE3" w:rsidRPr="002518B0" w:rsidRDefault="00375AE3" w:rsidP="00375AE3">
      <w:pPr>
        <w:numPr>
          <w:ilvl w:val="0"/>
          <w:numId w:val="2"/>
        </w:numPr>
        <w:tabs>
          <w:tab w:val="clear" w:pos="1004"/>
          <w:tab w:val="num" w:pos="540"/>
        </w:tabs>
        <w:ind w:left="540" w:hanging="256"/>
        <w:jc w:val="both"/>
        <w:rPr>
          <w:sz w:val="22"/>
          <w:szCs w:val="22"/>
        </w:rPr>
      </w:pPr>
      <w:r w:rsidRPr="002518B0">
        <w:rPr>
          <w:sz w:val="22"/>
          <w:szCs w:val="22"/>
        </w:rPr>
        <w:t>согласовать конкурирующие интересы (прозрачность, выражение интересов, форумы для ведения переговоров);</w:t>
      </w:r>
    </w:p>
    <w:p w:rsidR="00375AE3" w:rsidRPr="002518B0" w:rsidRDefault="00375AE3" w:rsidP="00375AE3">
      <w:pPr>
        <w:numPr>
          <w:ilvl w:val="0"/>
          <w:numId w:val="2"/>
        </w:numPr>
        <w:tabs>
          <w:tab w:val="clear" w:pos="1004"/>
          <w:tab w:val="num" w:pos="540"/>
        </w:tabs>
        <w:ind w:left="540" w:hanging="256"/>
        <w:jc w:val="both"/>
        <w:rPr>
          <w:sz w:val="22"/>
          <w:szCs w:val="22"/>
        </w:rPr>
      </w:pPr>
      <w:r w:rsidRPr="002518B0">
        <w:rPr>
          <w:sz w:val="22"/>
          <w:szCs w:val="22"/>
        </w:rPr>
        <w:lastRenderedPageBreak/>
        <w:t>обеспечивать надежное участие и ответственность в процессе реализации принятых решений (механизмы обеспечения обязательств и правоприменения).</w:t>
      </w:r>
    </w:p>
    <w:p w:rsidR="00375AE3" w:rsidRPr="002518B0" w:rsidRDefault="00375AE3" w:rsidP="00375AE3">
      <w:pPr>
        <w:pStyle w:val="a3"/>
        <w:jc w:val="both"/>
        <w:rPr>
          <w:b/>
        </w:rPr>
      </w:pPr>
      <w:proofErr w:type="gramStart"/>
      <w:r w:rsidRPr="002518B0">
        <w:rPr>
          <w:b/>
        </w:rPr>
        <w:t>Необходимо совершенствование институтов на всех уровнях – от локального до глобального, с тем чтобы способствовать экономическому росту, сохраняя при этом экологические и социальные ресурсы.</w:t>
      </w:r>
      <w:proofErr w:type="gramEnd"/>
      <w:r w:rsidRPr="002518B0">
        <w:rPr>
          <w:b/>
        </w:rPr>
        <w:t xml:space="preserve"> Институты, призванные управлять экологическими и социальными ресурсами и защищать их, возникают недостаточно быстро.</w:t>
      </w:r>
    </w:p>
    <w:p w:rsidR="00375AE3" w:rsidRPr="002518B0" w:rsidRDefault="00375AE3" w:rsidP="00375AE3">
      <w:pPr>
        <w:pStyle w:val="a3"/>
        <w:jc w:val="both"/>
        <w:rPr>
          <w:b/>
        </w:rPr>
      </w:pPr>
      <w:r w:rsidRPr="002518B0">
        <w:rPr>
          <w:b/>
        </w:rPr>
        <w:t>Что же мешает возникновению такой институциональной среды? Одно из препятствий – разрозненность интересов. При этом сконцентрированные интересы часто приобретают преобладающий вес, например, при распределении прав собственности на землю и воду, а также в действиях правительства. Другой барьер состоит в трудности формирования надежных обязательств по защите и заботе об обществе и ресурсах. Третье препятствие заключено в неинклюзивности институтов (в отсутствии включенности, доступа к ресурсам, широкого участия). Совершенствование институтов требует</w:t>
      </w:r>
      <w:r>
        <w:t xml:space="preserve"> </w:t>
      </w:r>
      <w:r w:rsidRPr="002518B0">
        <w:rPr>
          <w:b/>
        </w:rPr>
        <w:t>укрепления их основы посредством преодоления неравенства и барьеров на пути к инклюзивному ("включающему") развитию. Необходимые институты (и решения сложных проблем) не могут возникнуть в условиях раздробленности тех или иных интересов или бедности и ущемленности прав тех или иных групп общества. Такие условия влияют на развитие и качество институтов, их способность решать проблемы в долгосрочной перспективе. Инклюзивные ("включающие") общества как внутри страны, так и на международном уровне обеспечивают такие условия, при которых сигналы о возникающих экономических, социальных или экологических проблемах принимаются от всех групп, и эти группы могут сотрудничать при решении сложных злободневных проблем. Иначе говоря, придание прав тем, кто их лишен, и их реальное участие в жизни общества (защита, поддержка и возможность выразить свои интересы) – вот ключ к построению сильных институтов, необходимых для долгосрочного устойчивого развития.</w:t>
      </w:r>
    </w:p>
    <w:p w:rsidR="00375AE3" w:rsidRPr="002518B0" w:rsidRDefault="00375AE3" w:rsidP="00375AE3">
      <w:pPr>
        <w:pStyle w:val="a3"/>
        <w:jc w:val="both"/>
        <w:rPr>
          <w:b/>
        </w:rPr>
      </w:pPr>
      <w:r w:rsidRPr="002518B0">
        <w:rPr>
          <w:b/>
        </w:rPr>
        <w:t>В ряде случаев социальное и экономическое развитие создает благоприятные возможности для изменений. Структурные изменения – урбанизация, демографические сдвиги, перераспределение богатства – высвобождают динамические силы и открывают возможности для институциональных изменений. Катализатором изменений могут служить также инициативы по расширению обмена информацией. Информация расширяет возможности общества, повышая прозрачность и ответственность деятельности правительств и фирм.</w:t>
      </w:r>
    </w:p>
    <w:p w:rsidR="00375AE3" w:rsidRPr="002518B0" w:rsidRDefault="00375AE3" w:rsidP="00375AE3">
      <w:pPr>
        <w:pStyle w:val="a3"/>
        <w:jc w:val="both"/>
        <w:rPr>
          <w:b/>
        </w:rPr>
      </w:pPr>
      <w:r w:rsidRPr="002518B0">
        <w:rPr>
          <w:b/>
        </w:rPr>
        <w:t>Правительство играет центральную роль как организатор разрозненных интересов во многих отраслях, отвечая национальным целям и согласовывая конкурирующие интересы. Однако если правительство, обладая общественно санкционированными полномочиями принуждения, само оказывается не связанным правилами (например, конституцией или соответствующим законодательством), то оно не может выполнять свои обязательства в качестве партнера.</w:t>
      </w:r>
    </w:p>
    <w:p w:rsidR="00375AE3" w:rsidRPr="002518B0" w:rsidRDefault="00375AE3" w:rsidP="00375AE3">
      <w:pPr>
        <w:pStyle w:val="a3"/>
        <w:jc w:val="both"/>
        <w:rPr>
          <w:b/>
        </w:rPr>
      </w:pPr>
      <w:r w:rsidRPr="002518B0">
        <w:rPr>
          <w:b/>
        </w:rPr>
        <w:t xml:space="preserve">До тех пор, пока институты не достигнут успеха в разделении власти и обеспечения действенной </w:t>
      </w:r>
      <w:proofErr w:type="gramStart"/>
      <w:r w:rsidRPr="002518B0">
        <w:rPr>
          <w:b/>
        </w:rPr>
        <w:t>системы</w:t>
      </w:r>
      <w:proofErr w:type="gramEnd"/>
      <w:r w:rsidRPr="002518B0">
        <w:rPr>
          <w:b/>
        </w:rPr>
        <w:t xml:space="preserve"> сдерживающих механизмов и противовесов, местные сообщества и частный сектор не будут заинтересованы во взгляде на перспективу, окружающая среда и природные ресурсы будут нести ущерб в результате отсутствия инвестиций и охранительных мероприятий.</w:t>
      </w:r>
    </w:p>
    <w:p w:rsidR="00375AE3" w:rsidRPr="002518B0" w:rsidRDefault="00375AE3" w:rsidP="00375AE3">
      <w:pPr>
        <w:pStyle w:val="a3"/>
        <w:jc w:val="both"/>
        <w:rPr>
          <w:b/>
        </w:rPr>
      </w:pPr>
      <w:r w:rsidRPr="002518B0">
        <w:rPr>
          <w:b/>
        </w:rPr>
        <w:t xml:space="preserve">Для процветания ресурсов важны охранительные институты, ограничивающие с помощью норм или угрозы наказания исчерпание ресурсов. Это институты, </w:t>
      </w:r>
      <w:r w:rsidRPr="002518B0">
        <w:rPr>
          <w:b/>
        </w:rPr>
        <w:lastRenderedPageBreak/>
        <w:t>которые определяют и поддерживают права контроля в отношении доступа к важнейшим для благосостояния человека ресурсам и их использования.</w:t>
      </w:r>
    </w:p>
    <w:p w:rsidR="00375AE3" w:rsidRDefault="00375AE3" w:rsidP="00375AE3">
      <w:pPr>
        <w:ind w:firstLine="284"/>
        <w:jc w:val="both"/>
        <w:rPr>
          <w:sz w:val="22"/>
          <w:szCs w:val="22"/>
        </w:rPr>
      </w:pPr>
      <w:r w:rsidRPr="002518B0">
        <w:rPr>
          <w:sz w:val="22"/>
          <w:szCs w:val="22"/>
        </w:rPr>
        <w:t>Динамичное экономическое развитие является устойчивым, когда оно устремлено в будущее и ответственно. Поэтому его следует оценивать не только по таким показателям, как уровень бедности, природные ресурсы, площадь лесных угодий и т.</w:t>
      </w:r>
      <w:r>
        <w:rPr>
          <w:sz w:val="22"/>
          <w:szCs w:val="22"/>
        </w:rPr>
        <w:t>д., но также и по качеству институциональной среды, которая содействует появлению этой информации, придает ей значимость и обеспечивает необходимые действия.</w:t>
      </w:r>
    </w:p>
    <w:p w:rsidR="00375AE3" w:rsidRDefault="00375AE3" w:rsidP="00375AE3">
      <w:pPr>
        <w:ind w:firstLine="284"/>
        <w:jc w:val="both"/>
        <w:rPr>
          <w:sz w:val="22"/>
          <w:szCs w:val="22"/>
        </w:rPr>
      </w:pPr>
    </w:p>
    <w:p w:rsidR="00375AE3" w:rsidRDefault="00375AE3" w:rsidP="00375AE3">
      <w:pPr>
        <w:ind w:firstLine="284"/>
        <w:jc w:val="both"/>
        <w:rPr>
          <w:b/>
          <w:sz w:val="20"/>
          <w:lang w:val="uk-UA"/>
        </w:rPr>
      </w:pPr>
      <w:r>
        <w:rPr>
          <w:b/>
          <w:sz w:val="20"/>
        </w:rPr>
        <w:t>Список литературы</w:t>
      </w:r>
    </w:p>
    <w:p w:rsidR="00375AE3" w:rsidRDefault="00375AE3" w:rsidP="00375AE3">
      <w:pPr>
        <w:numPr>
          <w:ilvl w:val="0"/>
          <w:numId w:val="1"/>
        </w:numPr>
        <w:rPr>
          <w:sz w:val="16"/>
        </w:rPr>
      </w:pPr>
      <w:r>
        <w:rPr>
          <w:sz w:val="16"/>
        </w:rPr>
        <w:t>Джуха В.М., Панфилова Е.А. Микроэкономика: учебное пособие для студентов вузов.- Москва: ИКЦ "Март", Ростов н/Д: Изд</w:t>
      </w:r>
      <w:proofErr w:type="gramStart"/>
      <w:r>
        <w:rPr>
          <w:sz w:val="16"/>
        </w:rPr>
        <w:t>.ц</w:t>
      </w:r>
      <w:proofErr w:type="gramEnd"/>
      <w:r>
        <w:rPr>
          <w:sz w:val="16"/>
        </w:rPr>
        <w:t>ентр "Март", 2004.- 256с.</w:t>
      </w:r>
    </w:p>
    <w:p w:rsidR="00375AE3" w:rsidRDefault="00375AE3" w:rsidP="00375AE3">
      <w:pPr>
        <w:numPr>
          <w:ilvl w:val="0"/>
          <w:numId w:val="1"/>
        </w:numPr>
        <w:rPr>
          <w:sz w:val="16"/>
        </w:rPr>
      </w:pPr>
      <w:r>
        <w:rPr>
          <w:sz w:val="16"/>
        </w:rPr>
        <w:t>Доклад о мировом развитии 2003 года. Устойчивое развитие в меняющемся мире. Преобразование институтов, рост и качество жизни.</w:t>
      </w:r>
      <w:r w:rsidRPr="008D11F2">
        <w:rPr>
          <w:sz w:val="16"/>
        </w:rPr>
        <w:t xml:space="preserve"> </w:t>
      </w:r>
      <w:r>
        <w:rPr>
          <w:sz w:val="16"/>
        </w:rPr>
        <w:t xml:space="preserve">/ Пер. с англ.- М.: Издательство "Весь Мир", 2003.- 280 </w:t>
      </w:r>
      <w:proofErr w:type="gramStart"/>
      <w:r>
        <w:rPr>
          <w:sz w:val="16"/>
        </w:rPr>
        <w:t>с</w:t>
      </w:r>
      <w:proofErr w:type="gramEnd"/>
      <w:r>
        <w:rPr>
          <w:sz w:val="16"/>
        </w:rPr>
        <w:t>.</w:t>
      </w:r>
    </w:p>
    <w:p w:rsidR="00375AE3" w:rsidRDefault="00375AE3" w:rsidP="00375AE3">
      <w:pPr>
        <w:numPr>
          <w:ilvl w:val="0"/>
          <w:numId w:val="1"/>
        </w:numPr>
        <w:rPr>
          <w:sz w:val="16"/>
        </w:rPr>
      </w:pPr>
      <w:r>
        <w:rPr>
          <w:sz w:val="16"/>
        </w:rPr>
        <w:t>Еколог</w:t>
      </w:r>
      <w:r>
        <w:rPr>
          <w:sz w:val="16"/>
          <w:lang w:val="uk-UA"/>
        </w:rPr>
        <w:t>ічний менеджмент: Навч. посібник / За ред. В.Ф.Семенова, О.Л.Михайлюк.-К, Центр навчальної літератури, 2004.- 407 с.</w:t>
      </w:r>
    </w:p>
    <w:p w:rsidR="00375AE3" w:rsidRPr="00D622A1" w:rsidRDefault="00375AE3" w:rsidP="00375AE3">
      <w:pPr>
        <w:numPr>
          <w:ilvl w:val="0"/>
          <w:numId w:val="1"/>
        </w:numPr>
        <w:rPr>
          <w:sz w:val="16"/>
        </w:rPr>
      </w:pPr>
      <w:r>
        <w:rPr>
          <w:sz w:val="16"/>
        </w:rPr>
        <w:t xml:space="preserve">Норт Д. </w:t>
      </w:r>
      <w:r>
        <w:rPr>
          <w:sz w:val="16"/>
          <w:lang w:val="uk-UA"/>
        </w:rPr>
        <w:t>Інституції, інституційна змі</w:t>
      </w:r>
      <w:proofErr w:type="gramStart"/>
      <w:r>
        <w:rPr>
          <w:sz w:val="16"/>
          <w:lang w:val="uk-UA"/>
        </w:rPr>
        <w:t>на</w:t>
      </w:r>
      <w:proofErr w:type="gramEnd"/>
      <w:r>
        <w:rPr>
          <w:sz w:val="16"/>
          <w:lang w:val="uk-UA"/>
        </w:rPr>
        <w:t xml:space="preserve"> </w:t>
      </w:r>
      <w:proofErr w:type="gramStart"/>
      <w:r>
        <w:rPr>
          <w:sz w:val="16"/>
          <w:lang w:val="uk-UA"/>
        </w:rPr>
        <w:t>та</w:t>
      </w:r>
      <w:proofErr w:type="gramEnd"/>
      <w:r>
        <w:rPr>
          <w:sz w:val="16"/>
          <w:lang w:val="uk-UA"/>
        </w:rPr>
        <w:t xml:space="preserve"> функціонування економіки / Пер. з англ. І. Дзюб. - К.: Основи, 2000. – 198 с.</w:t>
      </w:r>
    </w:p>
    <w:p w:rsidR="00375AE3" w:rsidRDefault="00375AE3" w:rsidP="00375AE3">
      <w:pPr>
        <w:numPr>
          <w:ilvl w:val="0"/>
          <w:numId w:val="1"/>
        </w:numPr>
        <w:rPr>
          <w:sz w:val="16"/>
        </w:rPr>
      </w:pPr>
      <w:r>
        <w:rPr>
          <w:sz w:val="16"/>
        </w:rPr>
        <w:t>Сергиенко О.И. Экономика природопользования / Серия «Учебники, учебные пособия». – Ростов н</w:t>
      </w:r>
      <w:proofErr w:type="gramStart"/>
      <w:r>
        <w:rPr>
          <w:sz w:val="16"/>
        </w:rPr>
        <w:t>/Д</w:t>
      </w:r>
      <w:proofErr w:type="gramEnd"/>
      <w:r>
        <w:rPr>
          <w:sz w:val="16"/>
        </w:rPr>
        <w:t>: Феникс, 2004. - 320 с.</w:t>
      </w:r>
    </w:p>
    <w:p w:rsidR="00375AE3" w:rsidRDefault="00375AE3" w:rsidP="00375AE3">
      <w:pPr>
        <w:numPr>
          <w:ilvl w:val="0"/>
          <w:numId w:val="1"/>
        </w:numPr>
        <w:rPr>
          <w:sz w:val="16"/>
          <w:lang w:val="en-GB"/>
        </w:rPr>
      </w:pPr>
      <w:r>
        <w:rPr>
          <w:sz w:val="16"/>
          <w:lang w:val="en-US"/>
        </w:rPr>
        <w:t xml:space="preserve">Environmental Action Programme for Central and </w:t>
      </w:r>
      <w:smartTag w:uri="urn:schemas-microsoft-com:office:smarttags" w:element="place">
        <w:r>
          <w:rPr>
            <w:sz w:val="16"/>
            <w:lang w:val="en-US"/>
          </w:rPr>
          <w:t>Eastern Europe</w:t>
        </w:r>
      </w:smartTag>
      <w:r>
        <w:rPr>
          <w:sz w:val="16"/>
          <w:lang w:val="en-US"/>
        </w:rPr>
        <w:t xml:space="preserve">. Setting Priorities. –The World Bank, </w:t>
      </w:r>
      <w:smartTag w:uri="urn:schemas-microsoft-com:office:smarttags" w:element="place">
        <w:smartTag w:uri="urn:schemas-microsoft-com:office:smarttags" w:element="City">
          <w:r>
            <w:rPr>
              <w:sz w:val="16"/>
              <w:lang w:val="en-US"/>
            </w:rPr>
            <w:t>Washington</w:t>
          </w:r>
        </w:smartTag>
        <w:r>
          <w:rPr>
            <w:sz w:val="16"/>
            <w:lang w:val="en-US"/>
          </w:rPr>
          <w:t xml:space="preserve"> </w:t>
        </w:r>
        <w:smartTag w:uri="urn:schemas-microsoft-com:office:smarttags" w:element="State">
          <w:r>
            <w:rPr>
              <w:sz w:val="16"/>
              <w:lang w:val="en-US"/>
            </w:rPr>
            <w:t>D.C.</w:t>
          </w:r>
        </w:smartTag>
      </w:smartTag>
      <w:r>
        <w:rPr>
          <w:sz w:val="16"/>
          <w:lang w:val="en-US"/>
        </w:rPr>
        <w:t>, OECD, Paris.</w:t>
      </w:r>
    </w:p>
    <w:p w:rsidR="00375AE3" w:rsidRPr="008D11F2" w:rsidRDefault="00375AE3" w:rsidP="00375AE3">
      <w:pPr>
        <w:numPr>
          <w:ilvl w:val="0"/>
          <w:numId w:val="1"/>
        </w:numPr>
        <w:rPr>
          <w:sz w:val="16"/>
          <w:lang w:val="en-GB"/>
        </w:rPr>
      </w:pPr>
      <w:r>
        <w:rPr>
          <w:sz w:val="16"/>
          <w:lang w:val="en-US"/>
        </w:rPr>
        <w:t xml:space="preserve">Sauer P., Andrews R. and others Voluntary agreements in Environmental Policy. – </w:t>
      </w:r>
      <w:smartTag w:uri="urn:schemas-microsoft-com:office:smarttags" w:element="place">
        <w:smartTag w:uri="urn:schemas-microsoft-com:office:smarttags" w:element="City">
          <w:r>
            <w:rPr>
              <w:sz w:val="16"/>
              <w:lang w:val="en-US"/>
            </w:rPr>
            <w:t>Prague</w:t>
          </w:r>
        </w:smartTag>
      </w:smartTag>
      <w:r>
        <w:rPr>
          <w:sz w:val="16"/>
          <w:lang w:val="en-US"/>
        </w:rPr>
        <w:t>, 2001. – 205 p.</w:t>
      </w:r>
    </w:p>
    <w:p w:rsidR="00375AE3" w:rsidRPr="00375AE3" w:rsidRDefault="00375AE3" w:rsidP="00375AE3">
      <w:pPr>
        <w:jc w:val="both"/>
        <w:rPr>
          <w:rFonts w:ascii="Times New Roman CYR" w:hAnsi="Times New Roman CYR"/>
          <w:color w:val="000000"/>
          <w:sz w:val="22"/>
          <w:szCs w:val="22"/>
          <w:lang w:val="en-US"/>
        </w:rPr>
      </w:pPr>
    </w:p>
    <w:p w:rsidR="00EF31A8" w:rsidRPr="00375AE3" w:rsidRDefault="00EF31A8">
      <w:pPr>
        <w:rPr>
          <w:lang w:val="en-US"/>
        </w:rPr>
      </w:pPr>
    </w:p>
    <w:sectPr w:rsidR="00EF31A8" w:rsidRPr="00375AE3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51D9A"/>
    <w:multiLevelType w:val="hybridMultilevel"/>
    <w:tmpl w:val="A3F0B63A"/>
    <w:lvl w:ilvl="0" w:tplc="04190007">
      <w:start w:val="1"/>
      <w:numFmt w:val="bullet"/>
      <w:lvlText w:val=""/>
      <w:lvlJc w:val="left"/>
      <w:pPr>
        <w:tabs>
          <w:tab w:val="num" w:pos="1004"/>
        </w:tabs>
        <w:ind w:left="1004" w:hanging="360"/>
      </w:pPr>
      <w:rPr>
        <w:rFonts w:ascii="Wingdings" w:hAnsi="Wingdings" w:hint="default"/>
        <w:sz w:val="16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">
    <w:nsid w:val="020107AF"/>
    <w:multiLevelType w:val="hybridMultilevel"/>
    <w:tmpl w:val="FD94BEB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375AE3"/>
    <w:rsid w:val="00375AE3"/>
    <w:rsid w:val="00622987"/>
    <w:rsid w:val="00AA182E"/>
    <w:rsid w:val="00CA0A1A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Stat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5A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75AE3"/>
    <w:pPr>
      <w:keepNext/>
      <w:jc w:val="center"/>
      <w:outlineLvl w:val="0"/>
    </w:pPr>
    <w:rPr>
      <w:b/>
      <w:bCs/>
      <w:i/>
      <w:iCs/>
      <w:color w:val="000000"/>
      <w:sz w:val="22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75AE3"/>
    <w:rPr>
      <w:rFonts w:ascii="Times New Roman" w:eastAsia="Times New Roman" w:hAnsi="Times New Roman" w:cs="Times New Roman"/>
      <w:b/>
      <w:bCs/>
      <w:i/>
      <w:iCs/>
      <w:color w:val="000000"/>
      <w:szCs w:val="21"/>
      <w:lang w:eastAsia="ru-RU"/>
    </w:rPr>
  </w:style>
  <w:style w:type="paragraph" w:styleId="a3">
    <w:name w:val="Body Text Indent"/>
    <w:basedOn w:val="a"/>
    <w:link w:val="a4"/>
    <w:rsid w:val="00375AE3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375AE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1320</Words>
  <Characters>7524</Characters>
  <Application>Microsoft Office Word</Application>
  <DocSecurity>0</DocSecurity>
  <Lines>62</Lines>
  <Paragraphs>17</Paragraphs>
  <ScaleCrop>false</ScaleCrop>
  <Company>library</Company>
  <LinksUpToDate>false</LinksUpToDate>
  <CharactersWithSpaces>8827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2011-05-04T09:29:00Z</dcterms:created>
  <dcterms:modified xsi:type="dcterms:W3CDTF">2011-05-04T09:29:00Z</dcterms:modified>
</cp:coreProperties>
</file>