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3385" w:rsidRDefault="00EE3385" w:rsidP="00EE3385">
      <w:pPr>
        <w:spacing w:line="360" w:lineRule="auto"/>
        <w:jc w:val="right"/>
        <w:rPr>
          <w:b/>
          <w:sz w:val="28"/>
          <w:szCs w:val="28"/>
          <w:lang w:val="uk-UA"/>
        </w:rPr>
      </w:pPr>
      <w:r>
        <w:rPr>
          <w:b/>
          <w:sz w:val="28"/>
          <w:szCs w:val="28"/>
          <w:lang w:val="uk-UA"/>
        </w:rPr>
        <w:t>Муліна Н.І.</w:t>
      </w:r>
    </w:p>
    <w:p w:rsidR="001901EB" w:rsidRPr="00F31BBD" w:rsidRDefault="00F31BBD" w:rsidP="001901EB">
      <w:pPr>
        <w:spacing w:line="360" w:lineRule="auto"/>
        <w:jc w:val="center"/>
        <w:rPr>
          <w:b/>
          <w:sz w:val="28"/>
          <w:szCs w:val="28"/>
          <w:lang w:val="uk-UA"/>
        </w:rPr>
      </w:pPr>
      <w:r>
        <w:rPr>
          <w:b/>
          <w:sz w:val="28"/>
          <w:szCs w:val="28"/>
          <w:lang w:val="uk-UA"/>
        </w:rPr>
        <w:t xml:space="preserve">БОЛОНСЬКА ДЕКЛАРАЦІЯ В ДІЇ: </w:t>
      </w:r>
      <w:r w:rsidR="002A12C4">
        <w:rPr>
          <w:b/>
          <w:sz w:val="28"/>
          <w:szCs w:val="28"/>
          <w:lang w:val="uk-UA"/>
        </w:rPr>
        <w:t>СУЧАСНІ</w:t>
      </w:r>
      <w:r w:rsidR="00C23B0F">
        <w:rPr>
          <w:b/>
          <w:sz w:val="28"/>
          <w:szCs w:val="28"/>
          <w:lang w:val="uk-UA"/>
        </w:rPr>
        <w:t xml:space="preserve"> ТЕНДЕНЦІЇ РОЗВИТКУ ЄВРОПЕЙСЬКОГО ОСВІТНЬОГО ПРОСТОРУ</w:t>
      </w:r>
    </w:p>
    <w:p w:rsidR="00EE3385" w:rsidRDefault="00EE3385" w:rsidP="00CD68BB">
      <w:pPr>
        <w:spacing w:before="120" w:after="120"/>
        <w:ind w:firstLine="709"/>
        <w:jc w:val="both"/>
        <w:rPr>
          <w:i/>
          <w:sz w:val="28"/>
          <w:szCs w:val="28"/>
          <w:lang w:val="uk-UA"/>
        </w:rPr>
      </w:pPr>
      <w:r w:rsidRPr="002F7794">
        <w:rPr>
          <w:i/>
          <w:sz w:val="28"/>
          <w:szCs w:val="28"/>
          <w:lang w:val="uk-UA"/>
        </w:rPr>
        <w:t>У статті розглянуто основні впливи впровадження положень Болонської декларації</w:t>
      </w:r>
      <w:r w:rsidR="002F7794" w:rsidRPr="002F7794">
        <w:rPr>
          <w:i/>
          <w:sz w:val="28"/>
          <w:szCs w:val="28"/>
          <w:lang w:val="uk-UA"/>
        </w:rPr>
        <w:t xml:space="preserve"> на </w:t>
      </w:r>
      <w:r w:rsidR="002F7794">
        <w:rPr>
          <w:i/>
          <w:sz w:val="28"/>
          <w:szCs w:val="28"/>
          <w:lang w:val="uk-UA"/>
        </w:rPr>
        <w:t xml:space="preserve">розвиток вищої освіти в Європі та Україні зокрема. Визначені </w:t>
      </w:r>
      <w:r w:rsidR="00C23B0F">
        <w:rPr>
          <w:i/>
          <w:sz w:val="28"/>
          <w:szCs w:val="28"/>
          <w:lang w:val="uk-UA"/>
        </w:rPr>
        <w:t xml:space="preserve">відповідні </w:t>
      </w:r>
      <w:r w:rsidR="00996415">
        <w:rPr>
          <w:i/>
          <w:sz w:val="28"/>
          <w:szCs w:val="28"/>
          <w:lang w:val="uk-UA"/>
        </w:rPr>
        <w:t>зміни у системі управління вищими навчальними закладами.</w:t>
      </w:r>
      <w:r w:rsidR="00244B8B">
        <w:rPr>
          <w:i/>
          <w:sz w:val="28"/>
          <w:szCs w:val="28"/>
          <w:lang w:val="uk-UA"/>
        </w:rPr>
        <w:t xml:space="preserve"> </w:t>
      </w:r>
      <w:r w:rsidR="00244B8B" w:rsidRPr="00244B8B">
        <w:rPr>
          <w:b/>
          <w:i/>
          <w:sz w:val="28"/>
          <w:szCs w:val="28"/>
          <w:lang w:val="uk-UA"/>
        </w:rPr>
        <w:t>Ключові слова:</w:t>
      </w:r>
      <w:r w:rsidR="00244B8B">
        <w:rPr>
          <w:i/>
          <w:sz w:val="28"/>
          <w:szCs w:val="28"/>
          <w:lang w:val="uk-UA"/>
        </w:rPr>
        <w:t xml:space="preserve"> вища освіта, Болонський процес, управління вищим навчальним закладом.</w:t>
      </w:r>
    </w:p>
    <w:p w:rsidR="00996415" w:rsidRDefault="00996415" w:rsidP="00CD68BB">
      <w:pPr>
        <w:spacing w:before="120" w:after="120"/>
        <w:ind w:firstLine="709"/>
        <w:jc w:val="both"/>
        <w:rPr>
          <w:i/>
          <w:sz w:val="28"/>
          <w:szCs w:val="28"/>
        </w:rPr>
      </w:pPr>
      <w:r>
        <w:rPr>
          <w:i/>
          <w:sz w:val="28"/>
          <w:szCs w:val="28"/>
        </w:rPr>
        <w:t xml:space="preserve">В статье рассмотрено влияние </w:t>
      </w:r>
      <w:r w:rsidR="00215741" w:rsidRPr="00215741">
        <w:rPr>
          <w:i/>
          <w:sz w:val="28"/>
          <w:szCs w:val="28"/>
        </w:rPr>
        <w:t>реализации</w:t>
      </w:r>
      <w:r w:rsidR="00C23B0F">
        <w:rPr>
          <w:i/>
          <w:sz w:val="28"/>
          <w:szCs w:val="28"/>
        </w:rPr>
        <w:t xml:space="preserve"> положений Болонской декларации на развитие высшего образования в Европе и Украин</w:t>
      </w:r>
      <w:r w:rsidR="00215741">
        <w:rPr>
          <w:i/>
          <w:sz w:val="28"/>
          <w:szCs w:val="28"/>
        </w:rPr>
        <w:t>е</w:t>
      </w:r>
      <w:r w:rsidR="00C23B0F">
        <w:rPr>
          <w:i/>
          <w:sz w:val="28"/>
          <w:szCs w:val="28"/>
        </w:rPr>
        <w:t xml:space="preserve">. Определены </w:t>
      </w:r>
      <w:r w:rsidR="00C23B0F" w:rsidRPr="00C23B0F">
        <w:rPr>
          <w:i/>
          <w:sz w:val="28"/>
          <w:szCs w:val="28"/>
        </w:rPr>
        <w:t>соответствующие</w:t>
      </w:r>
      <w:r w:rsidR="00C23B0F">
        <w:rPr>
          <w:i/>
          <w:sz w:val="28"/>
          <w:szCs w:val="28"/>
          <w:lang w:val="uk-UA"/>
        </w:rPr>
        <w:t xml:space="preserve"> </w:t>
      </w:r>
      <w:r w:rsidR="00C23B0F">
        <w:rPr>
          <w:i/>
          <w:sz w:val="28"/>
          <w:szCs w:val="28"/>
        </w:rPr>
        <w:t xml:space="preserve">изменения в системе управления </w:t>
      </w:r>
      <w:r w:rsidR="00C23B0F">
        <w:rPr>
          <w:i/>
          <w:sz w:val="28"/>
          <w:szCs w:val="28"/>
          <w:lang w:val="uk-UA"/>
        </w:rPr>
        <w:t>вузами.</w:t>
      </w:r>
      <w:r w:rsidR="00244B8B">
        <w:rPr>
          <w:i/>
          <w:sz w:val="28"/>
          <w:szCs w:val="28"/>
          <w:lang w:val="uk-UA"/>
        </w:rPr>
        <w:t xml:space="preserve"> </w:t>
      </w:r>
      <w:r w:rsidR="00244B8B" w:rsidRPr="00244B8B">
        <w:rPr>
          <w:b/>
          <w:i/>
          <w:sz w:val="28"/>
          <w:szCs w:val="28"/>
        </w:rPr>
        <w:t>Ключевые</w:t>
      </w:r>
      <w:r w:rsidR="00244B8B" w:rsidRPr="00244B8B">
        <w:rPr>
          <w:b/>
          <w:i/>
          <w:sz w:val="28"/>
          <w:szCs w:val="28"/>
          <w:lang w:val="uk-UA"/>
        </w:rPr>
        <w:t xml:space="preserve"> </w:t>
      </w:r>
      <w:r w:rsidR="00244B8B" w:rsidRPr="00244B8B">
        <w:rPr>
          <w:b/>
          <w:i/>
          <w:sz w:val="28"/>
          <w:szCs w:val="28"/>
        </w:rPr>
        <w:t>слова:</w:t>
      </w:r>
      <w:r w:rsidR="00244B8B">
        <w:rPr>
          <w:i/>
          <w:sz w:val="28"/>
          <w:szCs w:val="28"/>
        </w:rPr>
        <w:t xml:space="preserve"> высшее образование, Болонский процесс, управление высшим учебным заведением.</w:t>
      </w:r>
    </w:p>
    <w:p w:rsidR="00244B8B" w:rsidRPr="00E24CAF" w:rsidRDefault="00CD68BB" w:rsidP="00CD68BB">
      <w:pPr>
        <w:spacing w:before="120" w:after="120"/>
        <w:ind w:firstLine="709"/>
        <w:jc w:val="both"/>
        <w:rPr>
          <w:i/>
          <w:sz w:val="28"/>
          <w:szCs w:val="28"/>
          <w:lang w:val="en-US"/>
        </w:rPr>
      </w:pPr>
      <w:r>
        <w:rPr>
          <w:i/>
          <w:sz w:val="28"/>
          <w:szCs w:val="28"/>
          <w:lang w:val="en-US"/>
        </w:rPr>
        <w:t>In the article the i</w:t>
      </w:r>
      <w:r w:rsidR="00E24CAF">
        <w:rPr>
          <w:i/>
          <w:sz w:val="28"/>
          <w:szCs w:val="28"/>
          <w:lang w:val="en-US"/>
        </w:rPr>
        <w:t xml:space="preserve">nfluence of the Bologna declaration </w:t>
      </w:r>
      <w:r>
        <w:rPr>
          <w:i/>
          <w:sz w:val="28"/>
          <w:szCs w:val="28"/>
          <w:lang w:val="en-US"/>
        </w:rPr>
        <w:t xml:space="preserve">regulations implementation on the higher education in Europe and Ukraine in particular is considered. Respective changes in higher education management are stated. </w:t>
      </w:r>
      <w:r w:rsidRPr="00CD68BB">
        <w:rPr>
          <w:b/>
          <w:i/>
          <w:sz w:val="28"/>
          <w:szCs w:val="28"/>
          <w:lang w:val="en-US"/>
        </w:rPr>
        <w:t>Key words:</w:t>
      </w:r>
      <w:r>
        <w:rPr>
          <w:i/>
          <w:sz w:val="28"/>
          <w:szCs w:val="28"/>
          <w:lang w:val="en-US"/>
        </w:rPr>
        <w:t xml:space="preserve"> higher education, the Bologna process, higher education management.</w:t>
      </w:r>
    </w:p>
    <w:p w:rsidR="001901EB" w:rsidRPr="00E919FC" w:rsidRDefault="001901EB" w:rsidP="001901EB">
      <w:pPr>
        <w:spacing w:line="360" w:lineRule="auto"/>
        <w:ind w:firstLine="720"/>
        <w:jc w:val="both"/>
        <w:rPr>
          <w:sz w:val="28"/>
          <w:szCs w:val="28"/>
          <w:lang w:val="uk-UA"/>
        </w:rPr>
      </w:pPr>
      <w:r w:rsidRPr="00E919FC">
        <w:rPr>
          <w:sz w:val="28"/>
          <w:szCs w:val="28"/>
          <w:lang w:val="uk-UA"/>
        </w:rPr>
        <w:t xml:space="preserve">Розвиток Європейського освітнього простору </w:t>
      </w:r>
      <w:r w:rsidR="00700E87">
        <w:rPr>
          <w:sz w:val="28"/>
          <w:szCs w:val="28"/>
          <w:lang w:val="uk-UA"/>
        </w:rPr>
        <w:t xml:space="preserve">протягом останніх років </w:t>
      </w:r>
      <w:r w:rsidRPr="00E919FC">
        <w:rPr>
          <w:sz w:val="28"/>
          <w:szCs w:val="28"/>
          <w:lang w:val="uk-UA"/>
        </w:rPr>
        <w:t xml:space="preserve">характеризується реалізацією положень Болонської декларації [1], яка була підписана 29 міністрами освіти європейських країн в червні 1999 року. Її основною метою </w:t>
      </w:r>
      <w:r w:rsidR="00700E87">
        <w:rPr>
          <w:sz w:val="28"/>
          <w:szCs w:val="28"/>
          <w:lang w:val="uk-UA"/>
        </w:rPr>
        <w:t>було</w:t>
      </w:r>
      <w:r w:rsidRPr="00E919FC">
        <w:rPr>
          <w:sz w:val="28"/>
          <w:szCs w:val="28"/>
          <w:lang w:val="uk-UA"/>
        </w:rPr>
        <w:t xml:space="preserve"> створення єдиного європейського освітнього простору до 2010 року та підвищення міжнародної конкурентоздатності європейської системи вищої освіти.</w:t>
      </w:r>
      <w:r w:rsidR="00381444">
        <w:rPr>
          <w:sz w:val="28"/>
          <w:szCs w:val="28"/>
          <w:lang w:val="uk-UA"/>
        </w:rPr>
        <w:t xml:space="preserve"> З часом збільшилася кількість учасників: сьогодні це </w:t>
      </w:r>
      <w:r w:rsidR="00381444" w:rsidRPr="00E919FC">
        <w:rPr>
          <w:sz w:val="28"/>
          <w:szCs w:val="28"/>
          <w:lang w:val="uk-UA"/>
        </w:rPr>
        <w:t>45 країн</w:t>
      </w:r>
      <w:r w:rsidR="00381444">
        <w:rPr>
          <w:sz w:val="28"/>
          <w:szCs w:val="28"/>
          <w:lang w:val="uk-UA"/>
        </w:rPr>
        <w:t xml:space="preserve"> </w:t>
      </w:r>
      <w:r w:rsidR="002E270A">
        <w:rPr>
          <w:sz w:val="28"/>
          <w:szCs w:val="28"/>
          <w:lang w:val="uk-UA"/>
        </w:rPr>
        <w:t>(Україна,</w:t>
      </w:r>
      <w:r w:rsidR="00CF36E7">
        <w:rPr>
          <w:sz w:val="28"/>
          <w:szCs w:val="28"/>
          <w:lang w:val="uk-UA"/>
        </w:rPr>
        <w:t xml:space="preserve"> 2005</w:t>
      </w:r>
      <w:r w:rsidR="002E270A">
        <w:rPr>
          <w:sz w:val="28"/>
          <w:szCs w:val="28"/>
          <w:lang w:val="uk-UA"/>
        </w:rPr>
        <w:t>)</w:t>
      </w:r>
      <w:r w:rsidR="00381444">
        <w:rPr>
          <w:sz w:val="28"/>
          <w:szCs w:val="28"/>
          <w:lang w:val="uk-UA"/>
        </w:rPr>
        <w:t>. Поетапно набувал</w:t>
      </w:r>
      <w:r w:rsidR="00CF36E7">
        <w:rPr>
          <w:sz w:val="28"/>
          <w:szCs w:val="28"/>
          <w:lang w:val="uk-UA"/>
        </w:rPr>
        <w:t>и</w:t>
      </w:r>
      <w:r w:rsidR="00381444">
        <w:rPr>
          <w:sz w:val="28"/>
          <w:szCs w:val="28"/>
          <w:lang w:val="uk-UA"/>
        </w:rPr>
        <w:t xml:space="preserve"> й нового </w:t>
      </w:r>
      <w:r w:rsidR="00CF36E7">
        <w:rPr>
          <w:sz w:val="28"/>
          <w:szCs w:val="28"/>
          <w:lang w:val="uk-UA"/>
        </w:rPr>
        <w:t>змісту</w:t>
      </w:r>
      <w:r w:rsidR="00381444">
        <w:rPr>
          <w:sz w:val="28"/>
          <w:szCs w:val="28"/>
          <w:lang w:val="uk-UA"/>
        </w:rPr>
        <w:t xml:space="preserve"> </w:t>
      </w:r>
      <w:r w:rsidR="00CF36E7">
        <w:rPr>
          <w:sz w:val="28"/>
          <w:szCs w:val="28"/>
          <w:lang w:val="uk-UA"/>
        </w:rPr>
        <w:t xml:space="preserve">напрями спільної роботи </w:t>
      </w:r>
      <w:r w:rsidR="00215741">
        <w:rPr>
          <w:sz w:val="28"/>
          <w:szCs w:val="28"/>
          <w:lang w:val="uk-UA"/>
        </w:rPr>
        <w:t>(Прага, 2001; Берлін, 2003).</w:t>
      </w:r>
    </w:p>
    <w:p w:rsidR="001901EB" w:rsidRPr="00E36255" w:rsidRDefault="001901EB" w:rsidP="001901EB">
      <w:pPr>
        <w:spacing w:line="360" w:lineRule="auto"/>
        <w:ind w:firstLine="720"/>
        <w:jc w:val="both"/>
        <w:rPr>
          <w:sz w:val="28"/>
          <w:szCs w:val="28"/>
          <w:lang w:val="uk-UA"/>
        </w:rPr>
      </w:pPr>
      <w:r w:rsidRPr="00E919FC">
        <w:rPr>
          <w:sz w:val="28"/>
          <w:szCs w:val="28"/>
          <w:lang w:val="uk-UA"/>
        </w:rPr>
        <w:t xml:space="preserve">Очевидно, що Болонська декларація носить загальний характер. Беручи до уваги "Велику Хартію університетів" (Болонья, 1986), яка висуває вимоги </w:t>
      </w:r>
      <w:r w:rsidR="00700E87">
        <w:rPr>
          <w:sz w:val="28"/>
          <w:szCs w:val="28"/>
          <w:lang w:val="uk-UA"/>
        </w:rPr>
        <w:t xml:space="preserve">щодо </w:t>
      </w:r>
      <w:r w:rsidRPr="00E919FC">
        <w:rPr>
          <w:sz w:val="28"/>
          <w:szCs w:val="28"/>
          <w:lang w:val="uk-UA"/>
        </w:rPr>
        <w:t>автономії та академічної свободи для університетів, Болонська декларація спрямована скоріше на зближення, а не на уніфікацію систем вищої освіти європейських країн. За кожною країною визнається право на збер</w:t>
      </w:r>
      <w:r w:rsidR="00700E87">
        <w:rPr>
          <w:sz w:val="28"/>
          <w:szCs w:val="28"/>
          <w:lang w:val="uk-UA"/>
        </w:rPr>
        <w:t>еження</w:t>
      </w:r>
      <w:r w:rsidRPr="00E919FC">
        <w:rPr>
          <w:sz w:val="28"/>
          <w:szCs w:val="28"/>
          <w:lang w:val="uk-UA"/>
        </w:rPr>
        <w:t xml:space="preserve"> власних освітніх традицій. </w:t>
      </w:r>
      <w:r w:rsidR="00253EEB">
        <w:rPr>
          <w:sz w:val="28"/>
          <w:szCs w:val="28"/>
          <w:lang w:val="uk-UA"/>
        </w:rPr>
        <w:t xml:space="preserve">Відзначають, що </w:t>
      </w:r>
      <w:r w:rsidR="00253EEB" w:rsidRPr="00E919FC">
        <w:rPr>
          <w:sz w:val="28"/>
          <w:szCs w:val="28"/>
          <w:lang w:val="uk-UA"/>
        </w:rPr>
        <w:t>на шляху впровадження її основних положень у багатьох країнах виник ряд протиріч. Україна не є винятком.</w:t>
      </w:r>
      <w:r w:rsidR="00253EEB">
        <w:rPr>
          <w:sz w:val="28"/>
          <w:szCs w:val="28"/>
          <w:lang w:val="uk-UA"/>
        </w:rPr>
        <w:t xml:space="preserve"> </w:t>
      </w:r>
      <w:r w:rsidR="00253EEB" w:rsidRPr="00E919FC">
        <w:rPr>
          <w:sz w:val="28"/>
          <w:szCs w:val="28"/>
          <w:lang w:val="uk-UA"/>
        </w:rPr>
        <w:t xml:space="preserve">Протиріччя і проблеми спіткають як </w:t>
      </w:r>
      <w:r w:rsidR="00253EEB" w:rsidRPr="00E919FC">
        <w:rPr>
          <w:sz w:val="28"/>
          <w:szCs w:val="28"/>
          <w:lang w:val="uk-UA"/>
        </w:rPr>
        <w:lastRenderedPageBreak/>
        <w:t>систему освіти в цілому, так і кожний ВНЗ. Загальнодержавного реформування й упорядкування вимагають ступенева система освіти, назріла необхідність введення сучасних освітньо-кваліфікаційних характеристик та освітньо-професійних програм підготовки фахівців, які б відповідали європейським та світовим практикам.</w:t>
      </w:r>
      <w:r w:rsidR="00253EEB">
        <w:rPr>
          <w:sz w:val="28"/>
          <w:szCs w:val="28"/>
          <w:lang w:val="uk-UA"/>
        </w:rPr>
        <w:t xml:space="preserve"> </w:t>
      </w:r>
      <w:r w:rsidR="00700E87">
        <w:rPr>
          <w:sz w:val="28"/>
          <w:szCs w:val="28"/>
          <w:lang w:val="uk-UA"/>
        </w:rPr>
        <w:t xml:space="preserve">Багато публікацій у вітчизняній фаховій літературі присвячено </w:t>
      </w:r>
      <w:r w:rsidR="00B71887">
        <w:rPr>
          <w:sz w:val="28"/>
          <w:szCs w:val="28"/>
          <w:lang w:val="uk-UA"/>
        </w:rPr>
        <w:t>цілям Болонського процесу та його основним етапам</w:t>
      </w:r>
      <w:r w:rsidR="009B37C9">
        <w:rPr>
          <w:sz w:val="28"/>
          <w:szCs w:val="28"/>
          <w:lang w:val="uk-UA"/>
        </w:rPr>
        <w:t>,</w:t>
      </w:r>
      <w:r w:rsidR="00253EEB">
        <w:rPr>
          <w:sz w:val="28"/>
          <w:szCs w:val="28"/>
          <w:lang w:val="uk-UA"/>
        </w:rPr>
        <w:t xml:space="preserve"> </w:t>
      </w:r>
      <w:r w:rsidR="009B37C9">
        <w:rPr>
          <w:sz w:val="28"/>
          <w:szCs w:val="28"/>
          <w:lang w:val="uk-UA"/>
        </w:rPr>
        <w:t xml:space="preserve">запровадженню кредитно-модульної системи організації навчального процесу </w:t>
      </w:r>
      <w:r w:rsidR="00E36255">
        <w:rPr>
          <w:sz w:val="28"/>
          <w:szCs w:val="28"/>
          <w:lang w:val="uk-UA"/>
        </w:rPr>
        <w:t xml:space="preserve">тощо </w:t>
      </w:r>
      <w:r w:rsidR="00253EEB" w:rsidRPr="00E36255">
        <w:rPr>
          <w:sz w:val="28"/>
          <w:szCs w:val="28"/>
          <w:lang w:val="uk-UA"/>
        </w:rPr>
        <w:t xml:space="preserve">(В.Г.Кремень, </w:t>
      </w:r>
      <w:r w:rsidR="00905BDA" w:rsidRPr="00E36255">
        <w:rPr>
          <w:sz w:val="28"/>
          <w:szCs w:val="28"/>
          <w:lang w:val="uk-UA"/>
        </w:rPr>
        <w:t xml:space="preserve">Г.Чуйко, </w:t>
      </w:r>
      <w:r w:rsidR="000932B7" w:rsidRPr="00E36255">
        <w:rPr>
          <w:sz w:val="28"/>
          <w:szCs w:val="28"/>
          <w:lang w:val="uk-UA"/>
        </w:rPr>
        <w:t>К.М.Левківський,</w:t>
      </w:r>
      <w:r w:rsidR="000932B7" w:rsidRPr="00E36255">
        <w:rPr>
          <w:rStyle w:val="ac"/>
          <w:sz w:val="28"/>
          <w:szCs w:val="28"/>
          <w:lang w:val="uk-UA"/>
        </w:rPr>
        <w:t xml:space="preserve"> </w:t>
      </w:r>
      <w:r w:rsidR="000932B7" w:rsidRPr="00E36255">
        <w:rPr>
          <w:rStyle w:val="ac"/>
          <w:b w:val="0"/>
          <w:sz w:val="28"/>
          <w:szCs w:val="28"/>
          <w:lang w:val="uk-UA"/>
        </w:rPr>
        <w:t>І.В.</w:t>
      </w:r>
      <w:r w:rsidR="009B37C9" w:rsidRPr="00E36255">
        <w:rPr>
          <w:rStyle w:val="ac"/>
          <w:b w:val="0"/>
          <w:sz w:val="28"/>
          <w:szCs w:val="28"/>
          <w:lang w:val="uk-UA"/>
        </w:rPr>
        <w:t>Мороз</w:t>
      </w:r>
      <w:r w:rsidR="009B37C9" w:rsidRPr="00E36255">
        <w:rPr>
          <w:rStyle w:val="ac"/>
          <w:sz w:val="28"/>
          <w:szCs w:val="28"/>
          <w:lang w:val="uk-UA"/>
        </w:rPr>
        <w:t>,</w:t>
      </w:r>
      <w:r w:rsidR="009B37C9" w:rsidRPr="00E36255">
        <w:rPr>
          <w:sz w:val="28"/>
          <w:szCs w:val="28"/>
          <w:lang w:val="uk-UA"/>
        </w:rPr>
        <w:t xml:space="preserve"> </w:t>
      </w:r>
      <w:r w:rsidR="00905BDA" w:rsidRPr="00E36255">
        <w:rPr>
          <w:sz w:val="28"/>
          <w:szCs w:val="28"/>
          <w:lang w:val="uk-UA"/>
        </w:rPr>
        <w:t>О.Охрименко,</w:t>
      </w:r>
      <w:r w:rsidR="00E850C0" w:rsidRPr="00E36255">
        <w:rPr>
          <w:sz w:val="28"/>
          <w:szCs w:val="28"/>
          <w:lang w:val="uk-UA"/>
        </w:rPr>
        <w:t xml:space="preserve"> </w:t>
      </w:r>
      <w:r w:rsidR="000932B7" w:rsidRPr="00E36255">
        <w:rPr>
          <w:rStyle w:val="ac"/>
          <w:b w:val="0"/>
          <w:sz w:val="28"/>
          <w:szCs w:val="28"/>
          <w:lang w:val="uk-UA"/>
        </w:rPr>
        <w:t>В.И.</w:t>
      </w:r>
      <w:r w:rsidR="00E850C0" w:rsidRPr="00E36255">
        <w:rPr>
          <w:rStyle w:val="ac"/>
          <w:b w:val="0"/>
          <w:sz w:val="28"/>
          <w:szCs w:val="28"/>
          <w:lang w:val="uk-UA"/>
        </w:rPr>
        <w:t>Байденко,</w:t>
      </w:r>
      <w:r w:rsidR="00E850C0" w:rsidRPr="00E36255">
        <w:rPr>
          <w:rStyle w:val="ac"/>
          <w:sz w:val="28"/>
          <w:szCs w:val="28"/>
          <w:lang w:val="uk-UA"/>
        </w:rPr>
        <w:t xml:space="preserve"> </w:t>
      </w:r>
      <w:r w:rsidR="00E850C0" w:rsidRPr="00E36255">
        <w:rPr>
          <w:sz w:val="28"/>
          <w:szCs w:val="28"/>
          <w:lang w:val="uk-UA"/>
        </w:rPr>
        <w:t>М.Ф.Степко, Я.Я.Болюбаш</w:t>
      </w:r>
      <w:r w:rsidR="009B37C9" w:rsidRPr="00E36255">
        <w:rPr>
          <w:sz w:val="28"/>
          <w:szCs w:val="28"/>
          <w:lang w:val="uk-UA"/>
        </w:rPr>
        <w:t>, З.І.Тимошенко, В.С.Журавський</w:t>
      </w:r>
      <w:r w:rsidR="000932B7" w:rsidRPr="00E36255">
        <w:rPr>
          <w:sz w:val="28"/>
          <w:szCs w:val="28"/>
          <w:lang w:val="uk-UA"/>
        </w:rPr>
        <w:t>,</w:t>
      </w:r>
      <w:r w:rsidR="009B37C9" w:rsidRPr="00E36255">
        <w:rPr>
          <w:sz w:val="28"/>
          <w:szCs w:val="28"/>
          <w:lang w:val="uk-UA"/>
        </w:rPr>
        <w:t xml:space="preserve"> </w:t>
      </w:r>
      <w:r w:rsidR="000932B7" w:rsidRPr="00E36255">
        <w:rPr>
          <w:rStyle w:val="ac"/>
          <w:b w:val="0"/>
          <w:sz w:val="28"/>
          <w:szCs w:val="28"/>
          <w:lang w:val="uk-UA"/>
        </w:rPr>
        <w:t>М.З.</w:t>
      </w:r>
      <w:r w:rsidR="009B37C9" w:rsidRPr="00E36255">
        <w:rPr>
          <w:rStyle w:val="ac"/>
          <w:b w:val="0"/>
          <w:sz w:val="28"/>
          <w:szCs w:val="28"/>
          <w:lang w:val="uk-UA"/>
        </w:rPr>
        <w:t>Згуровський</w:t>
      </w:r>
      <w:r w:rsidR="000932B7" w:rsidRPr="00E36255">
        <w:rPr>
          <w:rStyle w:val="ac"/>
          <w:sz w:val="28"/>
          <w:szCs w:val="28"/>
          <w:lang w:val="uk-UA"/>
        </w:rPr>
        <w:t xml:space="preserve">, </w:t>
      </w:r>
      <w:r w:rsidR="000932B7" w:rsidRPr="00E36255">
        <w:rPr>
          <w:sz w:val="28"/>
          <w:szCs w:val="28"/>
          <w:lang w:val="uk-UA"/>
        </w:rPr>
        <w:t>В.Д.Шинкарук</w:t>
      </w:r>
      <w:r w:rsidR="00253EEB" w:rsidRPr="00E36255">
        <w:rPr>
          <w:sz w:val="28"/>
          <w:szCs w:val="28"/>
          <w:lang w:val="uk-UA"/>
        </w:rPr>
        <w:t>)</w:t>
      </w:r>
      <w:r w:rsidR="00B71887" w:rsidRPr="00E36255">
        <w:rPr>
          <w:sz w:val="28"/>
          <w:szCs w:val="28"/>
          <w:lang w:val="uk-UA"/>
        </w:rPr>
        <w:t xml:space="preserve">, </w:t>
      </w:r>
      <w:r w:rsidR="00253EEB" w:rsidRPr="00E36255">
        <w:rPr>
          <w:sz w:val="28"/>
          <w:szCs w:val="28"/>
          <w:lang w:val="uk-UA"/>
        </w:rPr>
        <w:t>є роботи, спрямовані на аналіз тенденцій розвитку вищої освіти в цілому (Г.Г.Поберезська, К.В.Корсак)</w:t>
      </w:r>
      <w:r w:rsidR="00B71887" w:rsidRPr="00E36255">
        <w:rPr>
          <w:sz w:val="28"/>
          <w:szCs w:val="28"/>
          <w:lang w:val="uk-UA"/>
        </w:rPr>
        <w:t>.</w:t>
      </w:r>
      <w:r w:rsidR="00700E87" w:rsidRPr="00E36255">
        <w:rPr>
          <w:sz w:val="28"/>
          <w:szCs w:val="28"/>
          <w:lang w:val="uk-UA"/>
        </w:rPr>
        <w:t xml:space="preserve"> </w:t>
      </w:r>
    </w:p>
    <w:p w:rsidR="00B71887" w:rsidRPr="00E919FC" w:rsidRDefault="00B71887" w:rsidP="001901EB">
      <w:pPr>
        <w:spacing w:line="360" w:lineRule="auto"/>
        <w:ind w:firstLine="720"/>
        <w:jc w:val="both"/>
        <w:rPr>
          <w:sz w:val="28"/>
          <w:szCs w:val="28"/>
          <w:lang w:val="uk-UA"/>
        </w:rPr>
      </w:pPr>
      <w:r w:rsidRPr="00B53F2B">
        <w:rPr>
          <w:i/>
          <w:sz w:val="28"/>
          <w:szCs w:val="28"/>
          <w:lang w:val="uk-UA"/>
        </w:rPr>
        <w:t>Мета</w:t>
      </w:r>
      <w:r>
        <w:rPr>
          <w:sz w:val="28"/>
          <w:szCs w:val="28"/>
          <w:lang w:val="uk-UA"/>
        </w:rPr>
        <w:t xml:space="preserve"> даного дослідження – проаналізувати стан впровадження основних положень Болонської декларації в Україні станом на 2010 рік у порівнянні з загальноєвропейською практикою, зробивши наголос на тенденціях щодо змін у </w:t>
      </w:r>
      <w:r w:rsidR="00253EEB">
        <w:rPr>
          <w:sz w:val="28"/>
          <w:szCs w:val="28"/>
          <w:lang w:val="uk-UA"/>
        </w:rPr>
        <w:t>системі управління ВНЗ.</w:t>
      </w:r>
    </w:p>
    <w:p w:rsidR="001901EB" w:rsidRPr="00E81E3D" w:rsidRDefault="00253EEB" w:rsidP="001901EB">
      <w:pPr>
        <w:autoSpaceDE w:val="0"/>
        <w:autoSpaceDN w:val="0"/>
        <w:adjustRightInd w:val="0"/>
        <w:spacing w:line="360" w:lineRule="auto"/>
        <w:ind w:firstLine="720"/>
        <w:jc w:val="both"/>
        <w:rPr>
          <w:sz w:val="28"/>
          <w:szCs w:val="28"/>
          <w:lang w:val="uk-UA"/>
        </w:rPr>
      </w:pPr>
      <w:r>
        <w:rPr>
          <w:sz w:val="28"/>
          <w:szCs w:val="28"/>
          <w:lang w:val="uk-UA"/>
        </w:rPr>
        <w:t>Розглянемо,</w:t>
      </w:r>
      <w:r w:rsidR="001901EB">
        <w:rPr>
          <w:sz w:val="28"/>
          <w:szCs w:val="28"/>
          <w:lang w:val="uk-UA"/>
        </w:rPr>
        <w:t xml:space="preserve"> </w:t>
      </w:r>
      <w:r>
        <w:rPr>
          <w:sz w:val="28"/>
          <w:szCs w:val="28"/>
          <w:lang w:val="uk-UA"/>
        </w:rPr>
        <w:t>я</w:t>
      </w:r>
      <w:r w:rsidR="001901EB">
        <w:rPr>
          <w:sz w:val="28"/>
          <w:szCs w:val="28"/>
          <w:lang w:val="uk-UA"/>
        </w:rPr>
        <w:t xml:space="preserve">кі з ключових положень Болонської декларації більше ніж за </w:t>
      </w:r>
      <w:r>
        <w:rPr>
          <w:sz w:val="28"/>
          <w:szCs w:val="28"/>
          <w:lang w:val="uk-UA"/>
        </w:rPr>
        <w:t>десять</w:t>
      </w:r>
      <w:r w:rsidR="001901EB">
        <w:rPr>
          <w:sz w:val="28"/>
          <w:szCs w:val="28"/>
          <w:lang w:val="uk-UA"/>
        </w:rPr>
        <w:t xml:space="preserve"> років копіткої роботи зусиллями </w:t>
      </w:r>
      <w:r>
        <w:rPr>
          <w:sz w:val="28"/>
          <w:szCs w:val="28"/>
          <w:lang w:val="uk-UA"/>
        </w:rPr>
        <w:t xml:space="preserve">десятків </w:t>
      </w:r>
      <w:r w:rsidR="001901EB">
        <w:rPr>
          <w:sz w:val="28"/>
          <w:szCs w:val="28"/>
          <w:lang w:val="uk-UA"/>
        </w:rPr>
        <w:t>тисяч людей у сотнях ВНЗ, міністерствах країн перетворилися сьогодні на об’єктивну реальність, а які так і залишилися на рівні декларацій</w:t>
      </w:r>
      <w:r>
        <w:rPr>
          <w:sz w:val="28"/>
          <w:szCs w:val="28"/>
          <w:lang w:val="uk-UA"/>
        </w:rPr>
        <w:t>.</w:t>
      </w:r>
      <w:r w:rsidR="001901EB">
        <w:rPr>
          <w:sz w:val="28"/>
          <w:szCs w:val="28"/>
          <w:lang w:val="uk-UA"/>
        </w:rPr>
        <w:t xml:space="preserve"> І де саме місце України та її університетів у цьому процесі</w:t>
      </w:r>
      <w:r>
        <w:rPr>
          <w:sz w:val="28"/>
          <w:szCs w:val="28"/>
          <w:lang w:val="uk-UA"/>
        </w:rPr>
        <w:t>?</w:t>
      </w:r>
      <w:r w:rsidR="001901EB">
        <w:rPr>
          <w:sz w:val="28"/>
          <w:szCs w:val="28"/>
          <w:lang w:val="uk-UA"/>
        </w:rPr>
        <w:t xml:space="preserve"> </w:t>
      </w:r>
      <w:r w:rsidR="00970788">
        <w:rPr>
          <w:sz w:val="28"/>
          <w:szCs w:val="28"/>
          <w:lang w:val="uk-UA"/>
        </w:rPr>
        <w:t>В частині аналізу досягнень європейських країн в нашій роботі ми будемо спиратися на д</w:t>
      </w:r>
      <w:r w:rsidR="001901EB">
        <w:rPr>
          <w:sz w:val="28"/>
          <w:szCs w:val="28"/>
          <w:lang w:val="uk-UA"/>
        </w:rPr>
        <w:t>етальн</w:t>
      </w:r>
      <w:r w:rsidR="00E36255">
        <w:rPr>
          <w:sz w:val="28"/>
          <w:szCs w:val="28"/>
          <w:lang w:val="uk-UA"/>
        </w:rPr>
        <w:t>ий</w:t>
      </w:r>
      <w:r w:rsidR="001901EB">
        <w:rPr>
          <w:sz w:val="28"/>
          <w:szCs w:val="28"/>
          <w:lang w:val="uk-UA"/>
        </w:rPr>
        <w:t xml:space="preserve"> </w:t>
      </w:r>
      <w:r w:rsidR="00E36255">
        <w:rPr>
          <w:sz w:val="28"/>
          <w:szCs w:val="28"/>
          <w:lang w:val="uk-UA"/>
        </w:rPr>
        <w:t>огляд</w:t>
      </w:r>
      <w:r w:rsidR="00970788">
        <w:rPr>
          <w:sz w:val="28"/>
          <w:szCs w:val="28"/>
          <w:lang w:val="uk-UA"/>
        </w:rPr>
        <w:t>,</w:t>
      </w:r>
      <w:r w:rsidR="001901EB">
        <w:rPr>
          <w:sz w:val="28"/>
          <w:szCs w:val="28"/>
          <w:lang w:val="uk-UA"/>
        </w:rPr>
        <w:t xml:space="preserve"> проведен</w:t>
      </w:r>
      <w:r w:rsidR="00970788">
        <w:rPr>
          <w:sz w:val="28"/>
          <w:szCs w:val="28"/>
          <w:lang w:val="uk-UA"/>
        </w:rPr>
        <w:t>ий</w:t>
      </w:r>
      <w:r w:rsidR="001901EB">
        <w:rPr>
          <w:sz w:val="28"/>
          <w:szCs w:val="28"/>
          <w:lang w:val="uk-UA"/>
        </w:rPr>
        <w:t xml:space="preserve"> фахівцями Виконавчого агентства ЄС з питань освіти, аудіовізуальних засобів та культури (</w:t>
      </w:r>
      <w:r w:rsidR="001901EB" w:rsidRPr="00E81E3D">
        <w:rPr>
          <w:i/>
          <w:sz w:val="28"/>
          <w:szCs w:val="28"/>
          <w:lang w:val="en-US"/>
        </w:rPr>
        <w:t>EACEA</w:t>
      </w:r>
      <w:r w:rsidR="001901EB">
        <w:rPr>
          <w:sz w:val="28"/>
          <w:szCs w:val="28"/>
          <w:lang w:val="uk-UA"/>
        </w:rPr>
        <w:t xml:space="preserve">) </w:t>
      </w:r>
      <w:r w:rsidR="001901EB" w:rsidRPr="00E81E3D">
        <w:rPr>
          <w:sz w:val="28"/>
          <w:szCs w:val="28"/>
          <w:lang w:val="uk-UA"/>
        </w:rPr>
        <w:t>[</w:t>
      </w:r>
      <w:r w:rsidR="006B1117" w:rsidRPr="006B1117">
        <w:rPr>
          <w:sz w:val="28"/>
          <w:szCs w:val="28"/>
          <w:lang w:val="uk-UA"/>
        </w:rPr>
        <w:t>2</w:t>
      </w:r>
      <w:r w:rsidR="001901EB" w:rsidRPr="00FB430B">
        <w:rPr>
          <w:sz w:val="28"/>
          <w:szCs w:val="28"/>
          <w:lang w:val="uk-UA"/>
        </w:rPr>
        <w:t>]</w:t>
      </w:r>
      <w:r w:rsidR="001901EB">
        <w:rPr>
          <w:sz w:val="28"/>
          <w:szCs w:val="28"/>
          <w:lang w:val="uk-UA"/>
        </w:rPr>
        <w:t>.</w:t>
      </w:r>
    </w:p>
    <w:p w:rsidR="001901EB" w:rsidRDefault="001901EB" w:rsidP="001901EB">
      <w:pPr>
        <w:spacing w:line="360" w:lineRule="auto"/>
        <w:ind w:firstLine="900"/>
        <w:jc w:val="both"/>
        <w:rPr>
          <w:sz w:val="28"/>
          <w:szCs w:val="28"/>
          <w:lang w:val="uk-UA"/>
        </w:rPr>
      </w:pPr>
      <w:r>
        <w:rPr>
          <w:sz w:val="28"/>
          <w:szCs w:val="28"/>
          <w:lang w:val="uk-UA"/>
        </w:rPr>
        <w:t>Не підлягає сумніву той факт, що Болонський процес став самим значним і найвпливовішим зовнішнім чинником змін в системах вищої освіти європейс</w:t>
      </w:r>
      <w:r w:rsidRPr="00A9481E">
        <w:rPr>
          <w:sz w:val="28"/>
          <w:szCs w:val="28"/>
          <w:lang w:val="uk-UA"/>
        </w:rPr>
        <w:t>ьк</w:t>
      </w:r>
      <w:r>
        <w:rPr>
          <w:sz w:val="28"/>
          <w:szCs w:val="28"/>
          <w:lang w:val="uk-UA"/>
        </w:rPr>
        <w:t xml:space="preserve">их країн. У більшості країн значно збільшилася кількість закладів, що надають відповідні освітні послуги, хоча в окремих країнах спостерігається і зворотний процес зменшення кількості ВНЗ через їх злиття для створення потужнішого закладу більшої "критичної маси". </w:t>
      </w:r>
      <w:r>
        <w:rPr>
          <w:sz w:val="28"/>
          <w:szCs w:val="28"/>
          <w:lang w:val="uk-UA"/>
        </w:rPr>
        <w:lastRenderedPageBreak/>
        <w:t>Україна, на нашу думку, пройшовши етап не завжди обґрунтованого відкриття ВНЗ, тепер стоїть на порозі етапу оптимізації системи освіти, виходячи з принципів доцільності, орієнтації на ринок праці, фінансової рентабельності зокрема.</w:t>
      </w:r>
    </w:p>
    <w:p w:rsidR="001901EB" w:rsidRPr="00EB03DF" w:rsidRDefault="001901EB" w:rsidP="001901EB">
      <w:pPr>
        <w:spacing w:line="360" w:lineRule="auto"/>
        <w:ind w:firstLine="900"/>
        <w:jc w:val="both"/>
        <w:rPr>
          <w:sz w:val="28"/>
          <w:szCs w:val="28"/>
          <w:lang w:val="uk-UA"/>
        </w:rPr>
      </w:pPr>
      <w:r>
        <w:rPr>
          <w:sz w:val="28"/>
          <w:szCs w:val="28"/>
          <w:lang w:val="uk-UA"/>
        </w:rPr>
        <w:t xml:space="preserve">За роки існування Болонської декларації поступово змінювалися акценти в політиці освітніх спільнот у країнах-учасницях. Якщо на перших порах йшлося про першочерговість впровадження системи зіставних ступенів, введення </w:t>
      </w:r>
      <w:r w:rsidRPr="00E919FC">
        <w:rPr>
          <w:sz w:val="28"/>
          <w:szCs w:val="28"/>
          <w:lang w:val="uk-UA"/>
        </w:rPr>
        <w:t xml:space="preserve">двоциклового навчання </w:t>
      </w:r>
      <w:r>
        <w:rPr>
          <w:sz w:val="28"/>
          <w:szCs w:val="28"/>
          <w:lang w:val="uk-UA"/>
        </w:rPr>
        <w:t>(</w:t>
      </w:r>
      <w:r w:rsidRPr="00E919FC">
        <w:rPr>
          <w:sz w:val="28"/>
          <w:szCs w:val="28"/>
          <w:lang w:val="uk-UA"/>
        </w:rPr>
        <w:t>двоступеневого та післяступеневого</w:t>
      </w:r>
      <w:r>
        <w:rPr>
          <w:sz w:val="28"/>
          <w:szCs w:val="28"/>
          <w:lang w:val="uk-UA"/>
        </w:rPr>
        <w:t xml:space="preserve"> навчання), впровадження систем залікових балів ECTS, то сьогодні головні цілі формулюються щодо гарантій та підвищення якості, розробки національних систем кваліфікацій. У той же час питання сприяння мобільності студентів і викладачів, доступності вищої освіти для різних верств населення, пошуку джерел фінансування освітньої та наукової діяльності ВНЗ завжди залишаються на порядку денному.</w:t>
      </w:r>
    </w:p>
    <w:p w:rsidR="001901EB" w:rsidRDefault="001901EB" w:rsidP="001901EB">
      <w:pPr>
        <w:spacing w:line="360" w:lineRule="auto"/>
        <w:ind w:firstLine="900"/>
        <w:jc w:val="both"/>
        <w:rPr>
          <w:sz w:val="28"/>
          <w:szCs w:val="28"/>
          <w:lang w:val="uk-UA"/>
        </w:rPr>
      </w:pPr>
      <w:r>
        <w:rPr>
          <w:sz w:val="28"/>
          <w:szCs w:val="28"/>
          <w:lang w:val="uk-UA"/>
        </w:rPr>
        <w:t>Який стан справ із ступенями у Європі? Визначають три основні моделі</w:t>
      </w:r>
      <w:r w:rsidRPr="000231E8">
        <w:rPr>
          <w:sz w:val="28"/>
          <w:szCs w:val="28"/>
        </w:rPr>
        <w:t xml:space="preserve"> </w:t>
      </w:r>
      <w:r>
        <w:rPr>
          <w:sz w:val="28"/>
          <w:szCs w:val="28"/>
          <w:lang w:val="uk-UA"/>
        </w:rPr>
        <w:t>щодо організації першого та другого ступенів навчання у ВНЗ:</w:t>
      </w:r>
    </w:p>
    <w:p w:rsidR="001901EB" w:rsidRDefault="001901EB" w:rsidP="00146D8C">
      <w:pPr>
        <w:numPr>
          <w:ilvl w:val="0"/>
          <w:numId w:val="1"/>
        </w:numPr>
        <w:tabs>
          <w:tab w:val="clear" w:pos="1260"/>
          <w:tab w:val="num" w:pos="284"/>
        </w:tabs>
        <w:spacing w:line="360" w:lineRule="auto"/>
        <w:ind w:left="284" w:hanging="284"/>
        <w:jc w:val="both"/>
        <w:rPr>
          <w:sz w:val="28"/>
          <w:szCs w:val="28"/>
          <w:lang w:val="uk-UA"/>
        </w:rPr>
      </w:pPr>
      <w:r>
        <w:rPr>
          <w:sz w:val="28"/>
          <w:szCs w:val="28"/>
          <w:lang w:val="uk-UA"/>
        </w:rPr>
        <w:t>180 + 120</w:t>
      </w:r>
      <w:r w:rsidRPr="00565FE9">
        <w:rPr>
          <w:sz w:val="28"/>
          <w:szCs w:val="28"/>
          <w:lang w:val="uk-UA"/>
        </w:rPr>
        <w:t xml:space="preserve"> </w:t>
      </w:r>
      <w:r>
        <w:rPr>
          <w:sz w:val="28"/>
          <w:szCs w:val="28"/>
          <w:lang w:val="en-US"/>
        </w:rPr>
        <w:t>ECTS</w:t>
      </w:r>
      <w:r w:rsidRPr="00565FE9">
        <w:rPr>
          <w:sz w:val="28"/>
          <w:szCs w:val="28"/>
          <w:lang w:val="uk-UA"/>
        </w:rPr>
        <w:t xml:space="preserve"> </w:t>
      </w:r>
      <w:r w:rsidRPr="00EC1E70">
        <w:rPr>
          <w:sz w:val="28"/>
          <w:szCs w:val="28"/>
          <w:lang w:val="uk-UA"/>
        </w:rPr>
        <w:t>(3 + 2 навчальні роки)</w:t>
      </w:r>
      <w:r>
        <w:rPr>
          <w:sz w:val="28"/>
          <w:szCs w:val="28"/>
          <w:lang w:val="uk-UA"/>
        </w:rPr>
        <w:t xml:space="preserve"> впроваджена в 19 країнах;</w:t>
      </w:r>
    </w:p>
    <w:p w:rsidR="001901EB" w:rsidRDefault="001901EB" w:rsidP="00146D8C">
      <w:pPr>
        <w:numPr>
          <w:ilvl w:val="0"/>
          <w:numId w:val="1"/>
        </w:numPr>
        <w:tabs>
          <w:tab w:val="clear" w:pos="1260"/>
          <w:tab w:val="num" w:pos="284"/>
        </w:tabs>
        <w:spacing w:line="360" w:lineRule="auto"/>
        <w:ind w:left="284" w:hanging="284"/>
        <w:jc w:val="both"/>
        <w:rPr>
          <w:sz w:val="28"/>
          <w:szCs w:val="28"/>
          <w:lang w:val="uk-UA"/>
        </w:rPr>
      </w:pPr>
      <w:r>
        <w:rPr>
          <w:sz w:val="28"/>
          <w:szCs w:val="28"/>
          <w:lang w:val="uk-UA"/>
        </w:rPr>
        <w:t xml:space="preserve">240 + 120 </w:t>
      </w:r>
      <w:r>
        <w:rPr>
          <w:sz w:val="28"/>
          <w:szCs w:val="28"/>
          <w:lang w:val="en-US"/>
        </w:rPr>
        <w:t>ECTS</w:t>
      </w:r>
      <w:r w:rsidRPr="00565FE9">
        <w:rPr>
          <w:sz w:val="28"/>
          <w:szCs w:val="28"/>
          <w:lang w:val="uk-UA"/>
        </w:rPr>
        <w:t xml:space="preserve"> </w:t>
      </w:r>
      <w:r w:rsidRPr="00EC1E70">
        <w:rPr>
          <w:sz w:val="28"/>
          <w:szCs w:val="28"/>
          <w:lang w:val="uk-UA"/>
        </w:rPr>
        <w:t>(</w:t>
      </w:r>
      <w:r>
        <w:rPr>
          <w:sz w:val="28"/>
          <w:szCs w:val="28"/>
          <w:lang w:val="uk-UA"/>
        </w:rPr>
        <w:t>4</w:t>
      </w:r>
      <w:r w:rsidRPr="00EC1E70">
        <w:rPr>
          <w:sz w:val="28"/>
          <w:szCs w:val="28"/>
          <w:lang w:val="uk-UA"/>
        </w:rPr>
        <w:t xml:space="preserve"> + 2 навчальні роки)</w:t>
      </w:r>
      <w:r>
        <w:rPr>
          <w:sz w:val="28"/>
          <w:szCs w:val="28"/>
          <w:lang w:val="uk-UA"/>
        </w:rPr>
        <w:t xml:space="preserve"> впроваджена в 6 країнах;</w:t>
      </w:r>
    </w:p>
    <w:p w:rsidR="001901EB" w:rsidRDefault="001901EB" w:rsidP="00146D8C">
      <w:pPr>
        <w:numPr>
          <w:ilvl w:val="0"/>
          <w:numId w:val="1"/>
        </w:numPr>
        <w:tabs>
          <w:tab w:val="clear" w:pos="1260"/>
          <w:tab w:val="num" w:pos="284"/>
        </w:tabs>
        <w:spacing w:line="360" w:lineRule="auto"/>
        <w:ind w:left="284" w:hanging="284"/>
        <w:jc w:val="both"/>
        <w:rPr>
          <w:sz w:val="28"/>
          <w:szCs w:val="28"/>
          <w:lang w:val="uk-UA"/>
        </w:rPr>
      </w:pPr>
      <w:r>
        <w:rPr>
          <w:sz w:val="28"/>
          <w:szCs w:val="28"/>
          <w:lang w:val="uk-UA"/>
        </w:rPr>
        <w:t xml:space="preserve">240 + 60/90 </w:t>
      </w:r>
      <w:r>
        <w:rPr>
          <w:sz w:val="28"/>
          <w:szCs w:val="28"/>
          <w:lang w:val="en-US"/>
        </w:rPr>
        <w:t>ECTS</w:t>
      </w:r>
      <w:r w:rsidRPr="00565FE9">
        <w:rPr>
          <w:sz w:val="28"/>
          <w:szCs w:val="28"/>
          <w:lang w:val="uk-UA"/>
        </w:rPr>
        <w:t xml:space="preserve"> </w:t>
      </w:r>
      <w:r w:rsidRPr="00EC1E70">
        <w:rPr>
          <w:sz w:val="28"/>
          <w:szCs w:val="28"/>
          <w:lang w:val="uk-UA"/>
        </w:rPr>
        <w:t>(</w:t>
      </w:r>
      <w:r>
        <w:rPr>
          <w:sz w:val="28"/>
          <w:szCs w:val="28"/>
          <w:lang w:val="uk-UA"/>
        </w:rPr>
        <w:t>4</w:t>
      </w:r>
      <w:r w:rsidRPr="00EC1E70">
        <w:rPr>
          <w:sz w:val="28"/>
          <w:szCs w:val="28"/>
          <w:lang w:val="uk-UA"/>
        </w:rPr>
        <w:t xml:space="preserve"> + </w:t>
      </w:r>
      <w:r>
        <w:rPr>
          <w:sz w:val="28"/>
          <w:szCs w:val="28"/>
          <w:lang w:val="uk-UA"/>
        </w:rPr>
        <w:t>1/1,5</w:t>
      </w:r>
      <w:r w:rsidRPr="00EC1E70">
        <w:rPr>
          <w:sz w:val="28"/>
          <w:szCs w:val="28"/>
          <w:lang w:val="uk-UA"/>
        </w:rPr>
        <w:t xml:space="preserve"> навчальні роки)</w:t>
      </w:r>
      <w:r>
        <w:rPr>
          <w:sz w:val="28"/>
          <w:szCs w:val="28"/>
          <w:lang w:val="uk-UA"/>
        </w:rPr>
        <w:t xml:space="preserve"> впроваджена в 4-х країнах, в тому числі Україні.</w:t>
      </w:r>
    </w:p>
    <w:p w:rsidR="001901EB" w:rsidRDefault="001901EB" w:rsidP="001901EB">
      <w:pPr>
        <w:spacing w:line="360" w:lineRule="auto"/>
        <w:ind w:firstLine="900"/>
        <w:jc w:val="both"/>
        <w:rPr>
          <w:sz w:val="28"/>
          <w:szCs w:val="28"/>
          <w:lang w:val="uk-UA"/>
        </w:rPr>
      </w:pPr>
      <w:r>
        <w:rPr>
          <w:sz w:val="28"/>
          <w:szCs w:val="28"/>
          <w:lang w:val="uk-UA"/>
        </w:rPr>
        <w:t>Отже, як бачимо, в більшості європейських країн, зокрема і Росії, магістерський цикл охоплює 120 кредитів і триває два роки – максимальний термін у визначенні Болонської декларації. Рівень магістра, який характерний для класичних європейських університетів з науковими школами, – початковий ступінь для дослідника, сходинка</w:t>
      </w:r>
      <w:r w:rsidRPr="008F2D51">
        <w:rPr>
          <w:sz w:val="28"/>
          <w:szCs w:val="28"/>
          <w:lang w:val="uk-UA"/>
        </w:rPr>
        <w:t xml:space="preserve"> </w:t>
      </w:r>
      <w:r>
        <w:rPr>
          <w:sz w:val="28"/>
          <w:szCs w:val="28"/>
          <w:lang w:val="uk-UA"/>
        </w:rPr>
        <w:t>в кар’єрі тих, хто прагне стати науковцем.</w:t>
      </w:r>
    </w:p>
    <w:p w:rsidR="001901EB" w:rsidRDefault="001901EB" w:rsidP="001901EB">
      <w:pPr>
        <w:spacing w:line="360" w:lineRule="auto"/>
        <w:ind w:firstLine="900"/>
        <w:jc w:val="both"/>
        <w:rPr>
          <w:sz w:val="28"/>
          <w:szCs w:val="28"/>
          <w:lang w:val="uk-UA"/>
        </w:rPr>
      </w:pPr>
      <w:r>
        <w:rPr>
          <w:sz w:val="28"/>
          <w:szCs w:val="28"/>
          <w:lang w:val="uk-UA"/>
        </w:rPr>
        <w:t xml:space="preserve">В Україні, незважаючи на певні розбіжності в імплементації ступеневої системи в практику ВНЗ, можна стверджувати, що перший ступінь – бакалавра – міцно закріпився і охоплює 240 кредитів (4 роки навчання). Щодо другого ступеня – магістра, – то ситуація не така </w:t>
      </w:r>
      <w:r>
        <w:rPr>
          <w:sz w:val="28"/>
          <w:szCs w:val="28"/>
          <w:lang w:val="uk-UA"/>
        </w:rPr>
        <w:lastRenderedPageBreak/>
        <w:t>однозначна. По-перше, при переважній більшості тривалості магістерських програм протягом одного року (60 кредитів), окремі ВНЗ за певними напрямами підготовки збільшують тривалість навчання до 1,5 років (90 кредитів). По-друге, перехід на рівні бакалавр – магістр, ламає колишню радянську систему вищої освіти та може призвести до скорочення контингенту студентів, адже рівень "спеціаліст" не передбачається. Тому з’являються різні спроби створення "компромісів" – магістр-дослідник, магістр-професіонал, магістр-менеджер. Це зумовлено значною мірою тим, що для більшості країн Європи характерні розбіжності в розумінні професійної освіти, наданні галузевим спеціалістам-практикам статусу осіб з вищою освітою, а відповідним навчальним закладам – установ системи вищої освіти. Сьогодні дієвого універсального механізму вирішення цієї проблеми не винайдено, адже країни входили в Болонський процес із власними історично сформованими освітніми та науковими традиціями та не готові від них відмовляється водночас.</w:t>
      </w:r>
    </w:p>
    <w:p w:rsidR="001901EB" w:rsidRDefault="001901EB" w:rsidP="001901EB">
      <w:pPr>
        <w:spacing w:line="360" w:lineRule="auto"/>
        <w:ind w:firstLine="900"/>
        <w:jc w:val="both"/>
        <w:rPr>
          <w:sz w:val="28"/>
          <w:szCs w:val="28"/>
          <w:lang w:val="uk-UA"/>
        </w:rPr>
      </w:pPr>
      <w:r>
        <w:rPr>
          <w:sz w:val="28"/>
          <w:szCs w:val="28"/>
          <w:lang w:val="uk-UA"/>
        </w:rPr>
        <w:t>Аналогічним чинником пояснюється й неприйняття на теренах пострадянських країн одного докторського ступеня. Традиції на сьогодні виявляються міцнішими за європейські рекомендації, наразі ніхто не примушує відмовитися від національних особливостей в системах освіти.</w:t>
      </w:r>
    </w:p>
    <w:p w:rsidR="001901EB" w:rsidRDefault="001901EB" w:rsidP="001901EB">
      <w:pPr>
        <w:spacing w:line="360" w:lineRule="auto"/>
        <w:ind w:firstLine="900"/>
        <w:jc w:val="both"/>
        <w:rPr>
          <w:sz w:val="28"/>
          <w:szCs w:val="28"/>
          <w:lang w:val="uk-UA"/>
        </w:rPr>
      </w:pPr>
      <w:r>
        <w:rPr>
          <w:sz w:val="28"/>
          <w:szCs w:val="28"/>
          <w:lang w:val="uk-UA"/>
        </w:rPr>
        <w:t>Серед двох найважливіших інструментів, які передбачені Болонською декларацію, впровадження системи залікових балів ECTS та додатку для диплому, перший практично реалізований всюди, а над другим ведеться планомірна робота.</w:t>
      </w:r>
    </w:p>
    <w:p w:rsidR="001901EB" w:rsidRPr="00B73A12" w:rsidRDefault="001901EB" w:rsidP="001901EB">
      <w:pPr>
        <w:spacing w:line="360" w:lineRule="auto"/>
        <w:ind w:firstLine="900"/>
        <w:jc w:val="both"/>
        <w:rPr>
          <w:rStyle w:val="a4"/>
          <w:i w:val="0"/>
          <w:sz w:val="28"/>
          <w:szCs w:val="28"/>
          <w:lang w:val="uk-UA"/>
        </w:rPr>
      </w:pPr>
      <w:r>
        <w:rPr>
          <w:sz w:val="28"/>
          <w:szCs w:val="28"/>
          <w:lang w:val="uk-UA"/>
        </w:rPr>
        <w:t>По різних країнах дещо відстає від запланованих термінів процес затвердження національних систем кваліфікацій. Наразі в</w:t>
      </w:r>
      <w:r w:rsidRPr="00B73A12">
        <w:rPr>
          <w:sz w:val="28"/>
          <w:szCs w:val="28"/>
          <w:lang w:val="uk-UA"/>
        </w:rPr>
        <w:t xml:space="preserve"> Україні </w:t>
      </w:r>
      <w:r w:rsidR="006E78E7">
        <w:rPr>
          <w:sz w:val="28"/>
          <w:szCs w:val="28"/>
          <w:lang w:val="uk-UA"/>
        </w:rPr>
        <w:t>розглядається проект</w:t>
      </w:r>
      <w:r w:rsidRPr="00B73A12">
        <w:rPr>
          <w:sz w:val="28"/>
          <w:szCs w:val="28"/>
          <w:lang w:val="uk-UA"/>
        </w:rPr>
        <w:t xml:space="preserve"> З</w:t>
      </w:r>
      <w:r w:rsidRPr="00B73A12">
        <w:rPr>
          <w:rStyle w:val="a4"/>
          <w:i w:val="0"/>
          <w:sz w:val="28"/>
          <w:szCs w:val="28"/>
          <w:lang w:val="uk-UA"/>
        </w:rPr>
        <w:t>акон</w:t>
      </w:r>
      <w:r w:rsidR="006E78E7">
        <w:rPr>
          <w:rStyle w:val="a4"/>
          <w:i w:val="0"/>
          <w:sz w:val="28"/>
          <w:szCs w:val="28"/>
          <w:lang w:val="uk-UA"/>
        </w:rPr>
        <w:t>у</w:t>
      </w:r>
      <w:r w:rsidRPr="00B73A12">
        <w:rPr>
          <w:rStyle w:val="a4"/>
          <w:i w:val="0"/>
          <w:sz w:val="28"/>
          <w:szCs w:val="28"/>
          <w:lang w:val="uk-UA"/>
        </w:rPr>
        <w:t xml:space="preserve"> України про національну систему кваліфікацій</w:t>
      </w:r>
      <w:r>
        <w:rPr>
          <w:rStyle w:val="a4"/>
          <w:i w:val="0"/>
          <w:sz w:val="28"/>
          <w:szCs w:val="28"/>
          <w:lang w:val="uk-UA"/>
        </w:rPr>
        <w:t xml:space="preserve">, який </w:t>
      </w:r>
      <w:r w:rsidRPr="00B37E80">
        <w:rPr>
          <w:sz w:val="28"/>
          <w:szCs w:val="28"/>
          <w:lang w:val="uk-UA"/>
        </w:rPr>
        <w:t>регулю</w:t>
      </w:r>
      <w:r w:rsidR="006E78E7">
        <w:rPr>
          <w:sz w:val="28"/>
          <w:szCs w:val="28"/>
          <w:lang w:val="uk-UA"/>
        </w:rPr>
        <w:t>ватиме</w:t>
      </w:r>
      <w:r w:rsidRPr="00B37E80">
        <w:rPr>
          <w:sz w:val="28"/>
          <w:szCs w:val="28"/>
          <w:lang w:val="uk-UA"/>
        </w:rPr>
        <w:t xml:space="preserve"> суспільні відносини, пов'язані із створенням, функціонуванням, розвитком та використанням Національної системи кваліфікації.</w:t>
      </w:r>
    </w:p>
    <w:p w:rsidR="001901EB" w:rsidRDefault="001901EB" w:rsidP="001901EB">
      <w:pPr>
        <w:spacing w:line="360" w:lineRule="auto"/>
        <w:ind w:firstLine="900"/>
        <w:jc w:val="both"/>
        <w:rPr>
          <w:sz w:val="28"/>
          <w:szCs w:val="28"/>
          <w:lang w:val="uk-UA"/>
        </w:rPr>
      </w:pPr>
      <w:r>
        <w:rPr>
          <w:sz w:val="28"/>
          <w:szCs w:val="28"/>
          <w:lang w:val="uk-UA"/>
        </w:rPr>
        <w:lastRenderedPageBreak/>
        <w:t xml:space="preserve">Аналізуючи структуру управління у вищій освіті різних країн, визначають значне зростання автономності ВНЗ, які приймають на себе більше відповідальності, при цьому зміни відбувають і в характері взаємовідносин закладів з регулюючими органами і суспільством в цілому. В нових моделях відносин перерозподіляються відповідальність, підзвітність та повноваження щодо прийняття рішень між зовнішніми та внутрішніми структурами. </w:t>
      </w:r>
    </w:p>
    <w:p w:rsidR="001901EB" w:rsidRPr="00146D8C" w:rsidRDefault="001901EB" w:rsidP="001901EB">
      <w:pPr>
        <w:spacing w:line="360" w:lineRule="auto"/>
        <w:ind w:firstLine="900"/>
        <w:jc w:val="both"/>
        <w:rPr>
          <w:sz w:val="28"/>
          <w:szCs w:val="28"/>
          <w:lang w:val="uk-UA"/>
        </w:rPr>
      </w:pPr>
      <w:r>
        <w:rPr>
          <w:sz w:val="28"/>
          <w:szCs w:val="28"/>
          <w:lang w:val="uk-UA"/>
        </w:rPr>
        <w:t xml:space="preserve">Зовнішнє управління на національному рівні здійснюється міністерством – установою, що визначає національну політику стосовно стратегії та пріоритетів розвитку системи освіти. На національному рівні в багатьох країнах функціонують дорадчі органи (Комітети, Ради), які вносять на розгляд законодавчі ініціативи на підставі моніторингу, аналізу європейських та світових тенденцій щодо освіти та науки. До складу таких органів можуть входити як керівники навчальних закладів, так і науковці, представники профспілок, органів місцевого самоврядування, політичні </w:t>
      </w:r>
      <w:r w:rsidRPr="00146D8C">
        <w:rPr>
          <w:sz w:val="28"/>
          <w:szCs w:val="28"/>
          <w:lang w:val="uk-UA"/>
        </w:rPr>
        <w:t xml:space="preserve">партії, студенти тощо. В Україні, зокрема, працює Комітет Верховної </w:t>
      </w:r>
      <w:r w:rsidRPr="00146D8C">
        <w:rPr>
          <w:rStyle w:val="a4"/>
          <w:i w:val="0"/>
          <w:sz w:val="28"/>
          <w:szCs w:val="28"/>
          <w:lang w:val="uk-UA"/>
        </w:rPr>
        <w:t>Ради</w:t>
      </w:r>
      <w:r w:rsidRPr="00146D8C">
        <w:rPr>
          <w:sz w:val="28"/>
          <w:szCs w:val="28"/>
          <w:lang w:val="uk-UA"/>
        </w:rPr>
        <w:t xml:space="preserve"> України з </w:t>
      </w:r>
      <w:r w:rsidRPr="00146D8C">
        <w:rPr>
          <w:rStyle w:val="a4"/>
          <w:i w:val="0"/>
          <w:sz w:val="28"/>
          <w:szCs w:val="28"/>
          <w:lang w:val="uk-UA"/>
        </w:rPr>
        <w:t>питань</w:t>
      </w:r>
      <w:r w:rsidRPr="00146D8C">
        <w:rPr>
          <w:sz w:val="28"/>
          <w:szCs w:val="28"/>
          <w:lang w:val="uk-UA"/>
        </w:rPr>
        <w:t xml:space="preserve"> науки і </w:t>
      </w:r>
      <w:r w:rsidRPr="00146D8C">
        <w:rPr>
          <w:rStyle w:val="a4"/>
          <w:i w:val="0"/>
          <w:sz w:val="28"/>
          <w:szCs w:val="28"/>
          <w:lang w:val="uk-UA"/>
        </w:rPr>
        <w:t>освіти.</w:t>
      </w:r>
    </w:p>
    <w:p w:rsidR="001901EB" w:rsidRDefault="001901EB" w:rsidP="001901EB">
      <w:pPr>
        <w:spacing w:line="360" w:lineRule="auto"/>
        <w:ind w:firstLine="900"/>
        <w:jc w:val="both"/>
        <w:rPr>
          <w:sz w:val="28"/>
          <w:szCs w:val="28"/>
          <w:lang w:val="uk-UA"/>
        </w:rPr>
      </w:pPr>
      <w:r>
        <w:rPr>
          <w:sz w:val="28"/>
          <w:szCs w:val="28"/>
          <w:lang w:val="uk-UA"/>
        </w:rPr>
        <w:t>Практично всі країни мають Ради (Конференції) ректорів, які вповноважені розробляти пропозиції та законодавчі ініціативи щодо розвитку сфери вищої освіти, визначатися щодо проектів законів та інших регулюючих документів у галузі. Функціонує така Рада і в Україні.</w:t>
      </w:r>
    </w:p>
    <w:p w:rsidR="001901EB" w:rsidRDefault="001901EB" w:rsidP="001901EB">
      <w:pPr>
        <w:spacing w:line="360" w:lineRule="auto"/>
        <w:ind w:firstLine="900"/>
        <w:jc w:val="both"/>
        <w:rPr>
          <w:rStyle w:val="a4"/>
          <w:i w:val="0"/>
          <w:sz w:val="28"/>
          <w:szCs w:val="28"/>
          <w:lang w:val="uk-UA"/>
        </w:rPr>
      </w:pPr>
      <w:r>
        <w:rPr>
          <w:sz w:val="28"/>
          <w:szCs w:val="28"/>
          <w:lang w:val="uk-UA"/>
        </w:rPr>
        <w:t>На міжнародному рівні існують загальноєвропейські</w:t>
      </w:r>
      <w:r w:rsidR="00A246C5">
        <w:rPr>
          <w:sz w:val="28"/>
          <w:szCs w:val="28"/>
          <w:lang w:val="uk-UA"/>
        </w:rPr>
        <w:t xml:space="preserve"> </w:t>
      </w:r>
      <w:r>
        <w:rPr>
          <w:sz w:val="28"/>
          <w:szCs w:val="28"/>
          <w:lang w:val="uk-UA"/>
        </w:rPr>
        <w:t>– Єврокомісія та Асоціація Європейських університетів (</w:t>
      </w:r>
      <w:r>
        <w:rPr>
          <w:sz w:val="28"/>
          <w:szCs w:val="28"/>
          <w:lang w:val="en-US"/>
        </w:rPr>
        <w:t>EUA</w:t>
      </w:r>
      <w:r>
        <w:rPr>
          <w:sz w:val="28"/>
          <w:szCs w:val="28"/>
          <w:lang w:val="uk-UA"/>
        </w:rPr>
        <w:t>)</w:t>
      </w:r>
      <w:r w:rsidRPr="001603BB">
        <w:rPr>
          <w:sz w:val="28"/>
          <w:szCs w:val="28"/>
          <w:lang w:val="uk-UA"/>
        </w:rPr>
        <w:t xml:space="preserve"> – </w:t>
      </w:r>
      <w:r>
        <w:rPr>
          <w:sz w:val="28"/>
          <w:szCs w:val="28"/>
          <w:lang w:val="uk-UA"/>
        </w:rPr>
        <w:t xml:space="preserve">та регіональні </w:t>
      </w:r>
      <w:r w:rsidR="00A246C5">
        <w:rPr>
          <w:sz w:val="28"/>
          <w:szCs w:val="28"/>
          <w:lang w:val="uk-UA"/>
        </w:rPr>
        <w:t xml:space="preserve">організації </w:t>
      </w:r>
      <w:r>
        <w:rPr>
          <w:sz w:val="28"/>
          <w:szCs w:val="28"/>
          <w:lang w:val="uk-UA"/>
        </w:rPr>
        <w:t xml:space="preserve">– Україна є членом </w:t>
      </w:r>
      <w:r w:rsidRPr="001603BB">
        <w:rPr>
          <w:rStyle w:val="a4"/>
          <w:i w:val="0"/>
          <w:sz w:val="28"/>
          <w:szCs w:val="28"/>
          <w:lang w:val="uk-UA"/>
        </w:rPr>
        <w:t>Дунайськ</w:t>
      </w:r>
      <w:r>
        <w:rPr>
          <w:rStyle w:val="a4"/>
          <w:i w:val="0"/>
          <w:sz w:val="28"/>
          <w:szCs w:val="28"/>
          <w:lang w:val="uk-UA"/>
        </w:rPr>
        <w:t>ої</w:t>
      </w:r>
      <w:r w:rsidRPr="001603BB">
        <w:rPr>
          <w:rStyle w:val="a4"/>
          <w:i w:val="0"/>
          <w:sz w:val="28"/>
          <w:szCs w:val="28"/>
          <w:lang w:val="uk-UA"/>
        </w:rPr>
        <w:t xml:space="preserve"> Конференція ректорів</w:t>
      </w:r>
      <w:r>
        <w:rPr>
          <w:rStyle w:val="a4"/>
          <w:i w:val="0"/>
          <w:sz w:val="28"/>
          <w:szCs w:val="28"/>
          <w:lang w:val="uk-UA"/>
        </w:rPr>
        <w:t>, яка об’єднує представників ще 12 країн регіону.</w:t>
      </w:r>
    </w:p>
    <w:p w:rsidR="001901EB" w:rsidRDefault="001901EB" w:rsidP="001901EB">
      <w:pPr>
        <w:spacing w:line="360" w:lineRule="auto"/>
        <w:ind w:firstLine="900"/>
        <w:jc w:val="both"/>
        <w:rPr>
          <w:rStyle w:val="a4"/>
          <w:i w:val="0"/>
          <w:sz w:val="28"/>
          <w:szCs w:val="28"/>
          <w:lang w:val="uk-UA"/>
        </w:rPr>
      </w:pPr>
      <w:r>
        <w:rPr>
          <w:rStyle w:val="a4"/>
          <w:i w:val="0"/>
          <w:sz w:val="28"/>
          <w:szCs w:val="28"/>
          <w:lang w:val="uk-UA"/>
        </w:rPr>
        <w:t>Традиційно для Європи внутрішня структура закладів визначається законодавчо на національному рівні, в окремих країнах (Бельгія, Германія, Іспанія) – на рівні місцевих громад (Земель). Вона регламентується Статутом університету, в якому встановлюється процедура обрання керівництва установи.</w:t>
      </w:r>
    </w:p>
    <w:p w:rsidR="001901EB" w:rsidRPr="002D593F" w:rsidRDefault="001901EB" w:rsidP="001901EB">
      <w:pPr>
        <w:spacing w:line="360" w:lineRule="auto"/>
        <w:ind w:firstLine="900"/>
        <w:jc w:val="both"/>
        <w:rPr>
          <w:rStyle w:val="a4"/>
          <w:i w:val="0"/>
          <w:sz w:val="28"/>
          <w:szCs w:val="28"/>
          <w:lang w:val="uk-UA"/>
        </w:rPr>
      </w:pPr>
      <w:r>
        <w:rPr>
          <w:rStyle w:val="a4"/>
          <w:i w:val="0"/>
          <w:sz w:val="28"/>
          <w:szCs w:val="28"/>
          <w:lang w:val="uk-UA"/>
        </w:rPr>
        <w:lastRenderedPageBreak/>
        <w:t xml:space="preserve">Кожний ВНЗ як автономна установа несе відповідальність за планування своєї діяльності, проте у багатьох країнах розроблений закладом стратегічний план розвитку є обов’язковим документом. Так, наприклад, у Норвегії з 1990 року на законодавчому рівні вимагається наявність планів у всіх державних вищих навчальних закладах. Подаються щорічні звіти. В Люксембурзі стратегічний план використовується міністерством для визначення обсягів фінансування університету. У Франції та на Мальті, хоча законодавчо стратегічне планування </w:t>
      </w:r>
      <w:r w:rsidR="00A4163F">
        <w:rPr>
          <w:rStyle w:val="a4"/>
          <w:i w:val="0"/>
          <w:sz w:val="28"/>
          <w:szCs w:val="28"/>
          <w:lang w:val="uk-UA"/>
        </w:rPr>
        <w:t>н</w:t>
      </w:r>
      <w:r>
        <w:rPr>
          <w:rStyle w:val="a4"/>
          <w:i w:val="0"/>
          <w:sz w:val="28"/>
          <w:szCs w:val="28"/>
          <w:lang w:val="uk-UA"/>
        </w:rPr>
        <w:t xml:space="preserve">е є обов’язковим, </w:t>
      </w:r>
      <w:r>
        <w:rPr>
          <w:rStyle w:val="a4"/>
          <w:i w:val="0"/>
          <w:sz w:val="28"/>
          <w:szCs w:val="28"/>
          <w:lang w:val="en-US"/>
        </w:rPr>
        <w:t>de</w:t>
      </w:r>
      <w:r w:rsidRPr="002D593F">
        <w:rPr>
          <w:rStyle w:val="a4"/>
          <w:i w:val="0"/>
          <w:sz w:val="28"/>
          <w:szCs w:val="28"/>
          <w:lang w:val="uk-UA"/>
        </w:rPr>
        <w:t xml:space="preserve"> </w:t>
      </w:r>
      <w:r>
        <w:rPr>
          <w:rStyle w:val="a4"/>
          <w:i w:val="0"/>
          <w:sz w:val="28"/>
          <w:szCs w:val="28"/>
          <w:lang w:val="en-US"/>
        </w:rPr>
        <w:t>facto</w:t>
      </w:r>
      <w:r w:rsidRPr="002D593F">
        <w:rPr>
          <w:rStyle w:val="a4"/>
          <w:i w:val="0"/>
          <w:sz w:val="28"/>
          <w:szCs w:val="28"/>
          <w:lang w:val="uk-UA"/>
        </w:rPr>
        <w:t xml:space="preserve"> виділення </w:t>
      </w:r>
      <w:r>
        <w:rPr>
          <w:rStyle w:val="a4"/>
          <w:i w:val="0"/>
          <w:sz w:val="28"/>
          <w:szCs w:val="28"/>
          <w:lang w:val="uk-UA"/>
        </w:rPr>
        <w:t>державних коштів установам значною мірою залежить від наявності планів та результатів їх виконання.</w:t>
      </w:r>
    </w:p>
    <w:p w:rsidR="001901EB" w:rsidRDefault="001901EB" w:rsidP="001901EB">
      <w:pPr>
        <w:spacing w:line="360" w:lineRule="auto"/>
        <w:ind w:firstLine="900"/>
        <w:jc w:val="both"/>
        <w:rPr>
          <w:rStyle w:val="a4"/>
          <w:i w:val="0"/>
          <w:sz w:val="28"/>
          <w:szCs w:val="28"/>
          <w:lang w:val="uk-UA"/>
        </w:rPr>
      </w:pPr>
      <w:r>
        <w:rPr>
          <w:rStyle w:val="a4"/>
          <w:i w:val="0"/>
          <w:sz w:val="28"/>
          <w:szCs w:val="28"/>
          <w:lang w:val="uk-UA"/>
        </w:rPr>
        <w:t xml:space="preserve">Стратегічний план є ключовим інструментом у спрямуванні діяльності та визначенні пріоритетів розвитку закладу. Він може бути таким "всеосяжним" документом, який прописує поетапність дій у різних напрямах, зокрема розширенні освітньої, наукової діяльності, кадровій політиці, стимулюванні персоналу до поліпшень, залучення джерел фінансування. Аспекти гарантії якості та прозорості інформації є також важливими складовими стратегічних планів. В Україні на рівні університету підходи до планування є віддзеркаленням європейських тенденцій. І хоча на рівні законодавства такий план не вимагається, багато закладів розробляють його загалом або за певними напрямами з метою заявити про себе, позиціонуватися як такий, управління яким відповідає загальноєвропейській практиці. Наприклад, в СумДУ розроблені </w:t>
      </w:r>
      <w:r>
        <w:rPr>
          <w:sz w:val="28"/>
          <w:szCs w:val="20"/>
        </w:rPr>
        <w:t xml:space="preserve">Концептуальні засади </w:t>
      </w:r>
      <w:r w:rsidRPr="00C06B25">
        <w:rPr>
          <w:sz w:val="28"/>
          <w:szCs w:val="20"/>
          <w:lang w:val="uk-UA"/>
        </w:rPr>
        <w:t>діяльності</w:t>
      </w:r>
      <w:r>
        <w:rPr>
          <w:sz w:val="28"/>
          <w:szCs w:val="20"/>
        </w:rPr>
        <w:t xml:space="preserve"> та </w:t>
      </w:r>
      <w:r w:rsidRPr="00C06B25">
        <w:rPr>
          <w:sz w:val="28"/>
          <w:szCs w:val="20"/>
          <w:lang w:val="uk-UA"/>
        </w:rPr>
        <w:t>стратегія розвитку СумДУ</w:t>
      </w:r>
      <w:r>
        <w:rPr>
          <w:sz w:val="28"/>
          <w:szCs w:val="20"/>
        </w:rPr>
        <w:t xml:space="preserve"> на 2010 - 2014 роки</w:t>
      </w:r>
      <w:r>
        <w:rPr>
          <w:sz w:val="28"/>
          <w:szCs w:val="20"/>
          <w:lang w:val="uk-UA"/>
        </w:rPr>
        <w:t xml:space="preserve">, </w:t>
      </w:r>
      <w:r>
        <w:rPr>
          <w:rStyle w:val="a4"/>
          <w:i w:val="0"/>
          <w:sz w:val="28"/>
          <w:szCs w:val="28"/>
          <w:lang w:val="uk-UA"/>
        </w:rPr>
        <w:t>реалізуються Перспективний план роботи з кадрового забезпечення діяльності СумДУ, Перспективний план впровадження електронних засобів навчання в СумДУ на 2009-2011 роки.</w:t>
      </w:r>
    </w:p>
    <w:p w:rsidR="001901EB" w:rsidRDefault="001901EB" w:rsidP="001901EB">
      <w:pPr>
        <w:spacing w:line="360" w:lineRule="auto"/>
        <w:ind w:firstLine="900"/>
        <w:jc w:val="both"/>
        <w:rPr>
          <w:sz w:val="28"/>
          <w:szCs w:val="28"/>
          <w:lang w:val="uk-UA"/>
        </w:rPr>
      </w:pPr>
      <w:r>
        <w:rPr>
          <w:sz w:val="28"/>
          <w:szCs w:val="28"/>
          <w:lang w:val="uk-UA"/>
        </w:rPr>
        <w:t xml:space="preserve">Університети, незважаючи на значну самостійність та автономність, мають забезпечити доступність та прозорість інформації про свою діяльність. Від ВНЗ вимагають щорічних звітів перед міністерством, які включають інформацію про навчальну, наукову, виховну, фінансову, </w:t>
      </w:r>
      <w:r>
        <w:rPr>
          <w:sz w:val="28"/>
          <w:szCs w:val="28"/>
          <w:lang w:val="uk-UA"/>
        </w:rPr>
        <w:lastRenderedPageBreak/>
        <w:t>міжнародну діяльність тощо. В багатьох країнах проводиться регулярне оновлення інформації про рейтинги серед ВНЗ, баз даних щодо діяльності закладів. Національні бази даних використовуються зокрема міністерством з метою організації планування, моніторингу та визначення фінансування. В деяких країнах інформація про роботу установи поширюється через багатосторонні зустрічі представників університетів, міністерств, роботодавців, фондів; Інтернет публікації; відкритість документів через бібліотеки; звіти за результатами реалізації спільних проектів, програм; звіти про зовнішнє оцінювання, зокрема підсумки ліцензування та акредитації. Крім того, заклади, які проводять самооцінку, оприлюднюють ці результати в прийнятний для себе спосіб.</w:t>
      </w:r>
    </w:p>
    <w:p w:rsidR="001901EB" w:rsidRDefault="001901EB" w:rsidP="001901EB">
      <w:pPr>
        <w:spacing w:line="360" w:lineRule="auto"/>
        <w:ind w:firstLine="900"/>
        <w:jc w:val="both"/>
        <w:rPr>
          <w:sz w:val="28"/>
          <w:szCs w:val="28"/>
          <w:lang w:val="uk-UA"/>
        </w:rPr>
      </w:pPr>
      <w:r>
        <w:rPr>
          <w:sz w:val="28"/>
          <w:szCs w:val="28"/>
          <w:lang w:val="uk-UA"/>
        </w:rPr>
        <w:t>За умов зміни зовнішніх факторів, зростання автономності</w:t>
      </w:r>
      <w:r w:rsidRPr="00437D5E">
        <w:rPr>
          <w:sz w:val="28"/>
          <w:szCs w:val="28"/>
          <w:lang w:val="uk-UA"/>
        </w:rPr>
        <w:t xml:space="preserve"> </w:t>
      </w:r>
      <w:r>
        <w:rPr>
          <w:sz w:val="28"/>
          <w:szCs w:val="28"/>
          <w:lang w:val="uk-UA"/>
        </w:rPr>
        <w:t>система внутрішнього управління</w:t>
      </w:r>
      <w:r w:rsidRPr="00437D5E">
        <w:rPr>
          <w:sz w:val="28"/>
          <w:szCs w:val="28"/>
          <w:lang w:val="uk-UA"/>
        </w:rPr>
        <w:t xml:space="preserve"> </w:t>
      </w:r>
      <w:r>
        <w:rPr>
          <w:sz w:val="28"/>
          <w:szCs w:val="28"/>
          <w:lang w:val="uk-UA"/>
        </w:rPr>
        <w:t>університетом є такою, що зазнає реформування та модернізації. Раніше освітні установи керувалися науковцями, дослідниками, освітянами. Проте сьогодні на порядку денному стоїть питання про актуальність нової постаті керівництва – менеджерів, та розподіл відповідальності між органами управління. В системі внутрішнього управління університетом при наявності розбіжностей, виокремлюють такі органи, як а) виконавчі, б) дорадчі (академічні), в) органи, що відповідають за прийняття рішень, г) наглядові тощо.</w:t>
      </w:r>
    </w:p>
    <w:p w:rsidR="001901EB" w:rsidRDefault="001901EB" w:rsidP="001901EB">
      <w:pPr>
        <w:autoSpaceDE w:val="0"/>
        <w:autoSpaceDN w:val="0"/>
        <w:adjustRightInd w:val="0"/>
        <w:spacing w:line="360" w:lineRule="auto"/>
        <w:ind w:firstLine="720"/>
        <w:jc w:val="both"/>
        <w:rPr>
          <w:sz w:val="28"/>
          <w:szCs w:val="28"/>
          <w:lang w:val="uk-UA"/>
        </w:rPr>
      </w:pPr>
      <w:r>
        <w:rPr>
          <w:sz w:val="28"/>
          <w:szCs w:val="28"/>
          <w:lang w:val="uk-UA"/>
        </w:rPr>
        <w:t xml:space="preserve">В Україні, на жаль, не має національного представництва Європейської інформаційної освітньої мережі </w:t>
      </w:r>
      <w:r w:rsidRPr="002705EB">
        <w:rPr>
          <w:sz w:val="28"/>
          <w:szCs w:val="28"/>
        </w:rPr>
        <w:t>Eurydice</w:t>
      </w:r>
      <w:r>
        <w:rPr>
          <w:sz w:val="28"/>
          <w:szCs w:val="28"/>
          <w:lang w:val="uk-UA"/>
        </w:rPr>
        <w:t>,</w:t>
      </w:r>
      <w:r w:rsidRPr="00F52DC1">
        <w:rPr>
          <w:sz w:val="28"/>
          <w:szCs w:val="28"/>
          <w:lang w:val="uk-UA"/>
        </w:rPr>
        <w:t xml:space="preserve"> і тому</w:t>
      </w:r>
      <w:r>
        <w:rPr>
          <w:sz w:val="28"/>
          <w:szCs w:val="28"/>
          <w:lang w:val="uk-UA"/>
        </w:rPr>
        <w:t xml:space="preserve"> інформація про неї </w:t>
      </w:r>
      <w:r w:rsidRPr="00F52DC1">
        <w:rPr>
          <w:sz w:val="28"/>
          <w:szCs w:val="28"/>
          <w:lang w:val="uk-UA"/>
        </w:rPr>
        <w:t>не</w:t>
      </w:r>
      <w:r>
        <w:rPr>
          <w:sz w:val="28"/>
          <w:szCs w:val="28"/>
          <w:lang w:val="uk-UA"/>
        </w:rPr>
        <w:t xml:space="preserve"> представлена в аналітичному огляді "Управління вищою освітою в Європі. Політика, структура, фінансування та кадри" </w:t>
      </w:r>
      <w:r w:rsidR="00970788" w:rsidRPr="00F76F0D">
        <w:rPr>
          <w:sz w:val="28"/>
          <w:szCs w:val="28"/>
        </w:rPr>
        <w:t>[3]</w:t>
      </w:r>
      <w:r>
        <w:rPr>
          <w:sz w:val="28"/>
          <w:szCs w:val="28"/>
          <w:lang w:val="uk-UA"/>
        </w:rPr>
        <w:t>.</w:t>
      </w:r>
      <w:r w:rsidRPr="00F52DC1">
        <w:rPr>
          <w:sz w:val="28"/>
          <w:szCs w:val="28"/>
          <w:lang w:val="uk-UA"/>
        </w:rPr>
        <w:t xml:space="preserve"> </w:t>
      </w:r>
      <w:r>
        <w:rPr>
          <w:sz w:val="28"/>
          <w:szCs w:val="28"/>
          <w:lang w:val="uk-UA"/>
        </w:rPr>
        <w:t>Проте ми можемо проаналізувати внутрішню систему управління ВНЗ, спираючись на запропонований підхід.</w:t>
      </w:r>
    </w:p>
    <w:p w:rsidR="001901EB" w:rsidRDefault="001901EB" w:rsidP="001901EB">
      <w:pPr>
        <w:autoSpaceDE w:val="0"/>
        <w:autoSpaceDN w:val="0"/>
        <w:adjustRightInd w:val="0"/>
        <w:spacing w:line="360" w:lineRule="auto"/>
        <w:ind w:firstLine="720"/>
        <w:jc w:val="both"/>
        <w:rPr>
          <w:sz w:val="28"/>
          <w:szCs w:val="28"/>
          <w:lang w:val="uk-UA"/>
        </w:rPr>
      </w:pPr>
      <w:r>
        <w:rPr>
          <w:sz w:val="28"/>
          <w:szCs w:val="28"/>
          <w:lang w:val="uk-UA"/>
        </w:rPr>
        <w:t xml:space="preserve">Виконавчою особою у системі управління університетом у країнах Європи, і Україна – не виняток, є ректор, а виконавчим органом – ректорат з ректором на чолі. На ректора покладається відповідальність за управління та прийняття остаточних рішень. Він представляє навчальний </w:t>
      </w:r>
      <w:r>
        <w:rPr>
          <w:sz w:val="28"/>
          <w:szCs w:val="28"/>
          <w:lang w:val="uk-UA"/>
        </w:rPr>
        <w:lastRenderedPageBreak/>
        <w:t>заклад в усіх зовнішніх установах, визначає стратегію розвитку, діяльності закладу. Ректорат складається з проректорів та інших посадових осіб, які задіяні у щоденному управлінні різноманітними процесами ВНЗ.</w:t>
      </w:r>
    </w:p>
    <w:p w:rsidR="001901EB" w:rsidRDefault="001901EB" w:rsidP="001901EB">
      <w:pPr>
        <w:autoSpaceDE w:val="0"/>
        <w:autoSpaceDN w:val="0"/>
        <w:adjustRightInd w:val="0"/>
        <w:spacing w:line="360" w:lineRule="auto"/>
        <w:ind w:firstLine="720"/>
        <w:jc w:val="both"/>
        <w:rPr>
          <w:sz w:val="28"/>
          <w:szCs w:val="28"/>
          <w:lang w:val="uk-UA"/>
        </w:rPr>
      </w:pPr>
      <w:r>
        <w:rPr>
          <w:sz w:val="28"/>
          <w:szCs w:val="28"/>
          <w:lang w:val="uk-UA"/>
        </w:rPr>
        <w:t>У більшості європейських країн ректора обирають. Вибори проходять за участі професорсько-викладацького складу, співробітників, спільно із студентами. В деяких країнах в прийнятті рішення беруть участь представники зовнішніх установ. В Україні практикується обрання ректора конференцією (зібранням представників) трудового колективу після оголошення конкурсу на заміщення вакантної посади. Результати таємного голосування після оприлюднення мають бути затверджені в міністерстві. Ректор працює на посаді згідно з укладеним контрактом.</w:t>
      </w:r>
    </w:p>
    <w:p w:rsidR="001901EB" w:rsidRDefault="001901EB" w:rsidP="001901EB">
      <w:pPr>
        <w:autoSpaceDE w:val="0"/>
        <w:autoSpaceDN w:val="0"/>
        <w:adjustRightInd w:val="0"/>
        <w:spacing w:line="360" w:lineRule="auto"/>
        <w:ind w:firstLine="720"/>
        <w:jc w:val="both"/>
        <w:rPr>
          <w:sz w:val="28"/>
          <w:szCs w:val="28"/>
          <w:lang w:val="uk-UA"/>
        </w:rPr>
      </w:pPr>
      <w:r>
        <w:rPr>
          <w:sz w:val="28"/>
          <w:szCs w:val="28"/>
          <w:lang w:val="uk-UA"/>
        </w:rPr>
        <w:t>У практиці роботи університетів Європи функції, права та обов’язки дорадчих (академічних) органів, таких, що відповідають за прийняття рішень та наглядових різняться. Як правило, вони можуть перерозподілятися. Проте вважають, що дорадчий орган включає науковців університету, представників студентів, у деяких країнах, співробітників. Традиційно це колегіальний орган, який інколи одночасно є органом з прийняття рішень, які потребують схвалення перед затвердженням ректором. Якщо повноваження з прийняття рішень делеговані окремому органу, то питання розвитку навчальної, наукової діяльності, призначень на академічні посади попередньо проходять погодження в дорадчому органі.</w:t>
      </w:r>
    </w:p>
    <w:p w:rsidR="001901EB" w:rsidRDefault="001901EB" w:rsidP="001901EB">
      <w:pPr>
        <w:autoSpaceDE w:val="0"/>
        <w:autoSpaceDN w:val="0"/>
        <w:adjustRightInd w:val="0"/>
        <w:spacing w:line="360" w:lineRule="auto"/>
        <w:ind w:firstLine="720"/>
        <w:jc w:val="both"/>
        <w:rPr>
          <w:sz w:val="28"/>
          <w:szCs w:val="28"/>
          <w:lang w:val="uk-UA"/>
        </w:rPr>
      </w:pPr>
      <w:r>
        <w:rPr>
          <w:sz w:val="28"/>
          <w:szCs w:val="28"/>
          <w:lang w:val="uk-UA"/>
        </w:rPr>
        <w:t>Органи прийняття рішень та наглядові можуть включати до складу представників зовнішніх зацікавлених установ. Інколи наглядові органи складаються виключно із зовнішніх представників. Такі представники призначаються відповідним міністерством або урядом, хоча існує практика їх призначення неурядовими організаціями (в Бельгії) та обрання самим навчальними закладами (у Великобританії, Австрії та ін.)</w:t>
      </w:r>
    </w:p>
    <w:p w:rsidR="001901EB" w:rsidRDefault="001901EB" w:rsidP="001901EB">
      <w:pPr>
        <w:autoSpaceDE w:val="0"/>
        <w:autoSpaceDN w:val="0"/>
        <w:adjustRightInd w:val="0"/>
        <w:spacing w:line="360" w:lineRule="auto"/>
        <w:ind w:firstLine="720"/>
        <w:jc w:val="both"/>
        <w:rPr>
          <w:sz w:val="28"/>
          <w:szCs w:val="28"/>
          <w:lang w:val="uk-UA"/>
        </w:rPr>
      </w:pPr>
      <w:r>
        <w:rPr>
          <w:sz w:val="28"/>
          <w:szCs w:val="28"/>
          <w:lang w:val="uk-UA"/>
        </w:rPr>
        <w:lastRenderedPageBreak/>
        <w:t xml:space="preserve">Якщо спробувати доповнити інформацію Європейської інформаційної освітньої мережі </w:t>
      </w:r>
      <w:r w:rsidRPr="002705EB">
        <w:rPr>
          <w:sz w:val="28"/>
          <w:szCs w:val="28"/>
        </w:rPr>
        <w:t>Eurydice</w:t>
      </w:r>
      <w:r>
        <w:rPr>
          <w:sz w:val="28"/>
          <w:szCs w:val="28"/>
          <w:lang w:val="uk-UA"/>
        </w:rPr>
        <w:t xml:space="preserve"> даними про Україну, то матимемо наступне:</w:t>
      </w:r>
    </w:p>
    <w:tbl>
      <w:tblPr>
        <w:tblStyle w:val="a3"/>
        <w:tblW w:w="0" w:type="auto"/>
        <w:tblLook w:val="01E0"/>
      </w:tblPr>
      <w:tblGrid>
        <w:gridCol w:w="910"/>
        <w:gridCol w:w="2256"/>
        <w:gridCol w:w="2152"/>
        <w:gridCol w:w="2070"/>
        <w:gridCol w:w="1899"/>
      </w:tblGrid>
      <w:tr w:rsidR="001901EB" w:rsidRPr="002E270A" w:rsidTr="004D6BE8">
        <w:tc>
          <w:tcPr>
            <w:tcW w:w="1008" w:type="dxa"/>
            <w:tcBorders>
              <w:top w:val="nil"/>
              <w:left w:val="nil"/>
            </w:tcBorders>
            <w:vAlign w:val="center"/>
          </w:tcPr>
          <w:p w:rsidR="001901EB" w:rsidRPr="002E270A" w:rsidRDefault="001901EB" w:rsidP="004D6BE8">
            <w:pPr>
              <w:autoSpaceDE w:val="0"/>
              <w:autoSpaceDN w:val="0"/>
              <w:adjustRightInd w:val="0"/>
              <w:jc w:val="center"/>
              <w:rPr>
                <w:lang w:val="uk-UA"/>
              </w:rPr>
            </w:pPr>
          </w:p>
        </w:tc>
        <w:tc>
          <w:tcPr>
            <w:tcW w:w="2520" w:type="dxa"/>
            <w:vAlign w:val="center"/>
          </w:tcPr>
          <w:p w:rsidR="001901EB" w:rsidRPr="002E270A" w:rsidRDefault="001901EB" w:rsidP="004D6BE8">
            <w:pPr>
              <w:autoSpaceDE w:val="0"/>
              <w:autoSpaceDN w:val="0"/>
              <w:adjustRightInd w:val="0"/>
              <w:jc w:val="center"/>
              <w:rPr>
                <w:lang w:val="uk-UA"/>
              </w:rPr>
            </w:pPr>
            <w:r w:rsidRPr="002E270A">
              <w:rPr>
                <w:lang w:val="uk-UA"/>
              </w:rPr>
              <w:t>Виконавча особа</w:t>
            </w:r>
          </w:p>
        </w:tc>
        <w:tc>
          <w:tcPr>
            <w:tcW w:w="2290" w:type="dxa"/>
            <w:vAlign w:val="center"/>
          </w:tcPr>
          <w:p w:rsidR="001901EB" w:rsidRPr="002E270A" w:rsidRDefault="001901EB" w:rsidP="004D6BE8">
            <w:pPr>
              <w:autoSpaceDE w:val="0"/>
              <w:autoSpaceDN w:val="0"/>
              <w:adjustRightInd w:val="0"/>
              <w:jc w:val="center"/>
              <w:rPr>
                <w:lang w:val="uk-UA"/>
              </w:rPr>
            </w:pPr>
            <w:r w:rsidRPr="002E270A">
              <w:rPr>
                <w:lang w:val="uk-UA"/>
              </w:rPr>
              <w:t>Дорадчий (академічний) орган</w:t>
            </w:r>
          </w:p>
        </w:tc>
        <w:tc>
          <w:tcPr>
            <w:tcW w:w="2291" w:type="dxa"/>
            <w:vAlign w:val="center"/>
          </w:tcPr>
          <w:p w:rsidR="001901EB" w:rsidRPr="002E270A" w:rsidRDefault="001901EB" w:rsidP="004D6BE8">
            <w:pPr>
              <w:autoSpaceDE w:val="0"/>
              <w:autoSpaceDN w:val="0"/>
              <w:adjustRightInd w:val="0"/>
              <w:jc w:val="center"/>
              <w:rPr>
                <w:lang w:val="uk-UA"/>
              </w:rPr>
            </w:pPr>
            <w:r w:rsidRPr="002E270A">
              <w:rPr>
                <w:lang w:val="uk-UA"/>
              </w:rPr>
              <w:t>Орган прийняття рішень</w:t>
            </w:r>
          </w:p>
        </w:tc>
        <w:tc>
          <w:tcPr>
            <w:tcW w:w="2028" w:type="dxa"/>
            <w:vAlign w:val="center"/>
          </w:tcPr>
          <w:p w:rsidR="001901EB" w:rsidRPr="002E270A" w:rsidRDefault="001901EB" w:rsidP="004D6BE8">
            <w:pPr>
              <w:autoSpaceDE w:val="0"/>
              <w:autoSpaceDN w:val="0"/>
              <w:adjustRightInd w:val="0"/>
              <w:jc w:val="center"/>
              <w:rPr>
                <w:lang w:val="uk-UA"/>
              </w:rPr>
            </w:pPr>
            <w:r w:rsidRPr="002E270A">
              <w:rPr>
                <w:lang w:val="uk-UA"/>
              </w:rPr>
              <w:t>Наглядовий орган</w:t>
            </w:r>
          </w:p>
        </w:tc>
      </w:tr>
      <w:tr w:rsidR="001901EB" w:rsidRPr="002E270A" w:rsidTr="004D6BE8">
        <w:tc>
          <w:tcPr>
            <w:tcW w:w="1008" w:type="dxa"/>
            <w:vAlign w:val="center"/>
          </w:tcPr>
          <w:p w:rsidR="001901EB" w:rsidRPr="002E270A" w:rsidRDefault="001901EB" w:rsidP="004D6BE8">
            <w:pPr>
              <w:autoSpaceDE w:val="0"/>
              <w:autoSpaceDN w:val="0"/>
              <w:adjustRightInd w:val="0"/>
              <w:jc w:val="center"/>
              <w:rPr>
                <w:lang w:val="en-US"/>
              </w:rPr>
            </w:pPr>
            <w:r w:rsidRPr="002E270A">
              <w:rPr>
                <w:lang w:val="en-US"/>
              </w:rPr>
              <w:t>UA</w:t>
            </w:r>
          </w:p>
        </w:tc>
        <w:tc>
          <w:tcPr>
            <w:tcW w:w="2520" w:type="dxa"/>
            <w:vAlign w:val="center"/>
          </w:tcPr>
          <w:p w:rsidR="001901EB" w:rsidRPr="002E270A" w:rsidRDefault="001901EB" w:rsidP="004D6BE8">
            <w:pPr>
              <w:autoSpaceDE w:val="0"/>
              <w:autoSpaceDN w:val="0"/>
              <w:adjustRightInd w:val="0"/>
              <w:jc w:val="center"/>
              <w:rPr>
                <w:lang w:val="uk-UA"/>
              </w:rPr>
            </w:pPr>
            <w:r w:rsidRPr="002E270A">
              <w:rPr>
                <w:lang w:val="uk-UA"/>
              </w:rPr>
              <w:t>Ректор</w:t>
            </w:r>
          </w:p>
        </w:tc>
        <w:tc>
          <w:tcPr>
            <w:tcW w:w="2290" w:type="dxa"/>
            <w:vAlign w:val="center"/>
          </w:tcPr>
          <w:p w:rsidR="001901EB" w:rsidRPr="002E270A" w:rsidRDefault="001901EB" w:rsidP="004D6BE8">
            <w:pPr>
              <w:autoSpaceDE w:val="0"/>
              <w:autoSpaceDN w:val="0"/>
              <w:adjustRightInd w:val="0"/>
              <w:jc w:val="center"/>
              <w:rPr>
                <w:lang w:val="uk-UA"/>
              </w:rPr>
            </w:pPr>
            <w:r w:rsidRPr="002E270A">
              <w:rPr>
                <w:lang w:val="uk-UA"/>
              </w:rPr>
              <w:t>Наукова рада / науково-методична рада</w:t>
            </w:r>
          </w:p>
        </w:tc>
        <w:tc>
          <w:tcPr>
            <w:tcW w:w="2291" w:type="dxa"/>
            <w:vAlign w:val="center"/>
          </w:tcPr>
          <w:p w:rsidR="001901EB" w:rsidRPr="002E270A" w:rsidRDefault="001901EB" w:rsidP="004D6BE8">
            <w:pPr>
              <w:autoSpaceDE w:val="0"/>
              <w:autoSpaceDN w:val="0"/>
              <w:adjustRightInd w:val="0"/>
              <w:jc w:val="center"/>
              <w:rPr>
                <w:lang w:val="uk-UA"/>
              </w:rPr>
            </w:pPr>
            <w:r w:rsidRPr="002E270A">
              <w:rPr>
                <w:lang w:val="uk-UA"/>
              </w:rPr>
              <w:t>Вчена рада</w:t>
            </w:r>
          </w:p>
        </w:tc>
        <w:tc>
          <w:tcPr>
            <w:tcW w:w="2028" w:type="dxa"/>
            <w:vAlign w:val="center"/>
          </w:tcPr>
          <w:p w:rsidR="001901EB" w:rsidRPr="002E270A" w:rsidRDefault="001901EB" w:rsidP="004D6BE8">
            <w:pPr>
              <w:autoSpaceDE w:val="0"/>
              <w:autoSpaceDN w:val="0"/>
              <w:adjustRightInd w:val="0"/>
              <w:jc w:val="center"/>
              <w:rPr>
                <w:lang w:val="uk-UA"/>
              </w:rPr>
            </w:pPr>
            <w:r w:rsidRPr="002E270A">
              <w:rPr>
                <w:lang w:val="uk-UA"/>
              </w:rPr>
              <w:t>Х*</w:t>
            </w:r>
          </w:p>
        </w:tc>
      </w:tr>
    </w:tbl>
    <w:p w:rsidR="001901EB" w:rsidRPr="004F0373" w:rsidRDefault="001901EB" w:rsidP="001901EB">
      <w:pPr>
        <w:autoSpaceDE w:val="0"/>
        <w:autoSpaceDN w:val="0"/>
        <w:adjustRightInd w:val="0"/>
        <w:spacing w:line="360" w:lineRule="auto"/>
        <w:ind w:firstLine="720"/>
        <w:jc w:val="both"/>
        <w:rPr>
          <w:sz w:val="28"/>
          <w:szCs w:val="28"/>
          <w:lang w:val="uk-UA"/>
        </w:rPr>
      </w:pPr>
      <w:r>
        <w:rPr>
          <w:sz w:val="28"/>
          <w:szCs w:val="28"/>
          <w:lang w:val="uk-UA"/>
        </w:rPr>
        <w:t>* - орган не існує</w:t>
      </w:r>
    </w:p>
    <w:p w:rsidR="001901EB" w:rsidRDefault="001901EB" w:rsidP="001901EB">
      <w:pPr>
        <w:autoSpaceDE w:val="0"/>
        <w:autoSpaceDN w:val="0"/>
        <w:adjustRightInd w:val="0"/>
        <w:spacing w:line="360" w:lineRule="auto"/>
        <w:ind w:firstLine="720"/>
        <w:jc w:val="both"/>
        <w:rPr>
          <w:sz w:val="28"/>
          <w:szCs w:val="28"/>
          <w:lang w:val="uk-UA"/>
        </w:rPr>
      </w:pPr>
      <w:r>
        <w:rPr>
          <w:sz w:val="28"/>
          <w:szCs w:val="28"/>
          <w:lang w:val="uk-UA"/>
        </w:rPr>
        <w:t>Слід також зазначити, що внутрішні органи управлінні ВНЗ України не включають представників зовнішніх організацій.</w:t>
      </w:r>
    </w:p>
    <w:p w:rsidR="001901EB" w:rsidRDefault="001901EB" w:rsidP="001901EB">
      <w:pPr>
        <w:autoSpaceDE w:val="0"/>
        <w:autoSpaceDN w:val="0"/>
        <w:adjustRightInd w:val="0"/>
        <w:spacing w:line="360" w:lineRule="auto"/>
        <w:ind w:firstLine="720"/>
        <w:jc w:val="both"/>
        <w:rPr>
          <w:sz w:val="28"/>
          <w:szCs w:val="28"/>
          <w:lang w:val="uk-UA"/>
        </w:rPr>
      </w:pPr>
      <w:r>
        <w:rPr>
          <w:sz w:val="28"/>
          <w:szCs w:val="28"/>
          <w:lang w:val="uk-UA"/>
        </w:rPr>
        <w:t>Середня ланка управління університетом є не менш важливою для дієвості та конкурентоспроможності сучасного університету. Від деканів факультетів та керівників підрозділів, служб залежить оперативність виконання провідних рішень, реалізація положень стратегічних планів. У нових умовах більше повноважень отримали декани. Традиційно декани обиралися серед провідних науковців, мали достатню впливовість, проте мало реальної влади. Сьогодні повноваження декана схожі на повноваження ректора на теренах факультету. Деканів скоріше призначають, ніж обирають. Вони виконують функції управлінця з елементами фінансового менеджера та змушені все більше балансувати між традиційною роллю захисника інтересів викладацького складу та зростаючою роллю менеджера.</w:t>
      </w:r>
    </w:p>
    <w:p w:rsidR="001901EB" w:rsidRPr="001603BB" w:rsidRDefault="001901EB" w:rsidP="001901EB">
      <w:pPr>
        <w:autoSpaceDE w:val="0"/>
        <w:autoSpaceDN w:val="0"/>
        <w:adjustRightInd w:val="0"/>
        <w:spacing w:line="360" w:lineRule="auto"/>
        <w:ind w:firstLine="720"/>
        <w:jc w:val="both"/>
        <w:rPr>
          <w:sz w:val="28"/>
          <w:szCs w:val="28"/>
          <w:lang w:val="uk-UA"/>
        </w:rPr>
      </w:pPr>
      <w:r>
        <w:rPr>
          <w:sz w:val="28"/>
          <w:szCs w:val="28"/>
          <w:lang w:val="uk-UA"/>
        </w:rPr>
        <w:t xml:space="preserve">В багатьох університетах Великої Британії, наприклад, набули поширення оперативні виконавчі структури, які призвані замінити традиційне "управління комітетами". Чітко визначаючи відповідальність сторін, за умов розподілу обов’язків та наявності цілісної команди управлінців та науковців, такий підхід значно сприяє динамічності управління, де середовище вимагає негайного прийняття рішень, а не очікування на наступне засіданні комітету. В багатьох університетах з метою спрощення структури управління скорочено кількість ланок в адміністрації, які складають звіти. Актуальною є тема делегування </w:t>
      </w:r>
      <w:r>
        <w:rPr>
          <w:sz w:val="28"/>
          <w:szCs w:val="28"/>
          <w:lang w:val="uk-UA"/>
        </w:rPr>
        <w:lastRenderedPageBreak/>
        <w:t>повноважень академічним підрозділам, інститутами, факультетам, кафедрам в контексті створення установ, які прагнуть більш високої культури підприємницької діяльності.</w:t>
      </w:r>
      <w:r w:rsidR="00F76F0D">
        <w:rPr>
          <w:sz w:val="28"/>
          <w:szCs w:val="28"/>
          <w:lang w:val="uk-UA"/>
        </w:rPr>
        <w:t xml:space="preserve"> </w:t>
      </w:r>
      <w:r>
        <w:rPr>
          <w:sz w:val="28"/>
          <w:szCs w:val="28"/>
          <w:lang w:val="uk-UA"/>
        </w:rPr>
        <w:t>Дані тенденцій зокрема реалізовано в СумДУ через перерозподіл функціональних обов’язків всередині університету, підвищення ефективності роботи науково-методичної, наукової рад, збільшення відповідальності факультетів, деканів, запровадження субрахунків підрозділів тощо.</w:t>
      </w:r>
    </w:p>
    <w:p w:rsidR="00EE3385" w:rsidRDefault="00A246C5" w:rsidP="00EE3385">
      <w:pPr>
        <w:spacing w:line="360" w:lineRule="auto"/>
        <w:ind w:firstLine="900"/>
        <w:jc w:val="both"/>
        <w:rPr>
          <w:sz w:val="28"/>
          <w:szCs w:val="28"/>
          <w:lang w:val="uk-UA"/>
        </w:rPr>
      </w:pPr>
      <w:r w:rsidRPr="00A246C5">
        <w:rPr>
          <w:sz w:val="28"/>
          <w:szCs w:val="28"/>
          <w:lang w:val="uk-UA"/>
        </w:rPr>
        <w:t>Отже,</w:t>
      </w:r>
      <w:r>
        <w:rPr>
          <w:sz w:val="28"/>
          <w:szCs w:val="28"/>
          <w:lang w:val="uk-UA"/>
        </w:rPr>
        <w:t xml:space="preserve"> виходячи з вищевикладеного, можна зробити</w:t>
      </w:r>
      <w:r w:rsidRPr="00A246C5">
        <w:rPr>
          <w:sz w:val="28"/>
          <w:szCs w:val="28"/>
          <w:lang w:val="uk-UA"/>
        </w:rPr>
        <w:t xml:space="preserve"> </w:t>
      </w:r>
      <w:r w:rsidR="00490AE3">
        <w:rPr>
          <w:sz w:val="28"/>
          <w:szCs w:val="28"/>
          <w:lang w:val="uk-UA"/>
        </w:rPr>
        <w:t xml:space="preserve">наступні </w:t>
      </w:r>
      <w:r w:rsidRPr="00B53F2B">
        <w:rPr>
          <w:i/>
          <w:sz w:val="28"/>
          <w:szCs w:val="28"/>
          <w:lang w:val="uk-UA"/>
        </w:rPr>
        <w:t>в</w:t>
      </w:r>
      <w:r w:rsidR="00EE3385" w:rsidRPr="00B53F2B">
        <w:rPr>
          <w:i/>
          <w:sz w:val="28"/>
          <w:szCs w:val="28"/>
          <w:lang w:val="uk-UA"/>
        </w:rPr>
        <w:t>исновки</w:t>
      </w:r>
      <w:r w:rsidR="00490AE3">
        <w:rPr>
          <w:sz w:val="28"/>
          <w:szCs w:val="28"/>
          <w:lang w:val="uk-UA"/>
        </w:rPr>
        <w:t xml:space="preserve">. </w:t>
      </w:r>
      <w:r w:rsidR="00EE3385">
        <w:rPr>
          <w:sz w:val="28"/>
          <w:szCs w:val="28"/>
          <w:lang w:val="uk-UA"/>
        </w:rPr>
        <w:t>Реформування систем вищої освіти європейських країн згідно з положеннями Болонської декларації на шляху створення єдиного освітнього простору є об’єктивною реальністю сьогодення.</w:t>
      </w:r>
      <w:r w:rsidR="00EE3385" w:rsidRPr="009731A8">
        <w:rPr>
          <w:sz w:val="28"/>
          <w:szCs w:val="28"/>
          <w:lang w:val="uk-UA"/>
        </w:rPr>
        <w:t xml:space="preserve"> </w:t>
      </w:r>
      <w:r w:rsidR="00EE3385">
        <w:rPr>
          <w:sz w:val="28"/>
          <w:szCs w:val="28"/>
          <w:lang w:val="uk-UA"/>
        </w:rPr>
        <w:t xml:space="preserve">Майже повсюди впроваджено університетське </w:t>
      </w:r>
      <w:r w:rsidR="00EE3385" w:rsidRPr="00E919FC">
        <w:rPr>
          <w:sz w:val="28"/>
          <w:szCs w:val="28"/>
          <w:lang w:val="uk-UA"/>
        </w:rPr>
        <w:t>дво</w:t>
      </w:r>
      <w:r w:rsidR="00EE3385">
        <w:rPr>
          <w:sz w:val="28"/>
          <w:szCs w:val="28"/>
          <w:lang w:val="uk-UA"/>
        </w:rPr>
        <w:t xml:space="preserve">ступеневе </w:t>
      </w:r>
      <w:r w:rsidR="00EE3385" w:rsidRPr="00E919FC">
        <w:rPr>
          <w:sz w:val="28"/>
          <w:szCs w:val="28"/>
          <w:lang w:val="uk-UA"/>
        </w:rPr>
        <w:t>навчання</w:t>
      </w:r>
      <w:r w:rsidR="00EE3385">
        <w:rPr>
          <w:sz w:val="28"/>
          <w:szCs w:val="28"/>
          <w:lang w:val="uk-UA"/>
        </w:rPr>
        <w:t xml:space="preserve"> та </w:t>
      </w:r>
      <w:r w:rsidR="00EE3385" w:rsidRPr="00E919FC">
        <w:rPr>
          <w:sz w:val="28"/>
          <w:szCs w:val="28"/>
          <w:lang w:val="uk-UA"/>
        </w:rPr>
        <w:t>систем</w:t>
      </w:r>
      <w:r w:rsidR="00EE3385">
        <w:rPr>
          <w:sz w:val="28"/>
          <w:szCs w:val="28"/>
          <w:lang w:val="uk-UA"/>
        </w:rPr>
        <w:t>а</w:t>
      </w:r>
      <w:r w:rsidR="00EE3385" w:rsidRPr="00E919FC">
        <w:rPr>
          <w:sz w:val="28"/>
          <w:szCs w:val="28"/>
          <w:lang w:val="uk-UA"/>
        </w:rPr>
        <w:t xml:space="preserve"> залікових балів по типу E</w:t>
      </w:r>
      <w:r w:rsidR="00EE3385" w:rsidRPr="00E919FC">
        <w:rPr>
          <w:sz w:val="28"/>
          <w:szCs w:val="28"/>
          <w:lang w:val="en-US"/>
        </w:rPr>
        <w:t>CTS</w:t>
      </w:r>
      <w:r w:rsidR="00EE3385">
        <w:rPr>
          <w:sz w:val="28"/>
          <w:szCs w:val="28"/>
          <w:lang w:val="uk-UA"/>
        </w:rPr>
        <w:t>. Ведеться планомірна робота зі створення безкоштовних додатків до дипломів. Проте у багатьох країнах залишаються певні національні особливості, які зумовлені історією їх становлення, наприклад, аспірантура та докторантура в більшості країн колишнього СРСР, Бельгії тощо.</w:t>
      </w:r>
    </w:p>
    <w:p w:rsidR="00EE3385" w:rsidRDefault="00EE3385" w:rsidP="00EE3385">
      <w:pPr>
        <w:spacing w:line="360" w:lineRule="auto"/>
        <w:ind w:firstLine="900"/>
        <w:jc w:val="both"/>
        <w:rPr>
          <w:sz w:val="28"/>
          <w:szCs w:val="28"/>
          <w:lang w:val="uk-UA"/>
        </w:rPr>
      </w:pPr>
      <w:r>
        <w:rPr>
          <w:sz w:val="28"/>
          <w:szCs w:val="28"/>
          <w:lang w:val="uk-UA"/>
        </w:rPr>
        <w:t xml:space="preserve">Зміна зовнішніх факторів впливу та зростання автономності університетів сприяє реформуванню та модернізації внутрішньої системи управління ВНЗ із перерозподілом повноважень та відповідальності. Метою цього є підвищення ефективності, а також забезпечення прозорості. </w:t>
      </w:r>
      <w:r w:rsidR="00F76F0D">
        <w:rPr>
          <w:sz w:val="28"/>
          <w:szCs w:val="28"/>
          <w:lang w:val="uk-UA"/>
        </w:rPr>
        <w:t xml:space="preserve">Однак </w:t>
      </w:r>
      <w:r>
        <w:rPr>
          <w:sz w:val="28"/>
          <w:szCs w:val="28"/>
          <w:lang w:val="uk-UA"/>
        </w:rPr>
        <w:t>університети значною мірою потерпають від нестачі кваліфікованих управлінських кадрів у сфері освіти.</w:t>
      </w:r>
    </w:p>
    <w:p w:rsidR="00281A72" w:rsidRPr="00D22B94" w:rsidRDefault="00291B12">
      <w:pPr>
        <w:rPr>
          <w:sz w:val="28"/>
          <w:szCs w:val="28"/>
          <w:lang w:val="uk-UA"/>
        </w:rPr>
      </w:pPr>
      <w:r w:rsidRPr="00D22B94">
        <w:rPr>
          <w:sz w:val="28"/>
          <w:szCs w:val="28"/>
          <w:lang w:val="uk-UA"/>
        </w:rPr>
        <w:t>Література</w:t>
      </w:r>
    </w:p>
    <w:p w:rsidR="00291B12" w:rsidRPr="00D22B94" w:rsidRDefault="00F2737D" w:rsidP="00703393">
      <w:pPr>
        <w:pStyle w:val="a5"/>
        <w:numPr>
          <w:ilvl w:val="0"/>
          <w:numId w:val="4"/>
        </w:numPr>
        <w:ind w:left="426" w:hanging="426"/>
        <w:rPr>
          <w:sz w:val="28"/>
          <w:szCs w:val="28"/>
          <w:lang w:val="uk-UA"/>
        </w:rPr>
      </w:pPr>
      <w:r w:rsidRPr="00D22B94">
        <w:rPr>
          <w:sz w:val="28"/>
          <w:szCs w:val="28"/>
          <w:lang w:val="en-US"/>
        </w:rPr>
        <w:t>The Bologna Declaration of 19 June 1999 [</w:t>
      </w:r>
      <w:r w:rsidRPr="00D22B94">
        <w:rPr>
          <w:sz w:val="28"/>
          <w:szCs w:val="28"/>
          <w:lang w:val="uk-UA"/>
        </w:rPr>
        <w:t>Електронний ресурс</w:t>
      </w:r>
      <w:r w:rsidRPr="00D22B94">
        <w:rPr>
          <w:sz w:val="28"/>
          <w:szCs w:val="28"/>
          <w:lang w:val="en-US"/>
        </w:rPr>
        <w:t>]</w:t>
      </w:r>
      <w:r w:rsidRPr="00D22B94">
        <w:rPr>
          <w:sz w:val="28"/>
          <w:szCs w:val="28"/>
          <w:lang w:val="uk-UA"/>
        </w:rPr>
        <w:t xml:space="preserve"> / Режим доступу: </w:t>
      </w:r>
      <w:r w:rsidRPr="00D22B94">
        <w:rPr>
          <w:sz w:val="28"/>
          <w:szCs w:val="28"/>
          <w:lang w:val="en-US"/>
        </w:rPr>
        <w:t>http://www.ec.europa.eu/education/policies/educ/bologna/bologna</w:t>
      </w:r>
      <w:r w:rsidRPr="00D22B94">
        <w:rPr>
          <w:sz w:val="28"/>
          <w:szCs w:val="28"/>
          <w:lang w:val="uk-UA"/>
        </w:rPr>
        <w:t>_en</w:t>
      </w:r>
      <w:r w:rsidRPr="00D22B94">
        <w:rPr>
          <w:sz w:val="28"/>
          <w:szCs w:val="28"/>
          <w:lang w:val="en-US"/>
        </w:rPr>
        <w:t>.html</w:t>
      </w:r>
    </w:p>
    <w:p w:rsidR="00703393" w:rsidRPr="00D22B94" w:rsidRDefault="00703393" w:rsidP="00703393">
      <w:pPr>
        <w:pStyle w:val="a5"/>
        <w:numPr>
          <w:ilvl w:val="0"/>
          <w:numId w:val="4"/>
        </w:numPr>
        <w:ind w:left="426" w:hanging="426"/>
        <w:rPr>
          <w:sz w:val="28"/>
          <w:szCs w:val="28"/>
          <w:lang w:val="uk-UA"/>
        </w:rPr>
      </w:pPr>
      <w:r w:rsidRPr="00D22B94">
        <w:rPr>
          <w:bCs/>
          <w:sz w:val="28"/>
          <w:szCs w:val="28"/>
          <w:lang w:val="en-US"/>
        </w:rPr>
        <w:t>Focus</w:t>
      </w:r>
      <w:r w:rsidRPr="00D22B94">
        <w:rPr>
          <w:bCs/>
          <w:sz w:val="28"/>
          <w:szCs w:val="28"/>
          <w:lang w:val="uk-UA"/>
        </w:rPr>
        <w:t xml:space="preserve"> </w:t>
      </w:r>
      <w:r w:rsidRPr="00D22B94">
        <w:rPr>
          <w:bCs/>
          <w:sz w:val="28"/>
          <w:szCs w:val="28"/>
          <w:lang w:val="en-US"/>
        </w:rPr>
        <w:t>on</w:t>
      </w:r>
      <w:r w:rsidRPr="00D22B94">
        <w:rPr>
          <w:bCs/>
          <w:sz w:val="28"/>
          <w:szCs w:val="28"/>
          <w:lang w:val="uk-UA"/>
        </w:rPr>
        <w:t xml:space="preserve"> </w:t>
      </w:r>
      <w:r w:rsidRPr="00D22B94">
        <w:rPr>
          <w:bCs/>
          <w:sz w:val="28"/>
          <w:szCs w:val="28"/>
          <w:lang w:val="en-US"/>
        </w:rPr>
        <w:t>Higher</w:t>
      </w:r>
      <w:r w:rsidRPr="00D22B94">
        <w:rPr>
          <w:bCs/>
          <w:sz w:val="28"/>
          <w:szCs w:val="28"/>
          <w:lang w:val="uk-UA"/>
        </w:rPr>
        <w:t xml:space="preserve"> </w:t>
      </w:r>
      <w:r w:rsidRPr="00D22B94">
        <w:rPr>
          <w:bCs/>
          <w:sz w:val="28"/>
          <w:szCs w:val="28"/>
          <w:lang w:val="en-US"/>
        </w:rPr>
        <w:t>Education</w:t>
      </w:r>
      <w:r w:rsidRPr="00D22B94">
        <w:rPr>
          <w:bCs/>
          <w:sz w:val="28"/>
          <w:szCs w:val="28"/>
          <w:lang w:val="uk-UA"/>
        </w:rPr>
        <w:t xml:space="preserve"> </w:t>
      </w:r>
      <w:r w:rsidRPr="00D22B94">
        <w:rPr>
          <w:bCs/>
          <w:sz w:val="28"/>
          <w:szCs w:val="28"/>
          <w:lang w:val="en-US"/>
        </w:rPr>
        <w:t>in</w:t>
      </w:r>
      <w:r w:rsidRPr="00D22B94">
        <w:rPr>
          <w:bCs/>
          <w:sz w:val="28"/>
          <w:szCs w:val="28"/>
          <w:lang w:val="uk-UA"/>
        </w:rPr>
        <w:t xml:space="preserve"> </w:t>
      </w:r>
      <w:r w:rsidRPr="00D22B94">
        <w:rPr>
          <w:bCs/>
          <w:sz w:val="28"/>
          <w:szCs w:val="28"/>
          <w:lang w:val="en-US"/>
        </w:rPr>
        <w:t>Europe</w:t>
      </w:r>
      <w:r w:rsidRPr="00D22B94">
        <w:rPr>
          <w:bCs/>
          <w:sz w:val="28"/>
          <w:szCs w:val="28"/>
          <w:lang w:val="uk-UA"/>
        </w:rPr>
        <w:t xml:space="preserve"> 2010: </w:t>
      </w:r>
      <w:r w:rsidRPr="00D22B94">
        <w:rPr>
          <w:bCs/>
          <w:sz w:val="28"/>
          <w:szCs w:val="28"/>
          <w:lang w:val="en-US"/>
        </w:rPr>
        <w:t>The</w:t>
      </w:r>
      <w:r w:rsidRPr="00D22B94">
        <w:rPr>
          <w:bCs/>
          <w:sz w:val="28"/>
          <w:szCs w:val="28"/>
          <w:lang w:val="uk-UA"/>
        </w:rPr>
        <w:t xml:space="preserve"> </w:t>
      </w:r>
      <w:r w:rsidRPr="00D22B94">
        <w:rPr>
          <w:bCs/>
          <w:sz w:val="28"/>
          <w:szCs w:val="28"/>
          <w:lang w:val="en-US"/>
        </w:rPr>
        <w:t>Impact</w:t>
      </w:r>
      <w:r w:rsidRPr="00D22B94">
        <w:rPr>
          <w:bCs/>
          <w:sz w:val="28"/>
          <w:szCs w:val="28"/>
          <w:lang w:val="uk-UA"/>
        </w:rPr>
        <w:t xml:space="preserve"> </w:t>
      </w:r>
      <w:r w:rsidRPr="00D22B94">
        <w:rPr>
          <w:bCs/>
          <w:sz w:val="28"/>
          <w:szCs w:val="28"/>
          <w:lang w:val="en-US"/>
        </w:rPr>
        <w:t>of</w:t>
      </w:r>
      <w:r w:rsidRPr="00D22B94">
        <w:rPr>
          <w:bCs/>
          <w:sz w:val="28"/>
          <w:szCs w:val="28"/>
          <w:lang w:val="uk-UA"/>
        </w:rPr>
        <w:t xml:space="preserve"> </w:t>
      </w:r>
      <w:r w:rsidRPr="00D22B94">
        <w:rPr>
          <w:bCs/>
          <w:sz w:val="28"/>
          <w:szCs w:val="28"/>
          <w:lang w:val="en-US"/>
        </w:rPr>
        <w:t>the</w:t>
      </w:r>
      <w:r w:rsidRPr="00D22B94">
        <w:rPr>
          <w:bCs/>
          <w:sz w:val="28"/>
          <w:szCs w:val="28"/>
          <w:lang w:val="uk-UA"/>
        </w:rPr>
        <w:t xml:space="preserve"> </w:t>
      </w:r>
      <w:r w:rsidRPr="00D22B94">
        <w:rPr>
          <w:bCs/>
          <w:sz w:val="28"/>
          <w:szCs w:val="28"/>
          <w:lang w:val="en-US"/>
        </w:rPr>
        <w:t>Bologna</w:t>
      </w:r>
      <w:r w:rsidRPr="00D22B94">
        <w:rPr>
          <w:bCs/>
          <w:sz w:val="28"/>
          <w:szCs w:val="28"/>
          <w:lang w:val="uk-UA"/>
        </w:rPr>
        <w:t xml:space="preserve"> </w:t>
      </w:r>
      <w:r w:rsidRPr="00D22B94">
        <w:rPr>
          <w:bCs/>
          <w:sz w:val="28"/>
          <w:szCs w:val="28"/>
          <w:lang w:val="en-US"/>
        </w:rPr>
        <w:t xml:space="preserve">Process </w:t>
      </w:r>
      <w:r w:rsidRPr="00D22B94">
        <w:rPr>
          <w:sz w:val="28"/>
          <w:szCs w:val="28"/>
          <w:lang w:val="en-US"/>
        </w:rPr>
        <w:t>[</w:t>
      </w:r>
      <w:r w:rsidRPr="00D22B94">
        <w:rPr>
          <w:sz w:val="28"/>
          <w:szCs w:val="28"/>
          <w:lang w:val="uk-UA"/>
        </w:rPr>
        <w:t>Електронний ресурс</w:t>
      </w:r>
      <w:r w:rsidRPr="00D22B94">
        <w:rPr>
          <w:sz w:val="28"/>
          <w:szCs w:val="28"/>
          <w:lang w:val="en-US"/>
        </w:rPr>
        <w:t>]</w:t>
      </w:r>
      <w:r w:rsidRPr="00D22B94">
        <w:rPr>
          <w:sz w:val="28"/>
          <w:szCs w:val="28"/>
          <w:lang w:val="uk-UA"/>
        </w:rPr>
        <w:t xml:space="preserve"> / Режим доступу:</w:t>
      </w:r>
      <w:r w:rsidR="00D22B94" w:rsidRPr="00D22B94">
        <w:rPr>
          <w:sz w:val="28"/>
          <w:szCs w:val="28"/>
          <w:lang w:val="en-US"/>
        </w:rPr>
        <w:t xml:space="preserve"> </w:t>
      </w:r>
      <w:r w:rsidR="00D22B94" w:rsidRPr="00D22B94">
        <w:rPr>
          <w:rStyle w:val="ab"/>
          <w:sz w:val="28"/>
          <w:szCs w:val="28"/>
          <w:lang w:val="en-US"/>
        </w:rPr>
        <w:t>eacea.ec.europa.eu/</w:t>
      </w:r>
      <w:r w:rsidR="00D22B94" w:rsidRPr="00D22B94">
        <w:rPr>
          <w:rStyle w:val="ab"/>
          <w:bCs/>
          <w:sz w:val="28"/>
          <w:szCs w:val="28"/>
          <w:lang w:val="en-US"/>
        </w:rPr>
        <w:t>education</w:t>
      </w:r>
      <w:r w:rsidR="00D22B94" w:rsidRPr="00D22B94">
        <w:rPr>
          <w:rStyle w:val="ab"/>
          <w:sz w:val="28"/>
          <w:szCs w:val="28"/>
          <w:lang w:val="en-US"/>
        </w:rPr>
        <w:t>/eurydice/documents/thematic.../122EN.pdf</w:t>
      </w:r>
    </w:p>
    <w:p w:rsidR="00F2737D" w:rsidRPr="00D22B94" w:rsidRDefault="00703393" w:rsidP="00703393">
      <w:pPr>
        <w:pStyle w:val="a5"/>
        <w:numPr>
          <w:ilvl w:val="0"/>
          <w:numId w:val="4"/>
        </w:numPr>
        <w:ind w:left="426" w:hanging="426"/>
        <w:rPr>
          <w:sz w:val="28"/>
          <w:szCs w:val="28"/>
          <w:lang w:val="uk-UA"/>
        </w:rPr>
      </w:pPr>
      <w:r w:rsidRPr="00D22B94">
        <w:rPr>
          <w:bCs/>
          <w:sz w:val="28"/>
          <w:szCs w:val="28"/>
          <w:lang w:val="en-US"/>
        </w:rPr>
        <w:t>Higher</w:t>
      </w:r>
      <w:r w:rsidRPr="00D22B94">
        <w:rPr>
          <w:bCs/>
          <w:sz w:val="28"/>
          <w:szCs w:val="28"/>
          <w:lang w:val="uk-UA"/>
        </w:rPr>
        <w:t xml:space="preserve"> </w:t>
      </w:r>
      <w:r w:rsidRPr="00D22B94">
        <w:rPr>
          <w:bCs/>
          <w:sz w:val="28"/>
          <w:szCs w:val="28"/>
          <w:lang w:val="en-US"/>
        </w:rPr>
        <w:t>Education</w:t>
      </w:r>
      <w:r w:rsidRPr="00D22B94">
        <w:rPr>
          <w:bCs/>
          <w:sz w:val="28"/>
          <w:szCs w:val="28"/>
          <w:lang w:val="uk-UA"/>
        </w:rPr>
        <w:t xml:space="preserve"> </w:t>
      </w:r>
      <w:r w:rsidRPr="00D22B94">
        <w:rPr>
          <w:bCs/>
          <w:sz w:val="28"/>
          <w:szCs w:val="28"/>
          <w:lang w:val="en-US"/>
        </w:rPr>
        <w:t>Governance</w:t>
      </w:r>
      <w:r w:rsidRPr="00D22B94">
        <w:rPr>
          <w:bCs/>
          <w:sz w:val="28"/>
          <w:szCs w:val="28"/>
          <w:lang w:val="uk-UA"/>
        </w:rPr>
        <w:t xml:space="preserve"> </w:t>
      </w:r>
      <w:r w:rsidRPr="00D22B94">
        <w:rPr>
          <w:bCs/>
          <w:sz w:val="28"/>
          <w:szCs w:val="28"/>
          <w:lang w:val="en-US"/>
        </w:rPr>
        <w:t>in</w:t>
      </w:r>
      <w:r w:rsidRPr="00D22B94">
        <w:rPr>
          <w:bCs/>
          <w:sz w:val="28"/>
          <w:szCs w:val="28"/>
          <w:lang w:val="uk-UA"/>
        </w:rPr>
        <w:t xml:space="preserve"> </w:t>
      </w:r>
      <w:r w:rsidRPr="00D22B94">
        <w:rPr>
          <w:bCs/>
          <w:sz w:val="28"/>
          <w:szCs w:val="28"/>
          <w:lang w:val="en-US"/>
        </w:rPr>
        <w:t>Europe</w:t>
      </w:r>
      <w:r w:rsidRPr="00D22B94">
        <w:rPr>
          <w:bCs/>
          <w:sz w:val="28"/>
          <w:szCs w:val="28"/>
          <w:lang w:val="uk-UA"/>
        </w:rPr>
        <w:t>.</w:t>
      </w:r>
      <w:r w:rsidRPr="00D22B94">
        <w:rPr>
          <w:b/>
          <w:bCs/>
          <w:sz w:val="28"/>
          <w:szCs w:val="28"/>
          <w:lang w:val="uk-UA"/>
        </w:rPr>
        <w:t xml:space="preserve"> </w:t>
      </w:r>
      <w:r w:rsidRPr="00D22B94">
        <w:rPr>
          <w:sz w:val="28"/>
          <w:szCs w:val="28"/>
          <w:lang w:val="en-US"/>
        </w:rPr>
        <w:t>Policies</w:t>
      </w:r>
      <w:r w:rsidRPr="00D22B94">
        <w:rPr>
          <w:sz w:val="28"/>
          <w:szCs w:val="28"/>
          <w:lang w:val="uk-UA"/>
        </w:rPr>
        <w:t xml:space="preserve">, </w:t>
      </w:r>
      <w:r w:rsidRPr="00D22B94">
        <w:rPr>
          <w:sz w:val="28"/>
          <w:szCs w:val="28"/>
          <w:lang w:val="en-US"/>
        </w:rPr>
        <w:t>structures</w:t>
      </w:r>
      <w:r w:rsidRPr="00D22B94">
        <w:rPr>
          <w:sz w:val="28"/>
          <w:szCs w:val="28"/>
          <w:lang w:val="uk-UA"/>
        </w:rPr>
        <w:t xml:space="preserve">, </w:t>
      </w:r>
      <w:r w:rsidRPr="00D22B94">
        <w:rPr>
          <w:sz w:val="28"/>
          <w:szCs w:val="28"/>
          <w:lang w:val="en-US"/>
        </w:rPr>
        <w:t>funding</w:t>
      </w:r>
      <w:r w:rsidRPr="00D22B94">
        <w:rPr>
          <w:sz w:val="28"/>
          <w:szCs w:val="28"/>
          <w:lang w:val="uk-UA"/>
        </w:rPr>
        <w:t xml:space="preserve"> </w:t>
      </w:r>
      <w:r w:rsidRPr="00D22B94">
        <w:rPr>
          <w:sz w:val="28"/>
          <w:szCs w:val="28"/>
          <w:lang w:val="en-US"/>
        </w:rPr>
        <w:t>and</w:t>
      </w:r>
      <w:r w:rsidRPr="00D22B94">
        <w:rPr>
          <w:sz w:val="28"/>
          <w:szCs w:val="28"/>
          <w:lang w:val="uk-UA"/>
        </w:rPr>
        <w:t xml:space="preserve"> </w:t>
      </w:r>
      <w:r w:rsidRPr="00D22B94">
        <w:rPr>
          <w:sz w:val="28"/>
          <w:szCs w:val="28"/>
          <w:lang w:val="en-US"/>
        </w:rPr>
        <w:t>academic</w:t>
      </w:r>
      <w:r w:rsidRPr="00D22B94">
        <w:rPr>
          <w:sz w:val="28"/>
          <w:szCs w:val="28"/>
          <w:lang w:val="uk-UA"/>
        </w:rPr>
        <w:t xml:space="preserve"> </w:t>
      </w:r>
      <w:r w:rsidRPr="00D22B94">
        <w:rPr>
          <w:sz w:val="28"/>
          <w:szCs w:val="28"/>
          <w:lang w:val="en-US"/>
        </w:rPr>
        <w:t>staff [</w:t>
      </w:r>
      <w:r w:rsidRPr="00D22B94">
        <w:rPr>
          <w:sz w:val="28"/>
          <w:szCs w:val="28"/>
          <w:lang w:val="uk-UA"/>
        </w:rPr>
        <w:t>Електронний ресурс</w:t>
      </w:r>
      <w:r w:rsidRPr="00D22B94">
        <w:rPr>
          <w:sz w:val="28"/>
          <w:szCs w:val="28"/>
          <w:lang w:val="en-US"/>
        </w:rPr>
        <w:t>]</w:t>
      </w:r>
      <w:r w:rsidRPr="00D22B94">
        <w:rPr>
          <w:sz w:val="28"/>
          <w:szCs w:val="28"/>
          <w:lang w:val="uk-UA"/>
        </w:rPr>
        <w:t xml:space="preserve"> / Режим доступу:</w:t>
      </w:r>
      <w:r w:rsidR="00D22B94" w:rsidRPr="00D22B94">
        <w:rPr>
          <w:sz w:val="28"/>
          <w:szCs w:val="28"/>
          <w:lang w:val="en-US"/>
        </w:rPr>
        <w:t xml:space="preserve"> </w:t>
      </w:r>
      <w:r w:rsidR="00D22B94" w:rsidRPr="00D22B94">
        <w:rPr>
          <w:rStyle w:val="ab"/>
          <w:sz w:val="28"/>
          <w:szCs w:val="28"/>
          <w:lang w:val="en-US"/>
        </w:rPr>
        <w:t>eacea.ec.europa.eu/</w:t>
      </w:r>
      <w:r w:rsidR="00D22B94" w:rsidRPr="00D22B94">
        <w:rPr>
          <w:rStyle w:val="ab"/>
          <w:bCs/>
          <w:sz w:val="28"/>
          <w:szCs w:val="28"/>
          <w:lang w:val="en-US"/>
        </w:rPr>
        <w:t>education</w:t>
      </w:r>
      <w:r w:rsidR="00D22B94" w:rsidRPr="00D22B94">
        <w:rPr>
          <w:rStyle w:val="ab"/>
          <w:sz w:val="28"/>
          <w:szCs w:val="28"/>
          <w:lang w:val="en-US"/>
        </w:rPr>
        <w:t>/eurydice/documents/thematic.../091EN.pdf</w:t>
      </w:r>
    </w:p>
    <w:sectPr w:rsidR="00F2737D" w:rsidRPr="00D22B94" w:rsidSect="00970788">
      <w:pgSz w:w="11906" w:h="16838"/>
      <w:pgMar w:top="1134" w:right="1134"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3DEF" w:rsidRDefault="00CB3DEF" w:rsidP="006251ED">
      <w:r>
        <w:separator/>
      </w:r>
    </w:p>
  </w:endnote>
  <w:endnote w:type="continuationSeparator" w:id="1">
    <w:p w:rsidR="00CB3DEF" w:rsidRDefault="00CB3DEF" w:rsidP="006251E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3DEF" w:rsidRDefault="00CB3DEF" w:rsidP="006251ED">
      <w:r>
        <w:separator/>
      </w:r>
    </w:p>
  </w:footnote>
  <w:footnote w:type="continuationSeparator" w:id="1">
    <w:p w:rsidR="00CB3DEF" w:rsidRDefault="00CB3DEF" w:rsidP="006251E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E61D97"/>
    <w:multiLevelType w:val="hybridMultilevel"/>
    <w:tmpl w:val="3806AEE0"/>
    <w:lvl w:ilvl="0" w:tplc="4F2CAA5C">
      <w:numFmt w:val="bullet"/>
      <w:lvlText w:val="-"/>
      <w:lvlJc w:val="left"/>
      <w:pPr>
        <w:tabs>
          <w:tab w:val="num" w:pos="1260"/>
        </w:tabs>
        <w:ind w:left="1260" w:hanging="360"/>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
    <w:nsid w:val="3D3F6ABF"/>
    <w:multiLevelType w:val="hybridMultilevel"/>
    <w:tmpl w:val="EE3C30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8CF2411"/>
    <w:multiLevelType w:val="hybridMultilevel"/>
    <w:tmpl w:val="D8D061EA"/>
    <w:lvl w:ilvl="0" w:tplc="C2A4B94A">
      <w:numFmt w:val="bullet"/>
      <w:lvlText w:val="-"/>
      <w:lvlJc w:val="left"/>
      <w:pPr>
        <w:tabs>
          <w:tab w:val="num" w:pos="1605"/>
        </w:tabs>
        <w:ind w:left="1605" w:hanging="885"/>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
    <w:nsid w:val="69250D3D"/>
    <w:multiLevelType w:val="hybridMultilevel"/>
    <w:tmpl w:val="0CC40456"/>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oNotDisplayPageBoundaries/>
  <w:defaultTabStop w:val="708"/>
  <w:characterSpacingControl w:val="doNotCompress"/>
  <w:footnotePr>
    <w:footnote w:id="0"/>
    <w:footnote w:id="1"/>
  </w:footnotePr>
  <w:endnotePr>
    <w:endnote w:id="0"/>
    <w:endnote w:id="1"/>
  </w:endnotePr>
  <w:compat/>
  <w:rsids>
    <w:rsidRoot w:val="001901EB"/>
    <w:rsid w:val="000509C8"/>
    <w:rsid w:val="0005248B"/>
    <w:rsid w:val="000932B7"/>
    <w:rsid w:val="000A0B0C"/>
    <w:rsid w:val="000C2495"/>
    <w:rsid w:val="00146D8C"/>
    <w:rsid w:val="001901EB"/>
    <w:rsid w:val="00215741"/>
    <w:rsid w:val="00244B8B"/>
    <w:rsid w:val="00253EEB"/>
    <w:rsid w:val="00281A72"/>
    <w:rsid w:val="00291B12"/>
    <w:rsid w:val="002A12C4"/>
    <w:rsid w:val="002E270A"/>
    <w:rsid w:val="002F7794"/>
    <w:rsid w:val="00381444"/>
    <w:rsid w:val="00421412"/>
    <w:rsid w:val="00490AE3"/>
    <w:rsid w:val="005D261C"/>
    <w:rsid w:val="006251ED"/>
    <w:rsid w:val="006B1117"/>
    <w:rsid w:val="006E78E7"/>
    <w:rsid w:val="00700E87"/>
    <w:rsid w:val="00703393"/>
    <w:rsid w:val="007173DF"/>
    <w:rsid w:val="0080742A"/>
    <w:rsid w:val="00887D15"/>
    <w:rsid w:val="00905BDA"/>
    <w:rsid w:val="00970788"/>
    <w:rsid w:val="00996415"/>
    <w:rsid w:val="009B37C9"/>
    <w:rsid w:val="00A01032"/>
    <w:rsid w:val="00A246C5"/>
    <w:rsid w:val="00A4163F"/>
    <w:rsid w:val="00B53F2B"/>
    <w:rsid w:val="00B71887"/>
    <w:rsid w:val="00C23B0F"/>
    <w:rsid w:val="00CB3DEF"/>
    <w:rsid w:val="00CD68BB"/>
    <w:rsid w:val="00CF36E7"/>
    <w:rsid w:val="00D22B94"/>
    <w:rsid w:val="00D557E7"/>
    <w:rsid w:val="00E24CAF"/>
    <w:rsid w:val="00E36255"/>
    <w:rsid w:val="00E83A65"/>
    <w:rsid w:val="00E850C0"/>
    <w:rsid w:val="00EE3385"/>
    <w:rsid w:val="00F2737D"/>
    <w:rsid w:val="00F31BBD"/>
    <w:rsid w:val="00F76F0D"/>
    <w:rsid w:val="00FA26B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01E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1901EB"/>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Emphasis"/>
    <w:basedOn w:val="a0"/>
    <w:qFormat/>
    <w:rsid w:val="001901EB"/>
    <w:rPr>
      <w:i/>
      <w:iCs/>
    </w:rPr>
  </w:style>
  <w:style w:type="paragraph" w:styleId="a5">
    <w:name w:val="List Paragraph"/>
    <w:basedOn w:val="a"/>
    <w:uiPriority w:val="34"/>
    <w:qFormat/>
    <w:rsid w:val="00887D15"/>
    <w:pPr>
      <w:ind w:left="720"/>
      <w:contextualSpacing/>
    </w:pPr>
  </w:style>
  <w:style w:type="paragraph" w:styleId="a6">
    <w:name w:val="header"/>
    <w:basedOn w:val="a"/>
    <w:link w:val="a7"/>
    <w:uiPriority w:val="99"/>
    <w:semiHidden/>
    <w:unhideWhenUsed/>
    <w:rsid w:val="006251ED"/>
    <w:pPr>
      <w:tabs>
        <w:tab w:val="center" w:pos="4677"/>
        <w:tab w:val="right" w:pos="9355"/>
      </w:tabs>
    </w:pPr>
  </w:style>
  <w:style w:type="character" w:customStyle="1" w:styleId="a7">
    <w:name w:val="Верхний колонтитул Знак"/>
    <w:basedOn w:val="a0"/>
    <w:link w:val="a6"/>
    <w:uiPriority w:val="99"/>
    <w:semiHidden/>
    <w:rsid w:val="006251ED"/>
    <w:rPr>
      <w:rFonts w:ascii="Times New Roman" w:eastAsia="Times New Roman" w:hAnsi="Times New Roman" w:cs="Times New Roman"/>
      <w:sz w:val="24"/>
      <w:szCs w:val="24"/>
      <w:lang w:eastAsia="ru-RU"/>
    </w:rPr>
  </w:style>
  <w:style w:type="paragraph" w:styleId="a8">
    <w:name w:val="footer"/>
    <w:basedOn w:val="a"/>
    <w:link w:val="a9"/>
    <w:uiPriority w:val="99"/>
    <w:semiHidden/>
    <w:unhideWhenUsed/>
    <w:rsid w:val="006251ED"/>
    <w:pPr>
      <w:tabs>
        <w:tab w:val="center" w:pos="4677"/>
        <w:tab w:val="right" w:pos="9355"/>
      </w:tabs>
    </w:pPr>
  </w:style>
  <w:style w:type="character" w:customStyle="1" w:styleId="a9">
    <w:name w:val="Нижний колонтитул Знак"/>
    <w:basedOn w:val="a0"/>
    <w:link w:val="a8"/>
    <w:uiPriority w:val="99"/>
    <w:semiHidden/>
    <w:rsid w:val="006251ED"/>
    <w:rPr>
      <w:rFonts w:ascii="Times New Roman" w:eastAsia="Times New Roman" w:hAnsi="Times New Roman" w:cs="Times New Roman"/>
      <w:sz w:val="24"/>
      <w:szCs w:val="24"/>
      <w:lang w:eastAsia="ru-RU"/>
    </w:rPr>
  </w:style>
  <w:style w:type="character" w:styleId="aa">
    <w:name w:val="Hyperlink"/>
    <w:basedOn w:val="a0"/>
    <w:uiPriority w:val="99"/>
    <w:unhideWhenUsed/>
    <w:rsid w:val="00F2737D"/>
    <w:rPr>
      <w:color w:val="0000FF" w:themeColor="hyperlink"/>
      <w:u w:val="single"/>
    </w:rPr>
  </w:style>
  <w:style w:type="character" w:customStyle="1" w:styleId="ab">
    <w:name w:val="a"/>
    <w:basedOn w:val="a0"/>
    <w:rsid w:val="00D22B94"/>
  </w:style>
  <w:style w:type="character" w:styleId="ac">
    <w:name w:val="Strong"/>
    <w:basedOn w:val="a0"/>
    <w:uiPriority w:val="22"/>
    <w:qFormat/>
    <w:rsid w:val="00E850C0"/>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A30E9F-C6A4-4E87-900C-5D48E083FE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593</TotalTime>
  <Pages>10</Pages>
  <Words>2856</Words>
  <Characters>16281</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19099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Mulina</dc:creator>
  <cp:lastModifiedBy>Mulina</cp:lastModifiedBy>
  <cp:revision>28</cp:revision>
  <dcterms:created xsi:type="dcterms:W3CDTF">2010-10-26T20:44:00Z</dcterms:created>
  <dcterms:modified xsi:type="dcterms:W3CDTF">2010-11-01T22:04:00Z</dcterms:modified>
</cp:coreProperties>
</file>