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6990" w:rsidRPr="00C241C1" w:rsidRDefault="00B76990" w:rsidP="00B76990">
      <w:pPr>
        <w:jc w:val="center"/>
        <w:rPr>
          <w:b/>
          <w:sz w:val="20"/>
          <w:szCs w:val="20"/>
          <w:lang w:val="uk-UA"/>
        </w:rPr>
      </w:pPr>
      <w:r w:rsidRPr="00C241C1">
        <w:rPr>
          <w:b/>
          <w:sz w:val="20"/>
          <w:szCs w:val="20"/>
          <w:lang w:val="uk-UA"/>
        </w:rPr>
        <w:t xml:space="preserve">ВМІСТ С-РЕАКТИВНОГО БІЛКА У ХВОРИХ </w:t>
      </w:r>
    </w:p>
    <w:p w:rsidR="00B76990" w:rsidRPr="00C241C1" w:rsidRDefault="00B76990" w:rsidP="00B76990">
      <w:pPr>
        <w:jc w:val="center"/>
        <w:rPr>
          <w:b/>
          <w:sz w:val="20"/>
          <w:szCs w:val="20"/>
          <w:lang w:val="uk-UA"/>
        </w:rPr>
      </w:pPr>
      <w:r w:rsidRPr="00C241C1">
        <w:rPr>
          <w:b/>
          <w:sz w:val="20"/>
          <w:szCs w:val="20"/>
          <w:lang w:val="uk-UA"/>
        </w:rPr>
        <w:t>НА НЕАЛКОГОЛЬНУ ЖИРОВУ ХВОРОБУ ПЕЧІНКИ</w:t>
      </w:r>
    </w:p>
    <w:p w:rsidR="00B76990" w:rsidRPr="00C241C1" w:rsidRDefault="00B76990" w:rsidP="00B76990">
      <w:pPr>
        <w:jc w:val="center"/>
        <w:rPr>
          <w:i/>
          <w:sz w:val="20"/>
          <w:szCs w:val="20"/>
          <w:lang w:val="uk-UA"/>
        </w:rPr>
      </w:pPr>
      <w:proofErr w:type="spellStart"/>
      <w:r w:rsidRPr="00C241C1">
        <w:rPr>
          <w:i/>
          <w:sz w:val="20"/>
          <w:szCs w:val="20"/>
          <w:lang w:val="uk-UA"/>
        </w:rPr>
        <w:t>Муренець</w:t>
      </w:r>
      <w:proofErr w:type="spellEnd"/>
      <w:r w:rsidRPr="00C241C1">
        <w:rPr>
          <w:i/>
          <w:sz w:val="20"/>
          <w:szCs w:val="20"/>
          <w:lang w:val="uk-UA"/>
        </w:rPr>
        <w:t xml:space="preserve"> Н.О.,</w:t>
      </w:r>
      <w:r>
        <w:rPr>
          <w:i/>
          <w:sz w:val="20"/>
          <w:szCs w:val="20"/>
          <w:lang w:val="uk-UA"/>
        </w:rPr>
        <w:t xml:space="preserve"> </w:t>
      </w:r>
      <w:r w:rsidRPr="00C241C1">
        <w:rPr>
          <w:i/>
          <w:sz w:val="20"/>
          <w:szCs w:val="20"/>
          <w:lang w:val="uk-UA"/>
        </w:rPr>
        <w:t>Орловський В.Ф.</w:t>
      </w:r>
    </w:p>
    <w:p w:rsidR="00B76990" w:rsidRPr="006A7A25" w:rsidRDefault="00B76990" w:rsidP="00B76990">
      <w:pPr>
        <w:pStyle w:val="3"/>
        <w:spacing w:after="0"/>
        <w:jc w:val="center"/>
        <w:rPr>
          <w:i/>
          <w:sz w:val="20"/>
          <w:szCs w:val="20"/>
          <w:lang w:val="uk-UA"/>
        </w:rPr>
      </w:pPr>
      <w:proofErr w:type="spellStart"/>
      <w:r w:rsidRPr="00F47A1C">
        <w:rPr>
          <w:i/>
          <w:sz w:val="20"/>
          <w:szCs w:val="20"/>
          <w:lang w:val="uk-UA"/>
        </w:rPr>
        <w:t>СумДУ</w:t>
      </w:r>
      <w:proofErr w:type="spellEnd"/>
      <w:r w:rsidRPr="00F47A1C">
        <w:rPr>
          <w:i/>
          <w:sz w:val="20"/>
          <w:szCs w:val="20"/>
          <w:lang w:val="uk-UA"/>
        </w:rPr>
        <w:t>, кафедра</w:t>
      </w:r>
      <w:r w:rsidRPr="006A7A25">
        <w:rPr>
          <w:i/>
          <w:sz w:val="20"/>
          <w:szCs w:val="20"/>
          <w:lang w:val="uk-UA"/>
        </w:rPr>
        <w:t xml:space="preserve"> внутрішньої медицини</w:t>
      </w:r>
      <w:r>
        <w:rPr>
          <w:i/>
          <w:sz w:val="20"/>
          <w:szCs w:val="20"/>
          <w:lang w:val="uk-UA"/>
        </w:rPr>
        <w:t xml:space="preserve"> післядипломної освіти з курсом пропедевтики</w:t>
      </w:r>
    </w:p>
    <w:p w:rsidR="00B76990" w:rsidRPr="00C241C1" w:rsidRDefault="00B76990" w:rsidP="00B76990">
      <w:pPr>
        <w:jc w:val="center"/>
        <w:rPr>
          <w:i/>
          <w:sz w:val="20"/>
          <w:szCs w:val="20"/>
          <w:lang w:val="uk-UA"/>
        </w:rPr>
      </w:pPr>
    </w:p>
    <w:p w:rsidR="00B76990" w:rsidRPr="00C241C1" w:rsidRDefault="00B76990" w:rsidP="00B76990">
      <w:pPr>
        <w:ind w:firstLine="454"/>
        <w:jc w:val="both"/>
        <w:rPr>
          <w:sz w:val="20"/>
          <w:szCs w:val="20"/>
          <w:lang w:val="uk-UA"/>
        </w:rPr>
      </w:pPr>
      <w:r w:rsidRPr="00C241C1">
        <w:rPr>
          <w:sz w:val="20"/>
          <w:szCs w:val="20"/>
          <w:lang w:val="uk-UA"/>
        </w:rPr>
        <w:t xml:space="preserve">Неалкогольна жирова хвороба печінки (НАЖХП) – самостійна нозологічна одиниця, якій притаманні 2 основні форми: </w:t>
      </w:r>
      <w:proofErr w:type="spellStart"/>
      <w:r w:rsidRPr="00C241C1">
        <w:rPr>
          <w:sz w:val="20"/>
          <w:szCs w:val="20"/>
          <w:lang w:val="uk-UA"/>
        </w:rPr>
        <w:t>стеатоз</w:t>
      </w:r>
      <w:proofErr w:type="spellEnd"/>
      <w:r w:rsidRPr="00C241C1">
        <w:rPr>
          <w:sz w:val="20"/>
          <w:szCs w:val="20"/>
          <w:lang w:val="uk-UA"/>
        </w:rPr>
        <w:t xml:space="preserve"> печінки та неалкогольний </w:t>
      </w:r>
      <w:proofErr w:type="spellStart"/>
      <w:r w:rsidRPr="00C241C1">
        <w:rPr>
          <w:sz w:val="20"/>
          <w:szCs w:val="20"/>
          <w:lang w:val="uk-UA"/>
        </w:rPr>
        <w:t>стеатогепатит</w:t>
      </w:r>
      <w:proofErr w:type="spellEnd"/>
      <w:r w:rsidRPr="00C241C1">
        <w:rPr>
          <w:sz w:val="20"/>
          <w:szCs w:val="20"/>
          <w:lang w:val="uk-UA"/>
        </w:rPr>
        <w:t xml:space="preserve"> (НАСГ).</w:t>
      </w:r>
    </w:p>
    <w:p w:rsidR="00B76990" w:rsidRPr="00C241C1" w:rsidRDefault="00B76990" w:rsidP="00B76990">
      <w:pPr>
        <w:ind w:firstLine="454"/>
        <w:jc w:val="both"/>
        <w:rPr>
          <w:sz w:val="20"/>
          <w:szCs w:val="20"/>
          <w:lang w:val="uk-UA"/>
        </w:rPr>
      </w:pPr>
      <w:r w:rsidRPr="00C241C1">
        <w:rPr>
          <w:b/>
          <w:sz w:val="20"/>
          <w:szCs w:val="20"/>
          <w:lang w:val="uk-UA"/>
        </w:rPr>
        <w:t>Мета:</w:t>
      </w:r>
      <w:r w:rsidRPr="00C241C1">
        <w:rPr>
          <w:sz w:val="20"/>
          <w:szCs w:val="20"/>
          <w:lang w:val="uk-UA"/>
        </w:rPr>
        <w:t xml:space="preserve"> визначити рівні маркеру системного запалення – С-реактивного білка (СРБ) в сироватці крові хворих на різних етапах НАЖХП в залежності від ІМТ.</w:t>
      </w:r>
    </w:p>
    <w:p w:rsidR="00B76990" w:rsidRPr="00C241C1" w:rsidRDefault="00B76990" w:rsidP="00B76990">
      <w:pPr>
        <w:ind w:firstLine="454"/>
        <w:jc w:val="both"/>
        <w:rPr>
          <w:sz w:val="20"/>
          <w:szCs w:val="20"/>
          <w:lang w:val="uk-UA"/>
        </w:rPr>
      </w:pPr>
      <w:r w:rsidRPr="00C241C1">
        <w:rPr>
          <w:b/>
          <w:sz w:val="20"/>
          <w:szCs w:val="20"/>
          <w:lang w:val="uk-UA"/>
        </w:rPr>
        <w:t>Матеріали і методи:</w:t>
      </w:r>
      <w:r w:rsidRPr="00C241C1">
        <w:rPr>
          <w:sz w:val="20"/>
          <w:szCs w:val="20"/>
          <w:lang w:val="uk-UA"/>
        </w:rPr>
        <w:t xml:space="preserve"> Обстежено 45 хворих на НАЖХП. І групу склали 23 хворих на </w:t>
      </w:r>
      <w:proofErr w:type="spellStart"/>
      <w:r w:rsidRPr="00C241C1">
        <w:rPr>
          <w:sz w:val="20"/>
          <w:szCs w:val="20"/>
          <w:lang w:val="uk-UA"/>
        </w:rPr>
        <w:t>стеатоз</w:t>
      </w:r>
      <w:proofErr w:type="spellEnd"/>
      <w:r w:rsidRPr="00C241C1">
        <w:rPr>
          <w:sz w:val="20"/>
          <w:szCs w:val="20"/>
          <w:lang w:val="uk-UA"/>
        </w:rPr>
        <w:t xml:space="preserve"> печінки, ІІ – 22 хворих на НАСГ. Контрольну групу склали 18 здорових осіб. Наявність </w:t>
      </w:r>
      <w:proofErr w:type="spellStart"/>
      <w:r w:rsidRPr="00C241C1">
        <w:rPr>
          <w:sz w:val="20"/>
          <w:szCs w:val="20"/>
          <w:lang w:val="uk-UA"/>
        </w:rPr>
        <w:t>стеатозу</w:t>
      </w:r>
      <w:proofErr w:type="spellEnd"/>
      <w:r w:rsidRPr="00C241C1">
        <w:rPr>
          <w:sz w:val="20"/>
          <w:szCs w:val="20"/>
          <w:lang w:val="uk-UA"/>
        </w:rPr>
        <w:t xml:space="preserve"> печінки визначали за даними УЗД. При підвищенні </w:t>
      </w:r>
      <w:proofErr w:type="spellStart"/>
      <w:r w:rsidRPr="00C241C1">
        <w:rPr>
          <w:sz w:val="20"/>
          <w:szCs w:val="20"/>
          <w:lang w:val="uk-UA"/>
        </w:rPr>
        <w:t>трансаміназ</w:t>
      </w:r>
      <w:proofErr w:type="spellEnd"/>
      <w:r w:rsidRPr="00C241C1">
        <w:rPr>
          <w:sz w:val="20"/>
          <w:szCs w:val="20"/>
          <w:lang w:val="uk-UA"/>
        </w:rPr>
        <w:t xml:space="preserve"> (не вище 3-х норм) діагностували НАСГ. Всі хворі не мали алкогольного анамнезу та маркерів гепатитів В та С. У хворих визначались біохімічні параметри крові, ліпідний профіль, рівень глюкози крові натщесерце та після навантаження, об’єм талії та АТ. Індекс маси тіла (ІМТ) оцінювали за рекомендаціями ВООЗ. СРБ визначали </w:t>
      </w:r>
      <w:proofErr w:type="spellStart"/>
      <w:r w:rsidRPr="00C241C1">
        <w:rPr>
          <w:sz w:val="20"/>
          <w:szCs w:val="20"/>
          <w:lang w:val="uk-UA"/>
        </w:rPr>
        <w:t>імунотурбодиметричним</w:t>
      </w:r>
      <w:proofErr w:type="spellEnd"/>
      <w:r w:rsidRPr="00C241C1">
        <w:rPr>
          <w:sz w:val="20"/>
          <w:szCs w:val="20"/>
          <w:lang w:val="uk-UA"/>
        </w:rPr>
        <w:t xml:space="preserve"> методом з використанням відповідних наборів за методикою виробника на початку лікування. Отримані дані обробляли методами варіаційної статистики з використанням критерію </w:t>
      </w:r>
      <w:proofErr w:type="spellStart"/>
      <w:r w:rsidRPr="00C241C1">
        <w:rPr>
          <w:sz w:val="20"/>
          <w:szCs w:val="20"/>
          <w:lang w:val="uk-UA"/>
        </w:rPr>
        <w:t>Ст’юдента</w:t>
      </w:r>
      <w:proofErr w:type="spellEnd"/>
      <w:r w:rsidRPr="00C241C1">
        <w:rPr>
          <w:sz w:val="20"/>
          <w:szCs w:val="20"/>
          <w:lang w:val="uk-UA"/>
        </w:rPr>
        <w:t>.</w:t>
      </w:r>
    </w:p>
    <w:p w:rsidR="00B76990" w:rsidRPr="00C241C1" w:rsidRDefault="00B76990" w:rsidP="00B76990">
      <w:pPr>
        <w:ind w:firstLine="454"/>
        <w:jc w:val="both"/>
        <w:rPr>
          <w:sz w:val="20"/>
          <w:szCs w:val="20"/>
          <w:lang w:val="uk-UA"/>
        </w:rPr>
      </w:pPr>
      <w:r w:rsidRPr="00C241C1">
        <w:rPr>
          <w:b/>
          <w:sz w:val="20"/>
          <w:szCs w:val="20"/>
          <w:lang w:val="uk-UA"/>
        </w:rPr>
        <w:t xml:space="preserve">Результати: </w:t>
      </w:r>
      <w:r w:rsidRPr="00C241C1">
        <w:rPr>
          <w:sz w:val="20"/>
          <w:szCs w:val="20"/>
          <w:lang w:val="uk-UA"/>
        </w:rPr>
        <w:t xml:space="preserve">Рівень сироваткового СРБ був значно вище у хворих ІІ групи ніж в групі контролю (7,2 ± 0,51 мг/л; 2,3 ± 0,29 мг/л; р &lt; 0,01). Тоді як в І групі не спостерігали підвищення цього показника (3,2 ± 0,36) мг/л. Показник ІМТ у пацієнтів на </w:t>
      </w:r>
      <w:proofErr w:type="spellStart"/>
      <w:r w:rsidRPr="00C241C1">
        <w:rPr>
          <w:sz w:val="20"/>
          <w:szCs w:val="20"/>
          <w:lang w:val="uk-UA"/>
        </w:rPr>
        <w:t>стеатоз</w:t>
      </w:r>
      <w:proofErr w:type="spellEnd"/>
      <w:r w:rsidRPr="00C241C1">
        <w:rPr>
          <w:sz w:val="20"/>
          <w:szCs w:val="20"/>
          <w:lang w:val="uk-UA"/>
        </w:rPr>
        <w:t xml:space="preserve"> та НАСГ склав (27,3 ± 0,23) та (30,0 ± 0,37) кг/м</w:t>
      </w:r>
      <w:r w:rsidRPr="00C241C1">
        <w:rPr>
          <w:sz w:val="20"/>
          <w:szCs w:val="20"/>
          <w:vertAlign w:val="superscript"/>
          <w:lang w:val="uk-UA"/>
        </w:rPr>
        <w:t>2</w:t>
      </w:r>
      <w:r w:rsidRPr="00C241C1">
        <w:rPr>
          <w:sz w:val="20"/>
          <w:szCs w:val="20"/>
          <w:lang w:val="uk-UA"/>
        </w:rPr>
        <w:t xml:space="preserve"> відповідно. Виявлена пряма кореляційна залежність між ІМТ та СРБ в обох групах. Однак, у пацієнтів ІІ групи – це тісна пряма кореляційна залежність (</w:t>
      </w:r>
      <w:r w:rsidRPr="00C241C1">
        <w:rPr>
          <w:sz w:val="20"/>
          <w:szCs w:val="20"/>
          <w:lang w:val="en-US"/>
        </w:rPr>
        <w:t>r</w:t>
      </w:r>
      <w:r w:rsidRPr="00C241C1">
        <w:rPr>
          <w:sz w:val="20"/>
          <w:szCs w:val="20"/>
          <w:lang w:val="uk-UA"/>
        </w:rPr>
        <w:t>=0,73), тоді як в І групі – помірна (</w:t>
      </w:r>
      <w:r w:rsidRPr="00C241C1">
        <w:rPr>
          <w:sz w:val="20"/>
          <w:szCs w:val="20"/>
          <w:lang w:val="en-US"/>
        </w:rPr>
        <w:t>r</w:t>
      </w:r>
      <w:r w:rsidRPr="00C241C1">
        <w:rPr>
          <w:sz w:val="20"/>
          <w:szCs w:val="20"/>
          <w:lang w:val="uk-UA"/>
        </w:rPr>
        <w:t xml:space="preserve">=0,42). </w:t>
      </w:r>
    </w:p>
    <w:p w:rsidR="00B76990" w:rsidRPr="00C241C1" w:rsidRDefault="00B76990" w:rsidP="00B76990">
      <w:pPr>
        <w:ind w:firstLine="454"/>
        <w:jc w:val="both"/>
        <w:rPr>
          <w:sz w:val="20"/>
          <w:szCs w:val="20"/>
          <w:lang w:val="uk-UA"/>
        </w:rPr>
      </w:pPr>
      <w:r w:rsidRPr="00C241C1">
        <w:rPr>
          <w:b/>
          <w:sz w:val="20"/>
          <w:szCs w:val="20"/>
          <w:lang w:val="uk-UA"/>
        </w:rPr>
        <w:t>Висновки:</w:t>
      </w:r>
      <w:r w:rsidRPr="00C241C1">
        <w:rPr>
          <w:sz w:val="20"/>
          <w:szCs w:val="20"/>
          <w:lang w:val="uk-UA"/>
        </w:rPr>
        <w:t xml:space="preserve"> Встановлено значне підвищення СРБ у хворих на НАСГ в порівнянні із хворими на </w:t>
      </w:r>
      <w:proofErr w:type="spellStart"/>
      <w:r w:rsidRPr="00C241C1">
        <w:rPr>
          <w:sz w:val="20"/>
          <w:szCs w:val="20"/>
          <w:lang w:val="uk-UA"/>
        </w:rPr>
        <w:t>стеатоз</w:t>
      </w:r>
      <w:proofErr w:type="spellEnd"/>
      <w:r w:rsidRPr="00C241C1">
        <w:rPr>
          <w:sz w:val="20"/>
          <w:szCs w:val="20"/>
          <w:lang w:val="uk-UA"/>
        </w:rPr>
        <w:t xml:space="preserve"> печінки та здоровими особами. Це свідчить про наявність системного запалення у хворих на НАСГ. Встановлено прямий кореляційний зв’язок між ІМТ та СРБ, що підтверджує участь жирової тканини в системному запаленні. СРБ може бути використаний, як один із маркерів прогресування НАЖХП. </w:t>
      </w:r>
    </w:p>
    <w:p w:rsidR="00B76990" w:rsidRDefault="00B76990" w:rsidP="00B76990">
      <w:pPr>
        <w:rPr>
          <w:sz w:val="20"/>
          <w:szCs w:val="20"/>
          <w:lang w:val="uk-UA"/>
        </w:rPr>
      </w:pPr>
    </w:p>
    <w:p w:rsidR="00EE4145" w:rsidRPr="00B76990" w:rsidRDefault="00EE4145" w:rsidP="00B76990">
      <w:pPr>
        <w:rPr>
          <w:lang w:val="uk-UA"/>
        </w:rPr>
      </w:pPr>
    </w:p>
    <w:sectPr w:rsidR="00EE4145" w:rsidRPr="00B76990" w:rsidSect="00DB014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2D1D6A"/>
    <w:multiLevelType w:val="hybridMultilevel"/>
    <w:tmpl w:val="A726D4B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D6FAB16A">
      <w:start w:val="1"/>
      <w:numFmt w:val="bullet"/>
      <w:lvlText w:val="-"/>
      <w:lvlJc w:val="left"/>
      <w:pPr>
        <w:tabs>
          <w:tab w:val="num" w:pos="680"/>
        </w:tabs>
        <w:ind w:left="680" w:hanging="113"/>
      </w:pPr>
      <w:rPr>
        <w:rFonts w:ascii="Times New Roman" w:eastAsia="Times New Roman" w:hAnsi="Times New Roman" w:cs="Times New Roman"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4925691"/>
    <w:multiLevelType w:val="hybridMultilevel"/>
    <w:tmpl w:val="1F623AA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3820D6C">
      <w:start w:val="1"/>
      <w:numFmt w:val="bullet"/>
      <w:lvlText w:val="-"/>
      <w:lvlJc w:val="left"/>
      <w:pPr>
        <w:tabs>
          <w:tab w:val="num" w:pos="680"/>
        </w:tabs>
        <w:ind w:left="680" w:hanging="226"/>
      </w:pPr>
      <w:rPr>
        <w:rFonts w:ascii="Times New Roman" w:eastAsia="Times New Roman" w:hAnsi="Times New Roman" w:cs="Times New Roman"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679E4"/>
    <w:rsid w:val="0017159A"/>
    <w:rsid w:val="00180565"/>
    <w:rsid w:val="001A7FF1"/>
    <w:rsid w:val="001E6EA3"/>
    <w:rsid w:val="0020515A"/>
    <w:rsid w:val="00262502"/>
    <w:rsid w:val="0029081D"/>
    <w:rsid w:val="003D4E04"/>
    <w:rsid w:val="00514709"/>
    <w:rsid w:val="00655F31"/>
    <w:rsid w:val="009B7879"/>
    <w:rsid w:val="00A6779B"/>
    <w:rsid w:val="00B679E4"/>
    <w:rsid w:val="00B76990"/>
    <w:rsid w:val="00CE201C"/>
    <w:rsid w:val="00CF526D"/>
    <w:rsid w:val="00D43708"/>
    <w:rsid w:val="00D90104"/>
    <w:rsid w:val="00DB014F"/>
    <w:rsid w:val="00DC49E1"/>
    <w:rsid w:val="00DE54A9"/>
    <w:rsid w:val="00EE4145"/>
    <w:rsid w:val="00F72079"/>
    <w:rsid w:val="00FC77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679E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1">
    <w:name w:val="heading 1"/>
    <w:basedOn w:val="a"/>
    <w:next w:val="a"/>
    <w:link w:val="10"/>
    <w:qFormat/>
    <w:rsid w:val="00A6779B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5">
    <w:name w:val="heading 5"/>
    <w:basedOn w:val="a"/>
    <w:next w:val="a"/>
    <w:link w:val="50"/>
    <w:qFormat/>
    <w:rsid w:val="00CF526D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50">
    <w:name w:val="Заголовок 5 Знак"/>
    <w:basedOn w:val="a0"/>
    <w:link w:val="5"/>
    <w:rsid w:val="00CF526D"/>
    <w:rPr>
      <w:rFonts w:ascii="Times New Roman" w:eastAsia="Times New Roman" w:hAnsi="Times New Roman" w:cs="Times New Roman"/>
      <w:b/>
      <w:bCs/>
      <w:i/>
      <w:iCs/>
      <w:sz w:val="26"/>
      <w:szCs w:val="26"/>
      <w:lang w:val="ru-RU" w:eastAsia="ru-RU"/>
    </w:rPr>
  </w:style>
  <w:style w:type="character" w:customStyle="1" w:styleId="10">
    <w:name w:val="Заголовок 1 Знак"/>
    <w:basedOn w:val="a0"/>
    <w:link w:val="1"/>
    <w:rsid w:val="00A6779B"/>
    <w:rPr>
      <w:rFonts w:ascii="Arial" w:eastAsia="Times New Roman" w:hAnsi="Arial" w:cs="Arial"/>
      <w:b/>
      <w:bCs/>
      <w:kern w:val="32"/>
      <w:sz w:val="32"/>
      <w:szCs w:val="32"/>
      <w:lang w:val="ru-RU" w:eastAsia="ru-RU"/>
    </w:rPr>
  </w:style>
  <w:style w:type="paragraph" w:styleId="a3">
    <w:name w:val="Body Text"/>
    <w:basedOn w:val="a"/>
    <w:link w:val="a4"/>
    <w:rsid w:val="00514709"/>
    <w:pPr>
      <w:jc w:val="center"/>
    </w:pPr>
    <w:rPr>
      <w:b/>
      <w:bCs/>
      <w:sz w:val="20"/>
    </w:rPr>
  </w:style>
  <w:style w:type="character" w:customStyle="1" w:styleId="a4">
    <w:name w:val="Основной текст Знак"/>
    <w:basedOn w:val="a0"/>
    <w:link w:val="a3"/>
    <w:rsid w:val="00514709"/>
    <w:rPr>
      <w:rFonts w:ascii="Times New Roman" w:eastAsia="Times New Roman" w:hAnsi="Times New Roman" w:cs="Times New Roman"/>
      <w:b/>
      <w:bCs/>
      <w:sz w:val="20"/>
      <w:szCs w:val="24"/>
      <w:lang w:val="ru-RU" w:eastAsia="ru-RU"/>
    </w:rPr>
  </w:style>
  <w:style w:type="paragraph" w:styleId="3">
    <w:name w:val="Body Text 3"/>
    <w:basedOn w:val="a"/>
    <w:link w:val="30"/>
    <w:rsid w:val="00180565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rsid w:val="00180565"/>
    <w:rPr>
      <w:rFonts w:ascii="Times New Roman" w:eastAsia="Times New Roman" w:hAnsi="Times New Roman" w:cs="Times New Roman"/>
      <w:sz w:val="16"/>
      <w:szCs w:val="16"/>
      <w:lang w:val="ru-RU" w:eastAsia="ru-RU"/>
    </w:rPr>
  </w:style>
  <w:style w:type="paragraph" w:styleId="a5">
    <w:name w:val="Normal (Web)"/>
    <w:basedOn w:val="a"/>
    <w:rsid w:val="00180565"/>
    <w:pPr>
      <w:spacing w:before="100" w:beforeAutospacing="1" w:after="100" w:afterAutospacing="1"/>
    </w:pPr>
  </w:style>
  <w:style w:type="paragraph" w:styleId="2">
    <w:name w:val="Body Text 2"/>
    <w:basedOn w:val="a"/>
    <w:link w:val="20"/>
    <w:rsid w:val="00180565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rsid w:val="00180565"/>
    <w:rPr>
      <w:rFonts w:ascii="Times New Roman" w:eastAsia="Times New Roman" w:hAnsi="Times New Roman" w:cs="Times New Roman"/>
      <w:sz w:val="24"/>
      <w:szCs w:val="24"/>
      <w:lang w:val="ru-RU"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1368</Words>
  <Characters>781</Characters>
  <Application>Microsoft Office Word</Application>
  <DocSecurity>0</DocSecurity>
  <Lines>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libstud3</dc:creator>
  <cp:lastModifiedBy>libstud3</cp:lastModifiedBy>
  <cp:revision>2</cp:revision>
  <dcterms:created xsi:type="dcterms:W3CDTF">2011-04-01T11:53:00Z</dcterms:created>
  <dcterms:modified xsi:type="dcterms:W3CDTF">2011-04-01T11:53:00Z</dcterms:modified>
</cp:coreProperties>
</file>