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0CD" w:rsidRDefault="003960CD" w:rsidP="003960CD">
      <w:pPr>
        <w:pStyle w:val="21"/>
        <w:jc w:val="center"/>
        <w:rPr>
          <w:b/>
          <w:sz w:val="20"/>
        </w:rPr>
      </w:pPr>
      <w:r>
        <w:rPr>
          <w:b/>
          <w:sz w:val="20"/>
        </w:rPr>
        <w:t>СРАВНИТЕЛЬНАЯ ХАРАКТЕРИСТИКА СОВРЕМЕННЫХ АНТАЦИДНЫХ СРЕДСТВ В ЛЕЧЕНИИ ЯЗВЕННОЙ БОЛЕЗНИ ДВЕНАДЦАТИПЕРСТНОЙ КИШКИ</w:t>
      </w:r>
    </w:p>
    <w:p w:rsidR="003960CD" w:rsidRDefault="003960CD" w:rsidP="003960CD">
      <w:pPr>
        <w:jc w:val="center"/>
        <w:rPr>
          <w:b/>
          <w:i/>
          <w:sz w:val="20"/>
        </w:rPr>
      </w:pPr>
      <w:proofErr w:type="spellStart"/>
      <w:r>
        <w:rPr>
          <w:b/>
          <w:i/>
          <w:sz w:val="20"/>
        </w:rPr>
        <w:t>Штукин</w:t>
      </w:r>
      <w:proofErr w:type="spellEnd"/>
      <w:r>
        <w:rPr>
          <w:b/>
          <w:i/>
          <w:sz w:val="20"/>
        </w:rPr>
        <w:t xml:space="preserve"> С.Н., врач-интерн</w:t>
      </w:r>
    </w:p>
    <w:p w:rsidR="003960CD" w:rsidRDefault="003960CD" w:rsidP="003960CD">
      <w:pPr>
        <w:jc w:val="center"/>
        <w:rPr>
          <w:b/>
          <w:i/>
          <w:sz w:val="20"/>
        </w:rPr>
      </w:pPr>
      <w:r>
        <w:rPr>
          <w:b/>
          <w:i/>
          <w:sz w:val="20"/>
        </w:rPr>
        <w:t>Научный руководитель – доц. Лаба В.В.</w:t>
      </w:r>
    </w:p>
    <w:p w:rsidR="003960CD" w:rsidRDefault="003960CD" w:rsidP="003960CD">
      <w:pPr>
        <w:jc w:val="center"/>
        <w:rPr>
          <w:b/>
          <w:i/>
          <w:sz w:val="20"/>
        </w:rPr>
      </w:pPr>
      <w:r>
        <w:rPr>
          <w:b/>
          <w:i/>
          <w:sz w:val="20"/>
        </w:rPr>
        <w:t>Сумский государственный университет, кафедра терапии</w:t>
      </w:r>
    </w:p>
    <w:p w:rsidR="003960CD" w:rsidRDefault="003960CD" w:rsidP="003960CD">
      <w:pPr>
        <w:pStyle w:val="31"/>
        <w:jc w:val="both"/>
        <w:rPr>
          <w:b/>
          <w:sz w:val="20"/>
        </w:rPr>
      </w:pPr>
      <w:r>
        <w:rPr>
          <w:b/>
          <w:sz w:val="20"/>
        </w:rPr>
        <w:t xml:space="preserve">   </w:t>
      </w:r>
      <w:r>
        <w:rPr>
          <w:b/>
          <w:sz w:val="20"/>
        </w:rPr>
        <w:tab/>
        <w:t xml:space="preserve">Цель работы. Сравнительное изучение клинической эффективности нового </w:t>
      </w:r>
      <w:proofErr w:type="spellStart"/>
      <w:r>
        <w:rPr>
          <w:b/>
          <w:sz w:val="20"/>
        </w:rPr>
        <w:t>антацидного</w:t>
      </w:r>
      <w:proofErr w:type="spellEnd"/>
      <w:r>
        <w:rPr>
          <w:b/>
          <w:sz w:val="20"/>
        </w:rPr>
        <w:t xml:space="preserve"> препарата </w:t>
      </w:r>
      <w:proofErr w:type="spellStart"/>
      <w:r>
        <w:rPr>
          <w:b/>
          <w:sz w:val="20"/>
        </w:rPr>
        <w:t>альмагель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нео</w:t>
      </w:r>
      <w:proofErr w:type="spellEnd"/>
      <w:r>
        <w:rPr>
          <w:b/>
          <w:sz w:val="20"/>
        </w:rPr>
        <w:t xml:space="preserve"> и традиционного </w:t>
      </w:r>
      <w:proofErr w:type="spellStart"/>
      <w:r>
        <w:rPr>
          <w:b/>
          <w:sz w:val="20"/>
        </w:rPr>
        <w:t>альмагеля</w:t>
      </w:r>
      <w:proofErr w:type="spellEnd"/>
      <w:r>
        <w:rPr>
          <w:b/>
          <w:sz w:val="20"/>
        </w:rPr>
        <w:t xml:space="preserve"> у больных язвенной болезнью </w:t>
      </w:r>
      <w:proofErr w:type="spellStart"/>
      <w:r>
        <w:rPr>
          <w:b/>
          <w:sz w:val="20"/>
        </w:rPr>
        <w:t>двенадцатитперстной</w:t>
      </w:r>
      <w:proofErr w:type="spellEnd"/>
      <w:r>
        <w:rPr>
          <w:b/>
          <w:sz w:val="20"/>
        </w:rPr>
        <w:t xml:space="preserve"> кишки (ЯБДПК) в стадии обострения на фоне ко</w:t>
      </w:r>
      <w:r>
        <w:rPr>
          <w:b/>
          <w:sz w:val="20"/>
        </w:rPr>
        <w:t>м</w:t>
      </w:r>
      <w:r>
        <w:rPr>
          <w:b/>
          <w:sz w:val="20"/>
        </w:rPr>
        <w:t>плексной терапии.</w:t>
      </w:r>
    </w:p>
    <w:p w:rsidR="003960CD" w:rsidRDefault="003960CD" w:rsidP="003960CD">
      <w:pPr>
        <w:ind w:right="27"/>
        <w:jc w:val="both"/>
        <w:rPr>
          <w:sz w:val="20"/>
        </w:rPr>
      </w:pPr>
      <w:r>
        <w:rPr>
          <w:sz w:val="20"/>
        </w:rPr>
        <w:t xml:space="preserve">   </w:t>
      </w:r>
      <w:r>
        <w:rPr>
          <w:sz w:val="20"/>
        </w:rPr>
        <w:tab/>
        <w:t>Материалы и методы исследования. В первую группу вошли 50 бол</w:t>
      </w:r>
      <w:r>
        <w:rPr>
          <w:sz w:val="20"/>
        </w:rPr>
        <w:t>ь</w:t>
      </w:r>
      <w:r>
        <w:rPr>
          <w:sz w:val="20"/>
        </w:rPr>
        <w:t xml:space="preserve">ных получавших </w:t>
      </w:r>
      <w:proofErr w:type="spellStart"/>
      <w:r>
        <w:rPr>
          <w:sz w:val="20"/>
        </w:rPr>
        <w:t>альмагель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нео</w:t>
      </w:r>
      <w:proofErr w:type="spellEnd"/>
      <w:r>
        <w:rPr>
          <w:sz w:val="20"/>
        </w:rPr>
        <w:t>, во вторую группу 50 пациентов принима</w:t>
      </w:r>
      <w:r>
        <w:rPr>
          <w:sz w:val="20"/>
        </w:rPr>
        <w:t>в</w:t>
      </w:r>
      <w:r>
        <w:rPr>
          <w:sz w:val="20"/>
        </w:rPr>
        <w:t xml:space="preserve">ших </w:t>
      </w:r>
      <w:proofErr w:type="spellStart"/>
      <w:r>
        <w:rPr>
          <w:sz w:val="20"/>
        </w:rPr>
        <w:t>альмагель</w:t>
      </w:r>
      <w:proofErr w:type="spellEnd"/>
      <w:r>
        <w:rPr>
          <w:sz w:val="20"/>
        </w:rPr>
        <w:t xml:space="preserve">. Все больные принимали стандартную комплексную </w:t>
      </w:r>
      <w:proofErr w:type="spellStart"/>
      <w:r>
        <w:rPr>
          <w:sz w:val="20"/>
        </w:rPr>
        <w:t>против</w:t>
      </w:r>
      <w:r>
        <w:rPr>
          <w:sz w:val="20"/>
        </w:rPr>
        <w:t>о</w:t>
      </w:r>
      <w:r>
        <w:rPr>
          <w:sz w:val="20"/>
        </w:rPr>
        <w:t>язвенную</w:t>
      </w:r>
      <w:proofErr w:type="spellEnd"/>
      <w:r>
        <w:rPr>
          <w:sz w:val="20"/>
        </w:rPr>
        <w:t xml:space="preserve"> терапию. Больные были с </w:t>
      </w:r>
      <w:proofErr w:type="spellStart"/>
      <w:r>
        <w:rPr>
          <w:sz w:val="20"/>
        </w:rPr>
        <w:t>эндоскопически</w:t>
      </w:r>
      <w:proofErr w:type="spellEnd"/>
      <w:r>
        <w:rPr>
          <w:sz w:val="20"/>
        </w:rPr>
        <w:t xml:space="preserve"> доказанной активной язвой (ДПК) размером  более 5мм в диаметре. Эффективность этих препар</w:t>
      </w:r>
      <w:r>
        <w:rPr>
          <w:sz w:val="20"/>
        </w:rPr>
        <w:t>а</w:t>
      </w:r>
      <w:r>
        <w:rPr>
          <w:sz w:val="20"/>
        </w:rPr>
        <w:t xml:space="preserve">тов оценивали на основании изменений следующих параметров: динамики клинических симптомов (боли, изжоги, запора, метеоризма), влияние на </w:t>
      </w:r>
      <w:proofErr w:type="spellStart"/>
      <w:r>
        <w:rPr>
          <w:sz w:val="20"/>
        </w:rPr>
        <w:t>эп</w:t>
      </w:r>
      <w:r>
        <w:rPr>
          <w:sz w:val="20"/>
        </w:rPr>
        <w:t>и</w:t>
      </w:r>
      <w:r>
        <w:rPr>
          <w:sz w:val="20"/>
        </w:rPr>
        <w:t>тализации</w:t>
      </w:r>
      <w:proofErr w:type="spellEnd"/>
      <w:r>
        <w:rPr>
          <w:sz w:val="20"/>
        </w:rPr>
        <w:t xml:space="preserve"> язвенного дефекта в ДПК.</w:t>
      </w:r>
    </w:p>
    <w:p w:rsidR="003960CD" w:rsidRDefault="003960CD" w:rsidP="003960CD">
      <w:pPr>
        <w:jc w:val="both"/>
        <w:rPr>
          <w:sz w:val="20"/>
        </w:rPr>
      </w:pPr>
      <w:r>
        <w:rPr>
          <w:color w:val="808000"/>
          <w:sz w:val="20"/>
        </w:rPr>
        <w:t xml:space="preserve">   </w:t>
      </w:r>
      <w:r>
        <w:rPr>
          <w:color w:val="808000"/>
          <w:sz w:val="20"/>
        </w:rPr>
        <w:tab/>
      </w:r>
      <w:r>
        <w:rPr>
          <w:sz w:val="20"/>
        </w:rPr>
        <w:t>Результаты исследования. В первой группе как субъективно, так  и на основании клинико-эндоскопических критериев получены у 12% более дост</w:t>
      </w:r>
      <w:r>
        <w:rPr>
          <w:sz w:val="20"/>
        </w:rPr>
        <w:t>о</w:t>
      </w:r>
      <w:r>
        <w:rPr>
          <w:sz w:val="20"/>
        </w:rPr>
        <w:t>верные результаты положительной динамики в сравнении со второй гру</w:t>
      </w:r>
      <w:r>
        <w:rPr>
          <w:sz w:val="20"/>
        </w:rPr>
        <w:t>п</w:t>
      </w:r>
      <w:r>
        <w:rPr>
          <w:sz w:val="20"/>
        </w:rPr>
        <w:t>пой.</w:t>
      </w:r>
    </w:p>
    <w:p w:rsidR="003960CD" w:rsidRDefault="003960CD" w:rsidP="003960CD">
      <w:pPr>
        <w:tabs>
          <w:tab w:val="left" w:pos="7740"/>
          <w:tab w:val="left" w:pos="7866"/>
        </w:tabs>
        <w:ind w:right="486"/>
        <w:jc w:val="both"/>
        <w:rPr>
          <w:sz w:val="20"/>
        </w:rPr>
      </w:pPr>
      <w:r>
        <w:rPr>
          <w:sz w:val="20"/>
        </w:rPr>
        <w:t xml:space="preserve">       Вывод. Препарат </w:t>
      </w:r>
      <w:proofErr w:type="spellStart"/>
      <w:r>
        <w:rPr>
          <w:sz w:val="20"/>
        </w:rPr>
        <w:t>альмагель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нео</w:t>
      </w:r>
      <w:proofErr w:type="spellEnd"/>
      <w:r>
        <w:rPr>
          <w:sz w:val="20"/>
        </w:rPr>
        <w:t xml:space="preserve"> имеет преимущества перед </w:t>
      </w:r>
      <w:proofErr w:type="gramStart"/>
      <w:r>
        <w:rPr>
          <w:sz w:val="20"/>
        </w:rPr>
        <w:t>трад</w:t>
      </w:r>
      <w:r>
        <w:rPr>
          <w:sz w:val="20"/>
        </w:rPr>
        <w:t>и</w:t>
      </w:r>
      <w:r>
        <w:rPr>
          <w:sz w:val="20"/>
        </w:rPr>
        <w:t>ционным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альмагелем</w:t>
      </w:r>
      <w:proofErr w:type="spellEnd"/>
      <w:r>
        <w:rPr>
          <w:sz w:val="20"/>
        </w:rPr>
        <w:t xml:space="preserve"> в комплексном лечении ЯБДПК.</w:t>
      </w:r>
    </w:p>
    <w:p w:rsidR="0009609B" w:rsidRPr="003960CD" w:rsidRDefault="0009609B" w:rsidP="003960CD"/>
    <w:sectPr w:rsidR="0009609B" w:rsidRPr="003960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F2397"/>
    <w:rsid w:val="0009609B"/>
    <w:rsid w:val="001223D2"/>
    <w:rsid w:val="003960CD"/>
    <w:rsid w:val="00545731"/>
    <w:rsid w:val="008F2397"/>
    <w:rsid w:val="00AB4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223D2"/>
    <w:pPr>
      <w:keepNext/>
      <w:spacing w:after="0" w:line="240" w:lineRule="auto"/>
      <w:outlineLvl w:val="0"/>
    </w:pPr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semiHidden/>
    <w:rsid w:val="008F2397"/>
    <w:pPr>
      <w:widowControl w:val="0"/>
      <w:spacing w:after="0" w:line="240" w:lineRule="auto"/>
      <w:ind w:left="284"/>
    </w:pPr>
    <w:rPr>
      <w:rFonts w:ascii="Times New Roman" w:eastAsia="Times New Roman" w:hAnsi="Times New Roman" w:cs="Times New Roman"/>
      <w:sz w:val="24"/>
      <w:szCs w:val="20"/>
      <w:lang w:eastAsia="uk-UA"/>
    </w:rPr>
  </w:style>
  <w:style w:type="character" w:customStyle="1" w:styleId="30">
    <w:name w:val="Основной текст с отступом 3 Знак"/>
    <w:basedOn w:val="a0"/>
    <w:link w:val="3"/>
    <w:semiHidden/>
    <w:rsid w:val="008F2397"/>
    <w:rPr>
      <w:rFonts w:ascii="Times New Roman" w:eastAsia="Times New Roman" w:hAnsi="Times New Roman" w:cs="Times New Roman"/>
      <w:sz w:val="24"/>
      <w:szCs w:val="20"/>
      <w:lang w:eastAsia="uk-UA"/>
    </w:rPr>
  </w:style>
  <w:style w:type="paragraph" w:styleId="a3">
    <w:name w:val="Block Text"/>
    <w:basedOn w:val="a"/>
    <w:semiHidden/>
    <w:rsid w:val="008F2397"/>
    <w:pPr>
      <w:widowControl w:val="0"/>
      <w:spacing w:after="0" w:line="240" w:lineRule="auto"/>
      <w:ind w:left="348" w:right="-492"/>
    </w:pPr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customStyle="1" w:styleId="10">
    <w:name w:val="Заголовок 1 Знак"/>
    <w:basedOn w:val="a0"/>
    <w:link w:val="1"/>
    <w:rsid w:val="001223D2"/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2">
    <w:name w:val="Body Text Indent 2"/>
    <w:basedOn w:val="a"/>
    <w:link w:val="20"/>
    <w:uiPriority w:val="99"/>
    <w:semiHidden/>
    <w:unhideWhenUsed/>
    <w:rsid w:val="0054573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545731"/>
  </w:style>
  <w:style w:type="paragraph" w:styleId="21">
    <w:name w:val="Body Text 2"/>
    <w:basedOn w:val="a"/>
    <w:link w:val="22"/>
    <w:uiPriority w:val="99"/>
    <w:semiHidden/>
    <w:unhideWhenUsed/>
    <w:rsid w:val="00AB4CC4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AB4CC4"/>
  </w:style>
  <w:style w:type="paragraph" w:styleId="31">
    <w:name w:val="Body Text 3"/>
    <w:basedOn w:val="a"/>
    <w:link w:val="32"/>
    <w:uiPriority w:val="99"/>
    <w:semiHidden/>
    <w:unhideWhenUsed/>
    <w:rsid w:val="003960CD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3960CD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1123</Characters>
  <Application>Microsoft Office Word</Application>
  <DocSecurity>0</DocSecurity>
  <Lines>9</Lines>
  <Paragraphs>2</Paragraphs>
  <ScaleCrop>false</ScaleCrop>
  <Company>library</Company>
  <LinksUpToDate>false</LinksUpToDate>
  <CharactersWithSpaces>1317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2011-05-19T11:39:00Z</dcterms:created>
  <dcterms:modified xsi:type="dcterms:W3CDTF">2011-05-19T11:39:00Z</dcterms:modified>
</cp:coreProperties>
</file>