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5E5F" w:rsidRPr="00975E5F" w:rsidRDefault="00975E5F" w:rsidP="00975E5F">
      <w:pPr>
        <w:spacing w:after="0" w:line="240" w:lineRule="auto"/>
        <w:rPr>
          <w:rFonts w:ascii="SchoolBook" w:eastAsia="Times New Roman" w:hAnsi="SchoolBook" w:cs="Times New Roman"/>
          <w:sz w:val="28"/>
          <w:szCs w:val="28"/>
        </w:rPr>
      </w:pPr>
    </w:p>
    <w:p w:rsidR="00975E5F" w:rsidRPr="00975E5F" w:rsidRDefault="00975E5F" w:rsidP="00975E5F">
      <w:pPr>
        <w:spacing w:after="0" w:line="240" w:lineRule="auto"/>
        <w:rPr>
          <w:rFonts w:ascii="SchoolBook" w:eastAsia="Times New Roman" w:hAnsi="SchoolBook" w:cs="Times New Roman"/>
          <w:noProof/>
          <w:sz w:val="28"/>
          <w:szCs w:val="28"/>
        </w:rPr>
      </w:pPr>
      <w:r w:rsidRPr="00975E5F">
        <w:rPr>
          <w:rFonts w:ascii="SchoolBook" w:eastAsia="Times New Roman" w:hAnsi="SchoolBook" w:cs="Times New Roman"/>
          <w:sz w:val="28"/>
          <w:szCs w:val="28"/>
        </w:rPr>
        <w:t>УДК</w:t>
      </w:r>
      <w:r w:rsidRPr="00975E5F">
        <w:rPr>
          <w:rFonts w:ascii="SchoolBook" w:eastAsia="Times New Roman" w:hAnsi="SchoolBook" w:cs="Times New Roman"/>
          <w:noProof/>
          <w:sz w:val="28"/>
          <w:szCs w:val="28"/>
        </w:rPr>
        <w:t xml:space="preserve"> 338.242.2:65.012.123</w:t>
      </w:r>
    </w:p>
    <w:p w:rsidR="00975E5F" w:rsidRPr="00975E5F" w:rsidRDefault="00975E5F" w:rsidP="00975E5F">
      <w:pPr>
        <w:widowControl w:val="0"/>
        <w:spacing w:after="0" w:line="240" w:lineRule="auto"/>
        <w:ind w:firstLine="284"/>
        <w:rPr>
          <w:rFonts w:ascii="SchoolBook" w:eastAsia="Times New Roman" w:hAnsi="SchoolBook" w:cs="Times New Roman"/>
          <w:caps/>
          <w:sz w:val="28"/>
          <w:szCs w:val="28"/>
        </w:rPr>
      </w:pPr>
    </w:p>
    <w:p w:rsidR="00975E5F" w:rsidRPr="00975E5F" w:rsidRDefault="00975E5F" w:rsidP="00975E5F">
      <w:pPr>
        <w:keepNext/>
        <w:widowControl w:val="0"/>
        <w:suppressAutoHyphens/>
        <w:spacing w:after="0" w:line="240" w:lineRule="auto"/>
        <w:jc w:val="center"/>
        <w:rPr>
          <w:rFonts w:ascii="SchoolBook" w:eastAsia="Times New Roman" w:hAnsi="SchoolBook" w:cs="Times New Roman"/>
          <w:b/>
          <w:caps/>
          <w:sz w:val="28"/>
          <w:szCs w:val="28"/>
          <w:lang w:val="uk-UA"/>
        </w:rPr>
      </w:pPr>
      <w:r w:rsidRPr="00975E5F">
        <w:rPr>
          <w:rFonts w:ascii="SchoolBook" w:eastAsia="Times New Roman" w:hAnsi="SchoolBook" w:cs="Times New Roman"/>
          <w:b/>
          <w:caps/>
          <w:sz w:val="28"/>
          <w:szCs w:val="28"/>
          <w:lang w:val="uk-UA"/>
        </w:rPr>
        <w:t>Окремі питання інформаційного забезпечення процесу управління витратами підприємства</w:t>
      </w:r>
    </w:p>
    <w:p w:rsidR="00975E5F" w:rsidRPr="00975E5F" w:rsidRDefault="00975E5F" w:rsidP="00975E5F">
      <w:pPr>
        <w:suppressAutoHyphens/>
        <w:spacing w:after="0" w:line="240" w:lineRule="auto"/>
        <w:ind w:firstLine="284"/>
        <w:jc w:val="both"/>
        <w:rPr>
          <w:rFonts w:ascii="SchoolBook" w:eastAsia="Times New Roman" w:hAnsi="SchoolBook" w:cs="Times New Roman"/>
          <w:i/>
          <w:color w:val="000000"/>
          <w:kern w:val="14"/>
          <w:sz w:val="28"/>
          <w:szCs w:val="28"/>
          <w:lang w:val="uk-UA"/>
        </w:rPr>
      </w:pPr>
    </w:p>
    <w:p w:rsidR="00975E5F" w:rsidRPr="00975E5F" w:rsidRDefault="00975E5F" w:rsidP="00975E5F">
      <w:pPr>
        <w:spacing w:after="0" w:line="240" w:lineRule="auto"/>
        <w:rPr>
          <w:rFonts w:ascii="SchoolBook" w:eastAsia="Times New Roman" w:hAnsi="SchoolBook" w:cs="Times New Roman"/>
          <w:b/>
          <w:i/>
          <w:sz w:val="28"/>
          <w:szCs w:val="28"/>
        </w:rPr>
      </w:pPr>
      <w:r w:rsidRPr="00975E5F">
        <w:rPr>
          <w:rFonts w:ascii="SchoolBook" w:eastAsia="Times New Roman" w:hAnsi="SchoolBook" w:cs="Times New Roman"/>
          <w:b/>
          <w:i/>
          <w:sz w:val="28"/>
          <w:szCs w:val="28"/>
          <w:lang w:val="uk-UA"/>
        </w:rPr>
        <w:t xml:space="preserve">К.В. </w:t>
      </w:r>
      <w:proofErr w:type="spellStart"/>
      <w:r w:rsidRPr="00975E5F">
        <w:rPr>
          <w:rFonts w:ascii="SchoolBook" w:eastAsia="Times New Roman" w:hAnsi="SchoolBook" w:cs="Times New Roman"/>
          <w:b/>
          <w:i/>
          <w:sz w:val="28"/>
          <w:szCs w:val="28"/>
          <w:lang w:val="uk-UA"/>
        </w:rPr>
        <w:t>Ілляшенко</w:t>
      </w:r>
      <w:proofErr w:type="spellEnd"/>
      <w:r w:rsidRPr="00975E5F">
        <w:rPr>
          <w:rFonts w:ascii="SchoolBook" w:eastAsia="Times New Roman" w:hAnsi="SchoolBook" w:cs="Times New Roman"/>
          <w:b/>
          <w:i/>
          <w:sz w:val="28"/>
          <w:szCs w:val="28"/>
        </w:rPr>
        <w:t xml:space="preserve">, </w:t>
      </w:r>
      <w:proofErr w:type="spellStart"/>
      <w:r w:rsidRPr="00975E5F">
        <w:rPr>
          <w:rFonts w:ascii="SchoolBook" w:eastAsia="Times New Roman" w:hAnsi="SchoolBook" w:cs="Times New Roman"/>
          <w:b/>
          <w:i/>
          <w:sz w:val="28"/>
          <w:szCs w:val="28"/>
        </w:rPr>
        <w:t>асп</w:t>
      </w:r>
      <w:proofErr w:type="spellEnd"/>
      <w:r w:rsidRPr="00975E5F">
        <w:rPr>
          <w:rFonts w:ascii="SchoolBook" w:eastAsia="Times New Roman" w:hAnsi="SchoolBook" w:cs="Times New Roman"/>
          <w:b/>
          <w:i/>
          <w:sz w:val="28"/>
          <w:szCs w:val="28"/>
        </w:rPr>
        <w:t>.</w:t>
      </w:r>
    </w:p>
    <w:p w:rsidR="00975E5F" w:rsidRPr="00975E5F" w:rsidRDefault="00975E5F" w:rsidP="00975E5F">
      <w:pPr>
        <w:spacing w:after="0" w:line="240" w:lineRule="auto"/>
        <w:rPr>
          <w:rFonts w:ascii="SchoolBook" w:eastAsia="Times New Roman" w:hAnsi="SchoolBook" w:cs="Times New Roman"/>
          <w:i/>
          <w:sz w:val="28"/>
          <w:szCs w:val="28"/>
        </w:rPr>
      </w:pPr>
      <w:proofErr w:type="spellStart"/>
      <w:r w:rsidRPr="00975E5F">
        <w:rPr>
          <w:rFonts w:ascii="SchoolBook" w:eastAsia="Times New Roman" w:hAnsi="SchoolBook" w:cs="Times New Roman"/>
          <w:i/>
          <w:sz w:val="28"/>
          <w:szCs w:val="28"/>
        </w:rPr>
        <w:t>Сумський</w:t>
      </w:r>
      <w:proofErr w:type="spellEnd"/>
      <w:r w:rsidRPr="00975E5F">
        <w:rPr>
          <w:rFonts w:ascii="SchoolBook" w:eastAsia="Times New Roman" w:hAnsi="SchoolBook" w:cs="Times New Roman"/>
          <w:i/>
          <w:sz w:val="28"/>
          <w:szCs w:val="28"/>
        </w:rPr>
        <w:t xml:space="preserve"> </w:t>
      </w:r>
      <w:proofErr w:type="spellStart"/>
      <w:r w:rsidRPr="00975E5F">
        <w:rPr>
          <w:rFonts w:ascii="SchoolBook" w:eastAsia="Times New Roman" w:hAnsi="SchoolBook" w:cs="Times New Roman"/>
          <w:i/>
          <w:sz w:val="28"/>
          <w:szCs w:val="28"/>
        </w:rPr>
        <w:t>державний</w:t>
      </w:r>
      <w:proofErr w:type="spellEnd"/>
      <w:r w:rsidRPr="00975E5F">
        <w:rPr>
          <w:rFonts w:ascii="SchoolBook" w:eastAsia="Times New Roman" w:hAnsi="SchoolBook" w:cs="Times New Roman"/>
          <w:i/>
          <w:sz w:val="28"/>
          <w:szCs w:val="28"/>
        </w:rPr>
        <w:t xml:space="preserve"> </w:t>
      </w:r>
      <w:proofErr w:type="spellStart"/>
      <w:r w:rsidRPr="00975E5F">
        <w:rPr>
          <w:rFonts w:ascii="SchoolBook" w:eastAsia="Times New Roman" w:hAnsi="SchoolBook" w:cs="Times New Roman"/>
          <w:i/>
          <w:sz w:val="28"/>
          <w:szCs w:val="28"/>
        </w:rPr>
        <w:t>університет</w:t>
      </w:r>
      <w:proofErr w:type="spellEnd"/>
    </w:p>
    <w:p w:rsidR="00975E5F" w:rsidRPr="00975E5F" w:rsidRDefault="00975E5F" w:rsidP="00975E5F">
      <w:pPr>
        <w:widowControl w:val="0"/>
        <w:spacing w:after="0" w:line="240" w:lineRule="auto"/>
        <w:ind w:firstLine="284"/>
        <w:jc w:val="both"/>
        <w:rPr>
          <w:rFonts w:ascii="SchoolBook" w:eastAsia="Times New Roman" w:hAnsi="SchoolBook" w:cs="Times New Roman"/>
          <w:sz w:val="28"/>
          <w:szCs w:val="28"/>
        </w:rPr>
      </w:pP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Кризовий стан економіки України взагалі та дефіцит державного бюджету зокрема роблять неможливою допомогу вітчизняним підприємцям з боку держави та спонукають їх самостійно шукати шляхи забезпечення ефективності господарювання.</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На першому етапі реформування економіки, становлення ринкових відносин вітчизняним підприємцям вдавалося досягати певних результатів в основному за рахунок цінового фактору, тобто зростання цін на продукцію підприємств. У сучасних умовах ціни основних видів вітчизняної продукції досягли світового рівня. В той же час якість продукції та рівень витрат на її виготовлення значною мірою поступаються досягненням розвинутих країн світу. В результаті вітчизняні товаровиробники в умовах переходу до ринку втратили не тільки зовнішні, але і внутрішні ринки збуту, оскільки їх продукція здебільшого є неконкурентоспроможною, а витрати на її виготовлення - вищими.</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Пошук шляхів зниження витрат виробництва в сучасних умовах слід розглядати як фактор підвищення прибутковості й ефективності роботи підприємств, забезпечення їх стабільності в ринковому середовищі, розширення можливостей внутрішньовиробничої реструктуризації відповідно до змін кон'юнктури ринків збуту продукції. Однак практична реалізація цього напряму вимагає не тільки посиленої уваги менеджерів, керівників та власників підприємств до витрат виробництва, але й нових методологічних підходів до управління витратами. Деякою мірою при вирішенні таких завдань може бути використаний досвід зарубіжних країн, які досягли значних успіхів в управлінні витратами виробництва на рівні фірм, корпорацій та інших підприємницьких структур. Проблемам обліку, контролю й управління витратами присвячені праці таких зарубіжних дослідників, як Х.Андерсона, Р.М.Антоні, Ф.</w:t>
      </w:r>
      <w:proofErr w:type="spellStart"/>
      <w:r w:rsidRPr="00975E5F">
        <w:rPr>
          <w:rFonts w:ascii="SchoolBook" w:eastAsia="Times New Roman" w:hAnsi="SchoolBook" w:cs="Times New Roman"/>
          <w:color w:val="000000"/>
          <w:sz w:val="28"/>
          <w:szCs w:val="28"/>
          <w:lang w:val="uk-UA"/>
        </w:rPr>
        <w:t>Вуда</w:t>
      </w:r>
      <w:proofErr w:type="spellEnd"/>
      <w:r w:rsidRPr="00975E5F">
        <w:rPr>
          <w:rFonts w:ascii="SchoolBook" w:eastAsia="Times New Roman" w:hAnsi="SchoolBook" w:cs="Times New Roman"/>
          <w:color w:val="000000"/>
          <w:sz w:val="28"/>
          <w:szCs w:val="28"/>
          <w:lang w:val="uk-UA"/>
        </w:rPr>
        <w:t>, К.</w:t>
      </w:r>
      <w:proofErr w:type="spellStart"/>
      <w:r w:rsidRPr="00975E5F">
        <w:rPr>
          <w:rFonts w:ascii="SchoolBook" w:eastAsia="Times New Roman" w:hAnsi="SchoolBook" w:cs="Times New Roman"/>
          <w:color w:val="000000"/>
          <w:sz w:val="28"/>
          <w:szCs w:val="28"/>
          <w:lang w:val="uk-UA"/>
        </w:rPr>
        <w:t>Друрі</w:t>
      </w:r>
      <w:proofErr w:type="spellEnd"/>
      <w:r w:rsidRPr="00975E5F">
        <w:rPr>
          <w:rFonts w:ascii="SchoolBook" w:eastAsia="Times New Roman" w:hAnsi="SchoolBook" w:cs="Times New Roman"/>
          <w:color w:val="000000"/>
          <w:sz w:val="28"/>
          <w:szCs w:val="28"/>
          <w:lang w:val="uk-UA"/>
        </w:rPr>
        <w:t>, Д.</w:t>
      </w:r>
      <w:proofErr w:type="spellStart"/>
      <w:r w:rsidRPr="00975E5F">
        <w:rPr>
          <w:rFonts w:ascii="SchoolBook" w:eastAsia="Times New Roman" w:hAnsi="SchoolBook" w:cs="Times New Roman"/>
          <w:color w:val="000000"/>
          <w:sz w:val="28"/>
          <w:szCs w:val="28"/>
          <w:lang w:val="uk-UA"/>
        </w:rPr>
        <w:t>Колдуелла</w:t>
      </w:r>
      <w:proofErr w:type="spellEnd"/>
      <w:r w:rsidRPr="00975E5F">
        <w:rPr>
          <w:rFonts w:ascii="SchoolBook" w:eastAsia="Times New Roman" w:hAnsi="SchoolBook" w:cs="Times New Roman"/>
          <w:color w:val="000000"/>
          <w:sz w:val="28"/>
          <w:szCs w:val="28"/>
          <w:lang w:val="uk-UA"/>
        </w:rPr>
        <w:t>, Г.Мюллера, Б.</w:t>
      </w:r>
      <w:proofErr w:type="spellStart"/>
      <w:r w:rsidRPr="00975E5F">
        <w:rPr>
          <w:rFonts w:ascii="SchoolBook" w:eastAsia="Times New Roman" w:hAnsi="SchoolBook" w:cs="Times New Roman"/>
          <w:color w:val="000000"/>
          <w:sz w:val="28"/>
          <w:szCs w:val="28"/>
          <w:lang w:val="uk-UA"/>
        </w:rPr>
        <w:t>Нідлза</w:t>
      </w:r>
      <w:proofErr w:type="spellEnd"/>
      <w:r w:rsidRPr="00975E5F">
        <w:rPr>
          <w:rFonts w:ascii="SchoolBook" w:eastAsia="Times New Roman" w:hAnsi="SchoolBook" w:cs="Times New Roman"/>
          <w:color w:val="000000"/>
          <w:sz w:val="28"/>
          <w:szCs w:val="28"/>
          <w:lang w:val="uk-UA"/>
        </w:rPr>
        <w:t xml:space="preserve">, </w:t>
      </w:r>
      <w:proofErr w:type="spellStart"/>
      <w:r w:rsidRPr="00975E5F">
        <w:rPr>
          <w:rFonts w:ascii="SchoolBook" w:eastAsia="Times New Roman" w:hAnsi="SchoolBook" w:cs="Times New Roman"/>
          <w:color w:val="000000"/>
          <w:sz w:val="28"/>
          <w:szCs w:val="28"/>
          <w:lang w:val="uk-UA"/>
        </w:rPr>
        <w:t>Дж.Ріса</w:t>
      </w:r>
      <w:proofErr w:type="spellEnd"/>
      <w:r w:rsidRPr="00975E5F">
        <w:rPr>
          <w:rFonts w:ascii="SchoolBook" w:eastAsia="Times New Roman" w:hAnsi="SchoolBook" w:cs="Times New Roman"/>
          <w:color w:val="000000"/>
          <w:sz w:val="28"/>
          <w:szCs w:val="28"/>
          <w:lang w:val="uk-UA"/>
        </w:rPr>
        <w:t xml:space="preserve"> та ін.</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Необхідність удосконалення управління промисловими підприємствами різних форм власності в умовах перехідної економіки України, зокрема витратами виробництва, обґрунтована у працях вітчизняних вчених-економістів П.</w:t>
      </w:r>
      <w:proofErr w:type="spellStart"/>
      <w:r w:rsidRPr="00975E5F">
        <w:rPr>
          <w:rFonts w:ascii="SchoolBook" w:eastAsia="Times New Roman" w:hAnsi="SchoolBook" w:cs="Times New Roman"/>
          <w:color w:val="000000"/>
          <w:sz w:val="28"/>
          <w:szCs w:val="28"/>
          <w:lang w:val="uk-UA"/>
        </w:rPr>
        <w:t>Бєлєнького</w:t>
      </w:r>
      <w:proofErr w:type="spellEnd"/>
      <w:r w:rsidRPr="00975E5F">
        <w:rPr>
          <w:rFonts w:ascii="SchoolBook" w:eastAsia="Times New Roman" w:hAnsi="SchoolBook" w:cs="Times New Roman"/>
          <w:color w:val="000000"/>
          <w:sz w:val="28"/>
          <w:szCs w:val="28"/>
          <w:lang w:val="uk-UA"/>
        </w:rPr>
        <w:t>, Є.Бойка, В.</w:t>
      </w:r>
      <w:proofErr w:type="spellStart"/>
      <w:r w:rsidRPr="00975E5F">
        <w:rPr>
          <w:rFonts w:ascii="SchoolBook" w:eastAsia="Times New Roman" w:hAnsi="SchoolBook" w:cs="Times New Roman"/>
          <w:color w:val="000000"/>
          <w:sz w:val="28"/>
          <w:szCs w:val="28"/>
          <w:lang w:val="uk-UA"/>
        </w:rPr>
        <w:t>Вихруща</w:t>
      </w:r>
      <w:proofErr w:type="spellEnd"/>
      <w:r w:rsidRPr="00975E5F">
        <w:rPr>
          <w:rFonts w:ascii="SchoolBook" w:eastAsia="Times New Roman" w:hAnsi="SchoolBook" w:cs="Times New Roman"/>
          <w:color w:val="000000"/>
          <w:sz w:val="28"/>
          <w:szCs w:val="28"/>
          <w:lang w:val="uk-UA"/>
        </w:rPr>
        <w:t>, М.Долішнього, І.Лукінова, Є.</w:t>
      </w:r>
      <w:proofErr w:type="spellStart"/>
      <w:r w:rsidRPr="00975E5F">
        <w:rPr>
          <w:rFonts w:ascii="SchoolBook" w:eastAsia="Times New Roman" w:hAnsi="SchoolBook" w:cs="Times New Roman"/>
          <w:color w:val="000000"/>
          <w:sz w:val="28"/>
          <w:szCs w:val="28"/>
          <w:lang w:val="uk-UA"/>
        </w:rPr>
        <w:t>Мниха</w:t>
      </w:r>
      <w:proofErr w:type="spellEnd"/>
      <w:r w:rsidRPr="00975E5F">
        <w:rPr>
          <w:rFonts w:ascii="SchoolBook" w:eastAsia="Times New Roman" w:hAnsi="SchoolBook" w:cs="Times New Roman"/>
          <w:color w:val="000000"/>
          <w:sz w:val="28"/>
          <w:szCs w:val="28"/>
          <w:lang w:val="uk-UA"/>
        </w:rPr>
        <w:t>, М.</w:t>
      </w:r>
      <w:proofErr w:type="spellStart"/>
      <w:r w:rsidRPr="00975E5F">
        <w:rPr>
          <w:rFonts w:ascii="SchoolBook" w:eastAsia="Times New Roman" w:hAnsi="SchoolBook" w:cs="Times New Roman"/>
          <w:color w:val="000000"/>
          <w:sz w:val="28"/>
          <w:szCs w:val="28"/>
          <w:lang w:val="uk-UA"/>
        </w:rPr>
        <w:t>Чумаченка</w:t>
      </w:r>
      <w:proofErr w:type="spellEnd"/>
      <w:r w:rsidRPr="00975E5F">
        <w:rPr>
          <w:rFonts w:ascii="SchoolBook" w:eastAsia="Times New Roman" w:hAnsi="SchoolBook" w:cs="Times New Roman"/>
          <w:color w:val="000000"/>
          <w:sz w:val="28"/>
          <w:szCs w:val="28"/>
          <w:lang w:val="uk-UA"/>
        </w:rPr>
        <w:t xml:space="preserve"> та інших. Однак у практиці господарювання системи управління витратами виробництва залишаються недосконалими. Недостатньо уваги приділяється процесам прогнозування, планування, нормування витрат, визначенню граничних витрат виробництва як важливого </w:t>
      </w:r>
      <w:r w:rsidRPr="00975E5F">
        <w:rPr>
          <w:rFonts w:ascii="SchoolBook" w:eastAsia="Times New Roman" w:hAnsi="SchoolBook" w:cs="Times New Roman"/>
          <w:color w:val="000000"/>
          <w:sz w:val="28"/>
          <w:szCs w:val="28"/>
          <w:lang w:val="uk-UA"/>
        </w:rPr>
        <w:lastRenderedPageBreak/>
        <w:t>критерію управління ефективністю роботи підприємств. Необхідність поглибленого вивчення факторів і умов, що впливають на рівень витрат виробництва в умовах перехідної економіки України, та вироблення досконаліших систем управління витратами виробництва промислових підприємств зумовили актуальність проблем, що вирішуються у даній статті.</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Досягнення мети зниження витрат виробництва і раціонального їх формування на вітчизняних підприємствах у сучасних умовах слід розглядати як стратегічний напрямок розвитку, який має забезпечити конкурентоспроможність продукції на внутрішніх і зовнішніх ринках, підвищити прибутковість діяльності.</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Слід зазначити, що в умовах режиму економії і раціонального використання виробничих ресурсів дуже прогресивним є застосування функціонально-вартісного аналізу, що забезпечує зниження витрат і підвищення ефективності виробництва. Сутність функціонально-вартісного аналізу полягає у системному дослідженні об'єкта (виробу, процесу, структури), спрямованому на оптимізацію співвідношення між споживчими властивостями і витратами на створення, виробництво і застосування (експлуатацію) об'єкта. Функціонально-вартісний аналіз як комплекс методів і практичних прийомів удосконалювання виробів і процесів займає важливе місце серед напрямків, що забезпечують практичну реалізацію курсу на інтенсивний розвиток і різноманітну економію ресурсів.</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Метою функціонально-вартісного аналізу (ФВА) є пошук нових, більш економічних варіантів здійснення аналізованим об'єктом своїх функцій на всіх стадіях циклу «дослідження — виробництво». Це досягається в основному за рахунок установлення найкращого співвідношення між споживчою вартістю виробу і витратами на його розробку; зниження матеріаломісткості, фондомісткості, енергоємності та трудомісткості об'єкта, зниження собівартості продукції, що випускається, і підвищення її якості; заміни дефіцитних, дорогих і імпортних матеріалів; зниження експлуатаційних і транспортних витрат; ліквідації втрат ресурсів у всіх сферах господарської діяльності.</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ФВА принципово відрізняється від звичайних «класичних» способів аналізу витрат виробництва, тому що передбачає застосування функціонального підходу, який припускає виявлення найбільш економічних способів здійснення усіх функцій виробу. Будь-який виріб має набір певних споживчих якостей чи функцій, що виступають його споживчою вартістю. Часто він наділяється зайвими функціями, що не потрібні ні споживачу, ні виробнику, хоча для забезпечення даних функцій виробляються відповідні витрати. Виявляючи непотрібні функції і звільняючись від них, можна виключити і витрати, пов’язані з ними. І навпаки, орієнтуючись на поліпшення потрібних функцій, варто збільшувати витрати на виготовлення виробу чи його окремих частин. Функціонально-вартісний аналіз — це техніко-економічний метод знаходження за спеціальною програмою резервів зниження витрат на виробництво й експлуатацію продукції шляхом дослідження основних і допоміжних функцій об'єкта аналізу й інженерного </w:t>
      </w:r>
      <w:r w:rsidRPr="00975E5F">
        <w:rPr>
          <w:rFonts w:ascii="SchoolBook" w:eastAsia="Times New Roman" w:hAnsi="SchoolBook" w:cs="Times New Roman"/>
          <w:color w:val="000000"/>
          <w:sz w:val="28"/>
          <w:szCs w:val="28"/>
          <w:lang w:val="uk-UA"/>
        </w:rPr>
        <w:lastRenderedPageBreak/>
        <w:t>пошуку найбільш економічних технічних рішень їх здійснення. Об'єктами аналізу можуть бути: виріб, елементи його конструкції, технологія виготовлення, організація виробництва.</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Теорія ФВА ґрунтується на тому, що в собівартості будь-якої промислової продукції, крім мінімальних витрат, абсолютно необхідних для виконання виробом заданих функцій, завжди є додаткові, чи зайві, витрати, зумовлені, головним чином, недосконалістю конструкції, технології, неефективними методами створення, експлуатації об'єкта аналізу, неправильним вибором матеріалів.</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Щоб виявити причину зайвих витрат, необхідно насамперед чітко сформулювати функції виробу, розчленувавши їх на основні (на них припадає звичайно не більше 30% усіх витрат) і допоміжні (близько 70%), серед яких виділяють непотрібні, марні (близько 10% витрат).</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Основні функції об'єкта аналізу — це безпосередньо виконувані ним функції, для виконання яких він призначений. Допоміжні функції об'єкта </w:t>
      </w:r>
      <w:proofErr w:type="spellStart"/>
      <w:r w:rsidRPr="00975E5F">
        <w:rPr>
          <w:rFonts w:ascii="SchoolBook" w:eastAsia="Times New Roman" w:hAnsi="SchoolBook" w:cs="Times New Roman"/>
          <w:color w:val="000000"/>
          <w:sz w:val="28"/>
          <w:szCs w:val="28"/>
          <w:lang w:val="uk-UA"/>
        </w:rPr>
        <w:t>—функції</w:t>
      </w:r>
      <w:proofErr w:type="spellEnd"/>
      <w:r w:rsidRPr="00975E5F">
        <w:rPr>
          <w:rFonts w:ascii="SchoolBook" w:eastAsia="Times New Roman" w:hAnsi="SchoolBook" w:cs="Times New Roman"/>
          <w:color w:val="000000"/>
          <w:sz w:val="28"/>
          <w:szCs w:val="28"/>
          <w:lang w:val="uk-UA"/>
        </w:rPr>
        <w:t>, безпосередньо не пов'язані з основним призначенням об'єкта, але забезпечують умови для виконання ним своїх основних функцій. У свою чергу, допоміжні функції поділяються на істотні та несуттєві, необхідні та зайві.</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Після ретельного аналізу як основних, так і допоміжних функцій, який полягає в зіставленні важливості та необхідності будь-якої функції з витратами на її виконання, а також у виділенні непотрібних і дорогих функцій виробу і ліквідації непотрібних, визначається найбільш економічний спосіб реалізації усіх функцій, які залишилися.</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У процесі пошуків шляхів зниження витрат функціонально-вартісний аналіз передбачає три базисних етапи:</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1 Визначення призначення. Кожна деталь чи виріб має певне призначення, наприклад, забезпечувати освітлення, подавати воду, вказувати час тощо. При цьому кожна деталь, вузол, виріб, крім основного призначення, може виконувати додаткові функції. Усі вони повинні бути чітко визначені, перераховані і розділені на первинні та вторинні.</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2 Оцінка призначень шляхом порівняння. Цей етап припускає зіставлення призначення, яке виконується деталлю, вузлом чи виробом призначення з величиною витрат за аналогічними об'єктами чи призначеннями. Чим складніше об'єкт аналізу, тим більше порівнянь через деталізацію виробу чи вузла. При цьому порівнюються матеріали, фасони деталей, процеси і т.д. </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3 Розробка варіантів, що змінюють вартість. </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Традиційні методи зниження собівартості продукції звичайно не дозволяють досліджувати розміри зайвих витрат, обумовлених конструкцією виробу чи системи. Найбільш ефективним засобом виявлення і скорочення таких зайвих витрат є функціонально-вартісний аналіз, що припускає виконання таких робіт:</w:t>
      </w:r>
    </w:p>
    <w:p w:rsidR="00975E5F" w:rsidRPr="00975E5F" w:rsidRDefault="00975E5F" w:rsidP="00975E5F">
      <w:pPr>
        <w:numPr>
          <w:ilvl w:val="0"/>
          <w:numId w:val="2"/>
        </w:numPr>
        <w:suppressAutoHyphens/>
        <w:spacing w:after="0" w:line="240" w:lineRule="auto"/>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вибір об'єкта аналізу;</w:t>
      </w:r>
    </w:p>
    <w:p w:rsidR="00975E5F" w:rsidRPr="00975E5F" w:rsidRDefault="00975E5F" w:rsidP="00975E5F">
      <w:pPr>
        <w:numPr>
          <w:ilvl w:val="0"/>
          <w:numId w:val="2"/>
        </w:numPr>
        <w:suppressAutoHyphens/>
        <w:spacing w:after="0" w:line="240" w:lineRule="auto"/>
        <w:jc w:val="both"/>
        <w:rPr>
          <w:rFonts w:ascii="SchoolBook" w:eastAsia="Times New Roman" w:hAnsi="SchoolBook" w:cs="Times New Roman"/>
          <w:color w:val="000000"/>
          <w:kern w:val="14"/>
          <w:sz w:val="28"/>
          <w:szCs w:val="28"/>
          <w:lang w:val="uk-UA"/>
        </w:rPr>
      </w:pPr>
      <w:r w:rsidRPr="00975E5F">
        <w:rPr>
          <w:rFonts w:ascii="SchoolBook" w:eastAsia="Times New Roman" w:hAnsi="SchoolBook" w:cs="Times New Roman"/>
          <w:color w:val="000000"/>
          <w:kern w:val="14"/>
          <w:sz w:val="28"/>
          <w:szCs w:val="28"/>
          <w:lang w:val="uk-UA"/>
        </w:rPr>
        <w:t>визначення функцій, що виконуються об'єктом і його складовими елементами;</w:t>
      </w:r>
    </w:p>
    <w:p w:rsidR="00975E5F" w:rsidRPr="00975E5F" w:rsidRDefault="00975E5F" w:rsidP="00975E5F">
      <w:pPr>
        <w:numPr>
          <w:ilvl w:val="0"/>
          <w:numId w:val="2"/>
        </w:numPr>
        <w:suppressAutoHyphens/>
        <w:spacing w:after="0" w:line="240" w:lineRule="auto"/>
        <w:jc w:val="both"/>
        <w:rPr>
          <w:rFonts w:ascii="SchoolBook" w:eastAsia="Times New Roman" w:hAnsi="SchoolBook" w:cs="Times New Roman"/>
          <w:color w:val="000000"/>
          <w:kern w:val="14"/>
          <w:sz w:val="28"/>
          <w:szCs w:val="28"/>
          <w:lang w:val="uk-UA"/>
        </w:rPr>
      </w:pPr>
      <w:r w:rsidRPr="00975E5F">
        <w:rPr>
          <w:rFonts w:ascii="SchoolBook" w:eastAsia="Times New Roman" w:hAnsi="SchoolBook" w:cs="Times New Roman"/>
          <w:color w:val="000000"/>
          <w:kern w:val="14"/>
          <w:sz w:val="28"/>
          <w:szCs w:val="28"/>
          <w:lang w:val="uk-UA"/>
        </w:rPr>
        <w:lastRenderedPageBreak/>
        <w:t>виявлення функціональних зон із найбільшим зосередженням витрат;</w:t>
      </w:r>
    </w:p>
    <w:p w:rsidR="00975E5F" w:rsidRPr="00975E5F" w:rsidRDefault="00975E5F" w:rsidP="00975E5F">
      <w:pPr>
        <w:numPr>
          <w:ilvl w:val="0"/>
          <w:numId w:val="2"/>
        </w:numPr>
        <w:suppressAutoHyphens/>
        <w:spacing w:after="0" w:line="240" w:lineRule="auto"/>
        <w:jc w:val="both"/>
        <w:rPr>
          <w:rFonts w:ascii="SchoolBook" w:eastAsia="Times New Roman" w:hAnsi="SchoolBook" w:cs="Times New Roman"/>
          <w:color w:val="000000"/>
          <w:kern w:val="14"/>
          <w:sz w:val="28"/>
          <w:szCs w:val="28"/>
          <w:lang w:val="uk-UA"/>
        </w:rPr>
      </w:pPr>
      <w:r w:rsidRPr="00975E5F">
        <w:rPr>
          <w:rFonts w:ascii="SchoolBook" w:eastAsia="Times New Roman" w:hAnsi="SchoolBook" w:cs="Times New Roman"/>
          <w:color w:val="000000"/>
          <w:kern w:val="14"/>
          <w:sz w:val="28"/>
          <w:szCs w:val="28"/>
          <w:lang w:val="uk-UA"/>
        </w:rPr>
        <w:t>виділення основних, допоміжних і непотрібних функцій в об'єкті аналізу;</w:t>
      </w:r>
    </w:p>
    <w:p w:rsidR="00975E5F" w:rsidRPr="00975E5F" w:rsidRDefault="00975E5F" w:rsidP="00975E5F">
      <w:pPr>
        <w:numPr>
          <w:ilvl w:val="0"/>
          <w:numId w:val="2"/>
        </w:numPr>
        <w:suppressAutoHyphens/>
        <w:spacing w:after="0" w:line="240" w:lineRule="auto"/>
        <w:jc w:val="both"/>
        <w:rPr>
          <w:rFonts w:ascii="SchoolBook" w:eastAsia="Times New Roman" w:hAnsi="SchoolBook" w:cs="Times New Roman"/>
          <w:color w:val="000000"/>
          <w:kern w:val="14"/>
          <w:sz w:val="28"/>
          <w:szCs w:val="28"/>
          <w:lang w:val="uk-UA"/>
        </w:rPr>
      </w:pPr>
      <w:r w:rsidRPr="00975E5F">
        <w:rPr>
          <w:rFonts w:ascii="SchoolBook" w:eastAsia="Times New Roman" w:hAnsi="SchoolBook" w:cs="Times New Roman"/>
          <w:color w:val="000000"/>
          <w:kern w:val="14"/>
          <w:sz w:val="28"/>
          <w:szCs w:val="28"/>
          <w:lang w:val="uk-UA"/>
        </w:rPr>
        <w:t>розроблення нових, найбільш економічних технічних рішень виконання об'єктом його функцій з метою зниження матеріальних і трудових витрат.</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Незважаючи на всі очевидні переваги функціонально-вартісного аналізу, як одного з найбільш перспективних інструментів управління витратами на підприємстві, ефективність його на сьогоднішній день незначна. Пояснюється це, передусім, тим, що в умовах розвитку ринкових відносин ефективне управління виробничою діяльністю підприємства все більше залежить від рівня його інформаційного забезпечення: існуюча в даний час вітчизняна система бухгалтерського обліку багато в чому ще залишається обліком директивної економіки і виконує, в основному, функції розрахунку бази оподаткування. Дотепер на наших підприємствах застосовується витратний метод бухгалтерського обліку, що передбачає облік і розрахунок повної фактичної собівартості одиниці продукції (робіт, послуг). Однак весь світовий досвід свідчить про ефективність використання такого методу бухгалтерського обліку, як система обліку змінних витрат. </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Найбільша ефективність від застосування функціонально-вартісного аналізу як інструмента оптимізації витрат підприємства, на наш погляд, буде досягнута лише при використанні інформації, отриманої саме на базі системи обліку змінних витрат (зокрема, системи обліку </w:t>
      </w:r>
      <w:proofErr w:type="spellStart"/>
      <w:r w:rsidRPr="00975E5F">
        <w:rPr>
          <w:rFonts w:ascii="SchoolBook" w:eastAsia="Times New Roman" w:hAnsi="SchoolBook" w:cs="Times New Roman"/>
          <w:color w:val="000000"/>
          <w:sz w:val="28"/>
          <w:szCs w:val="28"/>
          <w:lang w:val="uk-UA"/>
        </w:rPr>
        <w:t>стандарт-кост</w:t>
      </w:r>
      <w:proofErr w:type="spellEnd"/>
      <w:r w:rsidRPr="00975E5F">
        <w:rPr>
          <w:rFonts w:ascii="SchoolBook" w:eastAsia="Times New Roman" w:hAnsi="SchoolBook" w:cs="Times New Roman"/>
          <w:color w:val="000000"/>
          <w:sz w:val="28"/>
          <w:szCs w:val="28"/>
          <w:lang w:val="uk-UA"/>
        </w:rPr>
        <w:t xml:space="preserve">). </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Система </w:t>
      </w:r>
      <w:proofErr w:type="spellStart"/>
      <w:r w:rsidRPr="00975E5F">
        <w:rPr>
          <w:rFonts w:ascii="SchoolBook" w:eastAsia="Times New Roman" w:hAnsi="SchoolBook" w:cs="Times New Roman"/>
          <w:color w:val="000000"/>
          <w:sz w:val="28"/>
          <w:szCs w:val="28"/>
          <w:lang w:val="uk-UA"/>
        </w:rPr>
        <w:t>стандарт-кост</w:t>
      </w:r>
      <w:proofErr w:type="spellEnd"/>
      <w:r w:rsidRPr="00975E5F">
        <w:rPr>
          <w:rFonts w:ascii="SchoolBook" w:eastAsia="Times New Roman" w:hAnsi="SchoolBook" w:cs="Times New Roman"/>
          <w:color w:val="000000"/>
          <w:sz w:val="28"/>
          <w:szCs w:val="28"/>
          <w:lang w:val="uk-UA"/>
        </w:rPr>
        <w:t xml:space="preserve"> - це система оцінки витрат на виробництво продукту, що спирається на нормативні витрати для доповнення або замість реєстрації фактичних витрат.</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У системі </w:t>
      </w:r>
      <w:proofErr w:type="spellStart"/>
      <w:r w:rsidRPr="00975E5F">
        <w:rPr>
          <w:rFonts w:ascii="SchoolBook" w:eastAsia="Times New Roman" w:hAnsi="SchoolBook" w:cs="Times New Roman"/>
          <w:color w:val="000000"/>
          <w:sz w:val="28"/>
          <w:szCs w:val="28"/>
          <w:lang w:val="uk-UA"/>
        </w:rPr>
        <w:t>стандарт-кост</w:t>
      </w:r>
      <w:proofErr w:type="spellEnd"/>
      <w:r w:rsidRPr="00975E5F">
        <w:rPr>
          <w:rFonts w:ascii="SchoolBook" w:eastAsia="Times New Roman" w:hAnsi="SchoolBook" w:cs="Times New Roman"/>
          <w:color w:val="000000"/>
          <w:sz w:val="28"/>
          <w:szCs w:val="28"/>
          <w:lang w:val="uk-UA"/>
        </w:rPr>
        <w:t xml:space="preserve"> для кожного виробу складається лист нормативних витрат. Цей лист аналогічний кулінарному рецепту в тому розумінні, що він містить перелік "інгредієнтів" даного продукту й описує кроки, необхідні для перетворення інгредієнтів у готовий продукт.</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Для визначення нормативних витрат, пов’язаних із прямими витратами праці на виробництво продукту, зазначаються різні трудові операції, необхідні для випуску одиниці готового продукту, і для кожної такої операції обчислюється нормативний час. Потім ці нормативні показники часу збільшуються на нормативні розцінки. Загальна сума цих грошових показників для всіх операцій складає нормативні прямі трудові витрати на виробництво даного виробу.</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Загальногосподарські витрати вносяться в лист нормативних витрат шляхом віднесення визначеного заздалегідь нормативу загальногосподарських витрат до того чи іншого вимірювача нормованої діяльності. Ними є нормативний робочий час чи нормативні суми у грошових одиницях, що виплачуються за прямі витрати праці.</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Сума нормативних витрат вихідних продуктів - прямих матеріальних витрат, прямих витрат праці та загальногосподарських витрат - дає показник нормативних витрат одиниці кінцевого продукту. Він використовується як </w:t>
      </w:r>
      <w:r w:rsidRPr="00975E5F">
        <w:rPr>
          <w:rFonts w:ascii="SchoolBook" w:eastAsia="Times New Roman" w:hAnsi="SchoolBook" w:cs="Times New Roman"/>
          <w:color w:val="000000"/>
          <w:sz w:val="28"/>
          <w:szCs w:val="28"/>
          <w:lang w:val="uk-UA"/>
        </w:rPr>
        <w:lastRenderedPageBreak/>
        <w:t xml:space="preserve">база для бухгалтерських проводок за запасами готової продукції і собівартості продажу. Елементи нормативних витрат використовуються й у процесі фінансового планування. </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Нормативні витрати - це їх планований рівень, тобто якими повинні бути витрати. Отже, якщо фактичні витрати вище нормативних, то таке відхилення вважається несприятливим. Несприятливі відхилення відбиваються по дебету рахунків відхилень. Відповідно якщо фактичні витрати нижче нормативних, то таке відхилення вважається сприятливим відхиленням і відбивається в кредитовій частині рахунка відхилень.</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У системі </w:t>
      </w:r>
      <w:proofErr w:type="spellStart"/>
      <w:r w:rsidRPr="00975E5F">
        <w:rPr>
          <w:rFonts w:ascii="SchoolBook" w:eastAsia="Times New Roman" w:hAnsi="SchoolBook" w:cs="Times New Roman"/>
          <w:color w:val="000000"/>
          <w:sz w:val="28"/>
          <w:szCs w:val="28"/>
          <w:lang w:val="uk-UA"/>
        </w:rPr>
        <w:t>стандарт-кост</w:t>
      </w:r>
      <w:proofErr w:type="spellEnd"/>
      <w:r w:rsidRPr="00975E5F">
        <w:rPr>
          <w:rFonts w:ascii="SchoolBook" w:eastAsia="Times New Roman" w:hAnsi="SchoolBook" w:cs="Times New Roman"/>
          <w:color w:val="000000"/>
          <w:sz w:val="28"/>
          <w:szCs w:val="28"/>
          <w:lang w:val="uk-UA"/>
        </w:rPr>
        <w:t xml:space="preserve"> відхилення виробничих витрат являють собою величину, на яку фактичні витрати на виробництво продукції протягом місяця були невірно віднесені за допомогою нормативних витрат. Концептуально для того, щоб скорегувати ці витрати і перевести їх у фактичні витрати, весь обсяг випуску продукції протягом певного періоду повинен спочатку простежуватися за ланцюжком "Незавершене виробництво - Готова продукція на складі - Продукція, реалізована протягом даного періоду". Після цього виробничі відхилення повинні бути пропорційно розподілені між цими рахунками. Дана процедура відповідає принципу ув'язування фінансового обліку, який свідчить, що витрати на виріб відбиваються у звіті про прибутки і збитки за період, протягом якого цей виріб був реалізований, а не за період, протягом якого він був виготовлений.</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Дана система обліку витрат має величезні переваги у порівнянні з діючою.</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Більш раціональна оцінка витрат. Система </w:t>
      </w:r>
      <w:proofErr w:type="spellStart"/>
      <w:r w:rsidRPr="00975E5F">
        <w:rPr>
          <w:rFonts w:ascii="SchoolBook" w:eastAsia="Times New Roman" w:hAnsi="SchoolBook" w:cs="Times New Roman"/>
          <w:color w:val="000000"/>
          <w:sz w:val="28"/>
          <w:szCs w:val="28"/>
          <w:lang w:val="uk-UA"/>
        </w:rPr>
        <w:t>стандарт-кост</w:t>
      </w:r>
      <w:proofErr w:type="spellEnd"/>
      <w:r w:rsidRPr="00975E5F">
        <w:rPr>
          <w:rFonts w:ascii="SchoolBook" w:eastAsia="Times New Roman" w:hAnsi="SchoolBook" w:cs="Times New Roman"/>
          <w:color w:val="000000"/>
          <w:sz w:val="28"/>
          <w:szCs w:val="28"/>
          <w:lang w:val="uk-UA"/>
        </w:rPr>
        <w:t xml:space="preserve"> усуває небажані розбіжності при веденні обліку; у ній фізично однакові одиниці продукту відбиваються за однією і тією же вартістю, у той час як у системі фактичних витрат фізично однакові одиниці можуть відбиватися за різною вартістю. </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Економія при веденні обліку. Через те що відображення нормативних витрат не існує без обліку фактичних витрат, може здаватися, що система </w:t>
      </w:r>
      <w:proofErr w:type="spellStart"/>
      <w:r w:rsidRPr="00975E5F">
        <w:rPr>
          <w:rFonts w:ascii="SchoolBook" w:eastAsia="Times New Roman" w:hAnsi="SchoolBook" w:cs="Times New Roman"/>
          <w:color w:val="000000"/>
          <w:sz w:val="28"/>
          <w:szCs w:val="28"/>
          <w:lang w:val="uk-UA"/>
        </w:rPr>
        <w:t>стандарт-кост</w:t>
      </w:r>
      <w:proofErr w:type="spellEnd"/>
      <w:r w:rsidRPr="00975E5F">
        <w:rPr>
          <w:rFonts w:ascii="SchoolBook" w:eastAsia="Times New Roman" w:hAnsi="SchoolBook" w:cs="Times New Roman"/>
          <w:color w:val="000000"/>
          <w:sz w:val="28"/>
          <w:szCs w:val="28"/>
          <w:lang w:val="uk-UA"/>
        </w:rPr>
        <w:t xml:space="preserve"> вимагає великих витрат на ведення обліку в порівнянні із системою фактичних витрат. Насправді застосування нормативних витрат може зменшити витрати, необхідні для ведення обліку, тому що всі індивідуальні дані про матеріал за місяць можуть бути підсумовані та віднесені однією проводкою на кредит рахунка "Запаси матеріалів". Так само немає необхідності кожному робітнику фіксувати час, витрачений на кожну серію. Усе, що необхідно, - це одна величина, а саме визначені заздалегідь нормативні прямі витрати праці.</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При використанні системи </w:t>
      </w:r>
      <w:proofErr w:type="spellStart"/>
      <w:r w:rsidRPr="00975E5F">
        <w:rPr>
          <w:rFonts w:ascii="SchoolBook" w:eastAsia="Times New Roman" w:hAnsi="SchoolBook" w:cs="Times New Roman"/>
          <w:color w:val="000000"/>
          <w:sz w:val="28"/>
          <w:szCs w:val="28"/>
          <w:lang w:val="uk-UA"/>
        </w:rPr>
        <w:t>стандарт-кост</w:t>
      </w:r>
      <w:proofErr w:type="spellEnd"/>
      <w:r w:rsidRPr="00975E5F">
        <w:rPr>
          <w:rFonts w:ascii="SchoolBook" w:eastAsia="Times New Roman" w:hAnsi="SchoolBook" w:cs="Times New Roman"/>
          <w:color w:val="000000"/>
          <w:sz w:val="28"/>
          <w:szCs w:val="28"/>
          <w:lang w:val="uk-UA"/>
        </w:rPr>
        <w:t xml:space="preserve"> додаткові витрати виникають лише при розрахунку індивідуальних нормативів. У багатьох випадках ці витрати виявляються незначними. Кількісний норматив визначається періодично, застосовується він протягом місяців чи навіть років без усяких змін. Тільки зміни в конструкції виробу чи в процесі його виробництва або значний "ефект освоєння" спричиняють зміну цього нормативу. Цінова складова нормативних витрат, однак, поновлюється звичайно щорічно або навіть частіше для того, щоб відбити вплив інфляції чи інших факторів на ціну матеріалів або вартість робочої сили. Перегляд цін разом із тим вимагає </w:t>
      </w:r>
      <w:r w:rsidRPr="00975E5F">
        <w:rPr>
          <w:rFonts w:ascii="SchoolBook" w:eastAsia="Times New Roman" w:hAnsi="SchoolBook" w:cs="Times New Roman"/>
          <w:color w:val="000000"/>
          <w:sz w:val="28"/>
          <w:szCs w:val="28"/>
          <w:lang w:val="uk-UA"/>
        </w:rPr>
        <w:lastRenderedPageBreak/>
        <w:t xml:space="preserve">набагато менших витрат, ніж ревізія кількісних нормативів. Складова загальногосподарських витрат у нормативних витратах також піддається перегляду, звичайно щорічно, коли нові нормативи цих витрат встановлюються для кожного центру витрат. Подібна ревізія нормативів загальногосподарських витрат здійснюється в більшості компаній незалежно, незважаючи на те, чи застосовується ними система </w:t>
      </w:r>
      <w:proofErr w:type="spellStart"/>
      <w:r w:rsidRPr="00975E5F">
        <w:rPr>
          <w:rFonts w:ascii="SchoolBook" w:eastAsia="Times New Roman" w:hAnsi="SchoolBook" w:cs="Times New Roman"/>
          <w:color w:val="000000"/>
          <w:sz w:val="28"/>
          <w:szCs w:val="28"/>
          <w:lang w:val="uk-UA"/>
        </w:rPr>
        <w:t>стандарт-кост</w:t>
      </w:r>
      <w:proofErr w:type="spellEnd"/>
      <w:r w:rsidRPr="00975E5F">
        <w:rPr>
          <w:rFonts w:ascii="SchoolBook" w:eastAsia="Times New Roman" w:hAnsi="SchoolBook" w:cs="Times New Roman"/>
          <w:color w:val="000000"/>
          <w:sz w:val="28"/>
          <w:szCs w:val="28"/>
          <w:lang w:val="uk-UA"/>
        </w:rPr>
        <w:t>.</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У системі обліку змінних витрат як прямі витрати, що відбиваються у товарно-матеріальних запасах, розглядаються тільки змінні виробничі витрати. Постійні виробничі загальногосподарські витрати розцінюються в ній як витрати періоду, у якому вони були зазнані. Система обліку змінних витрат має переваги насамперед для внутрішнього (управлінського) обліку. </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Таким чином, компанія, що враховує окремо постійні та змінні витрати, має можливість </w:t>
      </w:r>
      <w:proofErr w:type="spellStart"/>
      <w:r w:rsidRPr="00975E5F">
        <w:rPr>
          <w:rFonts w:ascii="SchoolBook" w:eastAsia="Times New Roman" w:hAnsi="SchoolBook" w:cs="Times New Roman"/>
          <w:color w:val="000000"/>
          <w:sz w:val="28"/>
          <w:szCs w:val="28"/>
          <w:lang w:val="uk-UA"/>
        </w:rPr>
        <w:t>“вбивати</w:t>
      </w:r>
      <w:proofErr w:type="spellEnd"/>
      <w:r w:rsidRPr="00975E5F">
        <w:rPr>
          <w:rFonts w:ascii="SchoolBook" w:eastAsia="Times New Roman" w:hAnsi="SchoolBook" w:cs="Times New Roman"/>
          <w:color w:val="000000"/>
          <w:sz w:val="28"/>
          <w:szCs w:val="28"/>
          <w:lang w:val="uk-UA"/>
        </w:rPr>
        <w:t xml:space="preserve"> двох </w:t>
      </w:r>
      <w:proofErr w:type="spellStart"/>
      <w:r w:rsidRPr="00975E5F">
        <w:rPr>
          <w:rFonts w:ascii="SchoolBook" w:eastAsia="Times New Roman" w:hAnsi="SchoolBook" w:cs="Times New Roman"/>
          <w:color w:val="000000"/>
          <w:sz w:val="28"/>
          <w:szCs w:val="28"/>
          <w:lang w:val="uk-UA"/>
        </w:rPr>
        <w:t>зайців”</w:t>
      </w:r>
      <w:proofErr w:type="spellEnd"/>
      <w:r w:rsidRPr="00975E5F">
        <w:rPr>
          <w:rFonts w:ascii="SchoolBook" w:eastAsia="Times New Roman" w:hAnsi="SchoolBook" w:cs="Times New Roman"/>
          <w:color w:val="000000"/>
          <w:sz w:val="28"/>
          <w:szCs w:val="28"/>
          <w:lang w:val="uk-UA"/>
        </w:rPr>
        <w:t>. Звіт про прибутки і збитки у форматі поглинених витрат може використовуватися для аналізу і ухвалення рішень там, де є важливим наочне бачення величини брутто, а також витрат збуту й адміністративних витрат. Інший формат, наприклад, може використовуватися для ухвалення управлінських рішень із зниження витрат виробництва на базі функціонально-вартісного аналізу. У той же час компанія звільняється від необхідності спотворювати свій бухгалтерський баланс при підготовці звітів для своїх керівників, показуючи таку важливу статтю активів, як товарно-матеріальні запаси за їх повною вартістю.</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r w:rsidRPr="00975E5F">
        <w:rPr>
          <w:rFonts w:ascii="SchoolBook" w:eastAsia="Times New Roman" w:hAnsi="SchoolBook" w:cs="Times New Roman"/>
          <w:color w:val="000000"/>
          <w:sz w:val="28"/>
          <w:szCs w:val="28"/>
          <w:lang w:val="uk-UA"/>
        </w:rPr>
        <w:t xml:space="preserve">Слід зазначити, що повноцінне використання можливостей функціонально-вартісного аналізу для зниження витрат при використанні діючої системи бухгалтерського обліку неможливе. Джерелом вихідної інформації повинні бути дані саме управлінського, а не бухгалтерського обліку. </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p>
    <w:p w:rsidR="00975E5F" w:rsidRPr="00975E5F" w:rsidRDefault="00975E5F" w:rsidP="00975E5F">
      <w:pPr>
        <w:suppressAutoHyphens/>
        <w:spacing w:after="0" w:line="240" w:lineRule="auto"/>
        <w:jc w:val="both"/>
        <w:rPr>
          <w:rFonts w:ascii="SchoolBook" w:eastAsia="Times New Roman" w:hAnsi="SchoolBook" w:cs="Times New Roman"/>
          <w:b/>
          <w:caps/>
          <w:color w:val="000000"/>
          <w:sz w:val="28"/>
          <w:szCs w:val="28"/>
          <w:lang w:val="uk-UA"/>
        </w:rPr>
      </w:pPr>
      <w:r w:rsidRPr="00975E5F">
        <w:rPr>
          <w:rFonts w:ascii="SchoolBook" w:eastAsia="Times New Roman" w:hAnsi="SchoolBook" w:cs="Times New Roman"/>
          <w:b/>
          <w:caps/>
          <w:color w:val="000000"/>
          <w:sz w:val="28"/>
          <w:szCs w:val="28"/>
          <w:lang w:val="uk-UA"/>
        </w:rPr>
        <w:t>SUMMARY</w:t>
      </w:r>
    </w:p>
    <w:p w:rsidR="00975E5F" w:rsidRPr="00975E5F" w:rsidRDefault="00975E5F" w:rsidP="00975E5F">
      <w:pPr>
        <w:suppressAutoHyphens/>
        <w:spacing w:after="0" w:line="240" w:lineRule="auto"/>
        <w:ind w:firstLine="284"/>
        <w:jc w:val="both"/>
        <w:rPr>
          <w:rFonts w:ascii="SchoolBook" w:eastAsia="Times New Roman" w:hAnsi="SchoolBook" w:cs="Times New Roman"/>
          <w:b/>
          <w:caps/>
          <w:color w:val="000000"/>
          <w:sz w:val="28"/>
          <w:szCs w:val="28"/>
          <w:lang w:val="uk-UA"/>
        </w:rPr>
      </w:pPr>
    </w:p>
    <w:p w:rsidR="00975E5F" w:rsidRPr="00975E5F" w:rsidRDefault="00975E5F" w:rsidP="00975E5F">
      <w:pPr>
        <w:suppressAutoHyphens/>
        <w:spacing w:after="0" w:line="240" w:lineRule="auto"/>
        <w:ind w:firstLine="284"/>
        <w:jc w:val="both"/>
        <w:rPr>
          <w:rFonts w:ascii="SchoolBook" w:eastAsia="Times New Roman" w:hAnsi="SchoolBook" w:cs="Times New Roman"/>
          <w:i/>
          <w:color w:val="000000"/>
          <w:sz w:val="28"/>
          <w:szCs w:val="28"/>
          <w:lang w:val="uk-UA"/>
        </w:rPr>
      </w:pPr>
      <w:proofErr w:type="spellStart"/>
      <w:r w:rsidRPr="00975E5F">
        <w:rPr>
          <w:rFonts w:ascii="SchoolBook" w:eastAsia="Times New Roman" w:hAnsi="SchoolBook" w:cs="Times New Roman"/>
          <w:i/>
          <w:color w:val="000000"/>
          <w:sz w:val="28"/>
          <w:szCs w:val="28"/>
          <w:lang w:val="uk-UA"/>
        </w:rPr>
        <w:t>The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effective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realization</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of</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administrative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solutions</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on</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optimization</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of</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production</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costs</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is</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impossible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without</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the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conforming</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system</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of</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the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count</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of</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the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information</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The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book</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keeping</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system</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of</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Ukraine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does</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not</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answer</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problems</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any</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more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facing</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by</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it</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The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rational</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forming</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of</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the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costs</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at</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the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domestic</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plants</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reputes</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construction</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of</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the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conforming</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system</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of</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the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administrative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count</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on</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the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basis</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which</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progressive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methods</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of</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management</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of</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costs</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should</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be</w:t>
      </w:r>
      <w:proofErr w:type="spellEnd"/>
      <w:r w:rsidRPr="00975E5F">
        <w:rPr>
          <w:rFonts w:ascii="SchoolBook" w:eastAsia="Times New Roman" w:hAnsi="SchoolBook" w:cs="Times New Roman"/>
          <w:i/>
          <w:color w:val="000000"/>
          <w:sz w:val="28"/>
          <w:szCs w:val="28"/>
          <w:lang w:val="uk-UA"/>
        </w:rPr>
        <w:t xml:space="preserve"> </w:t>
      </w:r>
      <w:proofErr w:type="spellStart"/>
      <w:r w:rsidRPr="00975E5F">
        <w:rPr>
          <w:rFonts w:ascii="SchoolBook" w:eastAsia="Times New Roman" w:hAnsi="SchoolBook" w:cs="Times New Roman"/>
          <w:i/>
          <w:color w:val="000000"/>
          <w:sz w:val="28"/>
          <w:szCs w:val="28"/>
          <w:lang w:val="uk-UA"/>
        </w:rPr>
        <w:t>applied</w:t>
      </w:r>
      <w:proofErr w:type="spellEnd"/>
      <w:r w:rsidRPr="00975E5F">
        <w:rPr>
          <w:rFonts w:ascii="SchoolBook" w:eastAsia="Times New Roman" w:hAnsi="SchoolBook" w:cs="Times New Roman"/>
          <w:i/>
          <w:color w:val="000000"/>
          <w:sz w:val="28"/>
          <w:szCs w:val="28"/>
          <w:lang w:val="uk-UA"/>
        </w:rPr>
        <w:t xml:space="preserve">.  </w:t>
      </w:r>
    </w:p>
    <w:p w:rsidR="00975E5F" w:rsidRPr="00975E5F" w:rsidRDefault="00975E5F" w:rsidP="00975E5F">
      <w:pPr>
        <w:suppressAutoHyphens/>
        <w:spacing w:after="0" w:line="240" w:lineRule="auto"/>
        <w:jc w:val="both"/>
        <w:rPr>
          <w:rFonts w:ascii="SchoolBook" w:eastAsia="Times New Roman" w:hAnsi="SchoolBook" w:cs="Times New Roman"/>
          <w:b/>
          <w:caps/>
          <w:color w:val="000000"/>
          <w:sz w:val="28"/>
          <w:szCs w:val="28"/>
          <w:lang w:val="uk-UA"/>
        </w:rPr>
      </w:pPr>
    </w:p>
    <w:p w:rsidR="00975E5F" w:rsidRPr="00975E5F" w:rsidRDefault="00975E5F" w:rsidP="00975E5F">
      <w:pPr>
        <w:suppressAutoHyphens/>
        <w:spacing w:after="0" w:line="240" w:lineRule="auto"/>
        <w:jc w:val="both"/>
        <w:rPr>
          <w:rFonts w:ascii="SchoolBook" w:eastAsia="Times New Roman" w:hAnsi="SchoolBook" w:cs="Times New Roman"/>
          <w:b/>
          <w:caps/>
          <w:color w:val="000000"/>
          <w:sz w:val="28"/>
          <w:szCs w:val="28"/>
          <w:lang w:val="uk-UA"/>
        </w:rPr>
      </w:pPr>
      <w:r w:rsidRPr="00975E5F">
        <w:rPr>
          <w:rFonts w:ascii="SchoolBook" w:eastAsia="Times New Roman" w:hAnsi="SchoolBook" w:cs="Times New Roman"/>
          <w:b/>
          <w:caps/>
          <w:color w:val="000000"/>
          <w:sz w:val="28"/>
          <w:szCs w:val="28"/>
          <w:lang w:val="uk-UA"/>
        </w:rPr>
        <w:t>Список літератури</w:t>
      </w:r>
    </w:p>
    <w:p w:rsidR="00975E5F" w:rsidRPr="00975E5F" w:rsidRDefault="00975E5F" w:rsidP="00975E5F">
      <w:pPr>
        <w:suppressAutoHyphens/>
        <w:spacing w:after="0" w:line="240" w:lineRule="auto"/>
        <w:ind w:firstLine="284"/>
        <w:jc w:val="both"/>
        <w:rPr>
          <w:rFonts w:ascii="SchoolBook" w:eastAsia="Times New Roman" w:hAnsi="SchoolBook" w:cs="Times New Roman"/>
          <w:color w:val="000000"/>
          <w:sz w:val="28"/>
          <w:szCs w:val="28"/>
          <w:lang w:val="uk-UA"/>
        </w:rPr>
      </w:pPr>
    </w:p>
    <w:p w:rsidR="00975E5F" w:rsidRPr="00975E5F" w:rsidRDefault="00975E5F" w:rsidP="00975E5F">
      <w:pPr>
        <w:widowControl w:val="0"/>
        <w:numPr>
          <w:ilvl w:val="0"/>
          <w:numId w:val="3"/>
        </w:numPr>
        <w:spacing w:after="0" w:line="240" w:lineRule="auto"/>
        <w:jc w:val="both"/>
        <w:rPr>
          <w:rFonts w:ascii="SchoolBook" w:eastAsia="Times New Roman" w:hAnsi="SchoolBook" w:cs="Times New Roman"/>
          <w:snapToGrid w:val="0"/>
          <w:sz w:val="28"/>
          <w:szCs w:val="28"/>
          <w:lang w:val="uk-UA"/>
        </w:rPr>
      </w:pPr>
      <w:proofErr w:type="spellStart"/>
      <w:r w:rsidRPr="00975E5F">
        <w:rPr>
          <w:rFonts w:ascii="SchoolBook" w:eastAsia="Times New Roman" w:hAnsi="SchoolBook" w:cs="Times New Roman"/>
          <w:snapToGrid w:val="0"/>
          <w:sz w:val="28"/>
          <w:szCs w:val="28"/>
          <w:lang w:val="uk-UA"/>
        </w:rPr>
        <w:t>Чумаченко</w:t>
      </w:r>
      <w:proofErr w:type="spellEnd"/>
      <w:r w:rsidRPr="00975E5F">
        <w:rPr>
          <w:rFonts w:ascii="SchoolBook" w:eastAsia="Times New Roman" w:hAnsi="SchoolBook" w:cs="Times New Roman"/>
          <w:snapToGrid w:val="0"/>
          <w:sz w:val="28"/>
          <w:szCs w:val="28"/>
          <w:lang w:val="uk-UA"/>
        </w:rPr>
        <w:t xml:space="preserve"> Н. Г. </w:t>
      </w:r>
      <w:proofErr w:type="spellStart"/>
      <w:r w:rsidRPr="00975E5F">
        <w:rPr>
          <w:rFonts w:ascii="SchoolBook" w:eastAsia="Times New Roman" w:hAnsi="SchoolBook" w:cs="Times New Roman"/>
          <w:snapToGrid w:val="0"/>
          <w:sz w:val="28"/>
          <w:szCs w:val="28"/>
          <w:lang w:val="uk-UA"/>
        </w:rPr>
        <w:t>Учет</w:t>
      </w:r>
      <w:proofErr w:type="spellEnd"/>
      <w:r w:rsidRPr="00975E5F">
        <w:rPr>
          <w:rFonts w:ascii="SchoolBook" w:eastAsia="Times New Roman" w:hAnsi="SchoolBook" w:cs="Times New Roman"/>
          <w:snapToGrid w:val="0"/>
          <w:sz w:val="28"/>
          <w:szCs w:val="28"/>
          <w:lang w:val="uk-UA"/>
        </w:rPr>
        <w:t xml:space="preserve"> и </w:t>
      </w:r>
      <w:proofErr w:type="spellStart"/>
      <w:r w:rsidRPr="00975E5F">
        <w:rPr>
          <w:rFonts w:ascii="SchoolBook" w:eastAsia="Times New Roman" w:hAnsi="SchoolBook" w:cs="Times New Roman"/>
          <w:snapToGrid w:val="0"/>
          <w:sz w:val="28"/>
          <w:szCs w:val="28"/>
          <w:lang w:val="uk-UA"/>
        </w:rPr>
        <w:t>анализ</w:t>
      </w:r>
      <w:proofErr w:type="spellEnd"/>
      <w:r w:rsidRPr="00975E5F">
        <w:rPr>
          <w:rFonts w:ascii="SchoolBook" w:eastAsia="Times New Roman" w:hAnsi="SchoolBook" w:cs="Times New Roman"/>
          <w:snapToGrid w:val="0"/>
          <w:sz w:val="28"/>
          <w:szCs w:val="28"/>
          <w:lang w:val="uk-UA"/>
        </w:rPr>
        <w:t xml:space="preserve"> в </w:t>
      </w:r>
      <w:proofErr w:type="spellStart"/>
      <w:r w:rsidRPr="00975E5F">
        <w:rPr>
          <w:rFonts w:ascii="SchoolBook" w:eastAsia="Times New Roman" w:hAnsi="SchoolBook" w:cs="Times New Roman"/>
          <w:snapToGrid w:val="0"/>
          <w:sz w:val="28"/>
          <w:szCs w:val="28"/>
          <w:lang w:val="uk-UA"/>
        </w:rPr>
        <w:t>промышленном</w:t>
      </w:r>
      <w:proofErr w:type="spellEnd"/>
      <w:r w:rsidRPr="00975E5F">
        <w:rPr>
          <w:rFonts w:ascii="SchoolBook" w:eastAsia="Times New Roman" w:hAnsi="SchoolBook" w:cs="Times New Roman"/>
          <w:snapToGrid w:val="0"/>
          <w:sz w:val="28"/>
          <w:szCs w:val="28"/>
          <w:lang w:val="uk-UA"/>
        </w:rPr>
        <w:t xml:space="preserve"> </w:t>
      </w:r>
      <w:proofErr w:type="spellStart"/>
      <w:r w:rsidRPr="00975E5F">
        <w:rPr>
          <w:rFonts w:ascii="SchoolBook" w:eastAsia="Times New Roman" w:hAnsi="SchoolBook" w:cs="Times New Roman"/>
          <w:snapToGrid w:val="0"/>
          <w:sz w:val="28"/>
          <w:szCs w:val="28"/>
          <w:lang w:val="uk-UA"/>
        </w:rPr>
        <w:t>производстве</w:t>
      </w:r>
      <w:proofErr w:type="spellEnd"/>
      <w:r w:rsidRPr="00975E5F">
        <w:rPr>
          <w:rFonts w:ascii="SchoolBook" w:eastAsia="Times New Roman" w:hAnsi="SchoolBook" w:cs="Times New Roman"/>
          <w:snapToGrid w:val="0"/>
          <w:sz w:val="28"/>
          <w:szCs w:val="28"/>
          <w:lang w:val="uk-UA"/>
        </w:rPr>
        <w:t xml:space="preserve"> США.—М.: </w:t>
      </w:r>
      <w:proofErr w:type="spellStart"/>
      <w:r w:rsidRPr="00975E5F">
        <w:rPr>
          <w:rFonts w:ascii="SchoolBook" w:eastAsia="Times New Roman" w:hAnsi="SchoolBook" w:cs="Times New Roman"/>
          <w:snapToGrid w:val="0"/>
          <w:sz w:val="28"/>
          <w:szCs w:val="28"/>
          <w:lang w:val="uk-UA"/>
        </w:rPr>
        <w:t>Финансы</w:t>
      </w:r>
      <w:proofErr w:type="spellEnd"/>
      <w:r w:rsidRPr="00975E5F">
        <w:rPr>
          <w:rFonts w:ascii="SchoolBook" w:eastAsia="Times New Roman" w:hAnsi="SchoolBook" w:cs="Times New Roman"/>
          <w:snapToGrid w:val="0"/>
          <w:sz w:val="28"/>
          <w:szCs w:val="28"/>
          <w:lang w:val="uk-UA"/>
        </w:rPr>
        <w:t>, 1971.-С. 185.</w:t>
      </w:r>
    </w:p>
    <w:p w:rsidR="00975E5F" w:rsidRPr="00975E5F" w:rsidRDefault="00975E5F" w:rsidP="00975E5F">
      <w:pPr>
        <w:widowControl w:val="0"/>
        <w:numPr>
          <w:ilvl w:val="0"/>
          <w:numId w:val="3"/>
        </w:numPr>
        <w:spacing w:after="0" w:line="240" w:lineRule="auto"/>
        <w:jc w:val="both"/>
        <w:rPr>
          <w:rFonts w:ascii="SchoolBook" w:eastAsia="Times New Roman" w:hAnsi="SchoolBook" w:cs="Times New Roman"/>
          <w:snapToGrid w:val="0"/>
          <w:sz w:val="28"/>
          <w:szCs w:val="28"/>
          <w:lang w:val="uk-UA"/>
        </w:rPr>
      </w:pPr>
      <w:proofErr w:type="spellStart"/>
      <w:r w:rsidRPr="00975E5F">
        <w:rPr>
          <w:rFonts w:ascii="SchoolBook" w:eastAsia="Times New Roman" w:hAnsi="SchoolBook" w:cs="Times New Roman"/>
          <w:snapToGrid w:val="0"/>
          <w:sz w:val="28"/>
          <w:szCs w:val="28"/>
          <w:lang w:val="uk-UA"/>
        </w:rPr>
        <w:t>Карпунин</w:t>
      </w:r>
      <w:proofErr w:type="spellEnd"/>
      <w:r w:rsidRPr="00975E5F">
        <w:rPr>
          <w:rFonts w:ascii="SchoolBook" w:eastAsia="Times New Roman" w:hAnsi="SchoolBook" w:cs="Times New Roman"/>
          <w:snapToGrid w:val="0"/>
          <w:sz w:val="28"/>
          <w:szCs w:val="28"/>
          <w:lang w:val="uk-UA"/>
        </w:rPr>
        <w:t xml:space="preserve"> М.Г., Майданчик Б.И. </w:t>
      </w:r>
      <w:proofErr w:type="spellStart"/>
      <w:r w:rsidRPr="00975E5F">
        <w:rPr>
          <w:rFonts w:ascii="SchoolBook" w:eastAsia="Times New Roman" w:hAnsi="SchoolBook" w:cs="Times New Roman"/>
          <w:snapToGrid w:val="0"/>
          <w:sz w:val="28"/>
          <w:szCs w:val="28"/>
          <w:lang w:val="uk-UA"/>
        </w:rPr>
        <w:t>Основы</w:t>
      </w:r>
      <w:proofErr w:type="spellEnd"/>
      <w:r w:rsidRPr="00975E5F">
        <w:rPr>
          <w:rFonts w:ascii="SchoolBook" w:eastAsia="Times New Roman" w:hAnsi="SchoolBook" w:cs="Times New Roman"/>
          <w:snapToGrid w:val="0"/>
          <w:sz w:val="28"/>
          <w:szCs w:val="28"/>
          <w:lang w:val="uk-UA"/>
        </w:rPr>
        <w:t xml:space="preserve"> </w:t>
      </w:r>
      <w:proofErr w:type="spellStart"/>
      <w:r w:rsidRPr="00975E5F">
        <w:rPr>
          <w:rFonts w:ascii="SchoolBook" w:eastAsia="Times New Roman" w:hAnsi="SchoolBook" w:cs="Times New Roman"/>
          <w:snapToGrid w:val="0"/>
          <w:sz w:val="28"/>
          <w:szCs w:val="28"/>
          <w:lang w:val="uk-UA"/>
        </w:rPr>
        <w:t>функционально-стоимостного</w:t>
      </w:r>
      <w:proofErr w:type="spellEnd"/>
      <w:r w:rsidRPr="00975E5F">
        <w:rPr>
          <w:rFonts w:ascii="SchoolBook" w:eastAsia="Times New Roman" w:hAnsi="SchoolBook" w:cs="Times New Roman"/>
          <w:snapToGrid w:val="0"/>
          <w:sz w:val="28"/>
          <w:szCs w:val="28"/>
          <w:lang w:val="uk-UA"/>
        </w:rPr>
        <w:t xml:space="preserve"> </w:t>
      </w:r>
      <w:proofErr w:type="spellStart"/>
      <w:r w:rsidRPr="00975E5F">
        <w:rPr>
          <w:rFonts w:ascii="SchoolBook" w:eastAsia="Times New Roman" w:hAnsi="SchoolBook" w:cs="Times New Roman"/>
          <w:snapToGrid w:val="0"/>
          <w:sz w:val="28"/>
          <w:szCs w:val="28"/>
          <w:lang w:val="uk-UA"/>
        </w:rPr>
        <w:t>анализа.—</w:t>
      </w:r>
      <w:proofErr w:type="spellEnd"/>
      <w:r w:rsidRPr="00975E5F">
        <w:rPr>
          <w:rFonts w:ascii="SchoolBook" w:eastAsia="Times New Roman" w:hAnsi="SchoolBook" w:cs="Times New Roman"/>
          <w:snapToGrid w:val="0"/>
          <w:sz w:val="28"/>
          <w:szCs w:val="28"/>
          <w:lang w:val="uk-UA"/>
        </w:rPr>
        <w:t xml:space="preserve"> М.: </w:t>
      </w:r>
      <w:proofErr w:type="spellStart"/>
      <w:r w:rsidRPr="00975E5F">
        <w:rPr>
          <w:rFonts w:ascii="SchoolBook" w:eastAsia="Times New Roman" w:hAnsi="SchoolBook" w:cs="Times New Roman"/>
          <w:snapToGrid w:val="0"/>
          <w:sz w:val="28"/>
          <w:szCs w:val="28"/>
          <w:lang w:val="uk-UA"/>
        </w:rPr>
        <w:t>Энергия</w:t>
      </w:r>
      <w:proofErr w:type="spellEnd"/>
      <w:r w:rsidRPr="00975E5F">
        <w:rPr>
          <w:rFonts w:ascii="SchoolBook" w:eastAsia="Times New Roman" w:hAnsi="SchoolBook" w:cs="Times New Roman"/>
          <w:snapToGrid w:val="0"/>
          <w:sz w:val="28"/>
          <w:szCs w:val="28"/>
          <w:lang w:val="uk-UA"/>
        </w:rPr>
        <w:t>, 1989.- С. 13.</w:t>
      </w:r>
    </w:p>
    <w:p w:rsidR="00975E5F" w:rsidRPr="00975E5F" w:rsidRDefault="00975E5F" w:rsidP="00975E5F">
      <w:pPr>
        <w:widowControl w:val="0"/>
        <w:numPr>
          <w:ilvl w:val="0"/>
          <w:numId w:val="3"/>
        </w:numPr>
        <w:spacing w:after="0" w:line="240" w:lineRule="auto"/>
        <w:jc w:val="both"/>
        <w:rPr>
          <w:rFonts w:ascii="SchoolBook" w:eastAsia="Times New Roman" w:hAnsi="SchoolBook" w:cs="Times New Roman"/>
          <w:snapToGrid w:val="0"/>
          <w:sz w:val="28"/>
          <w:szCs w:val="28"/>
          <w:lang w:val="uk-UA"/>
        </w:rPr>
      </w:pPr>
      <w:proofErr w:type="spellStart"/>
      <w:r w:rsidRPr="00975E5F">
        <w:rPr>
          <w:rFonts w:ascii="SchoolBook" w:eastAsia="Times New Roman" w:hAnsi="SchoolBook" w:cs="Times New Roman"/>
          <w:snapToGrid w:val="0"/>
          <w:sz w:val="28"/>
          <w:szCs w:val="28"/>
          <w:lang w:val="uk-UA"/>
        </w:rPr>
        <w:t>Энтони</w:t>
      </w:r>
      <w:proofErr w:type="spellEnd"/>
      <w:r w:rsidRPr="00975E5F">
        <w:rPr>
          <w:rFonts w:ascii="SchoolBook" w:eastAsia="Times New Roman" w:hAnsi="SchoolBook" w:cs="Times New Roman"/>
          <w:snapToGrid w:val="0"/>
          <w:sz w:val="28"/>
          <w:szCs w:val="28"/>
          <w:lang w:val="uk-UA"/>
        </w:rPr>
        <w:t xml:space="preserve"> Р., Рис Дж. </w:t>
      </w:r>
      <w:proofErr w:type="spellStart"/>
      <w:r w:rsidRPr="00975E5F">
        <w:rPr>
          <w:rFonts w:ascii="SchoolBook" w:eastAsia="Times New Roman" w:hAnsi="SchoolBook" w:cs="Times New Roman"/>
          <w:snapToGrid w:val="0"/>
          <w:sz w:val="28"/>
          <w:szCs w:val="28"/>
          <w:lang w:val="uk-UA"/>
        </w:rPr>
        <w:t>Учет</w:t>
      </w:r>
      <w:proofErr w:type="spellEnd"/>
      <w:r w:rsidRPr="00975E5F">
        <w:rPr>
          <w:rFonts w:ascii="SchoolBook" w:eastAsia="Times New Roman" w:hAnsi="SchoolBook" w:cs="Times New Roman"/>
          <w:snapToGrid w:val="0"/>
          <w:sz w:val="28"/>
          <w:szCs w:val="28"/>
          <w:lang w:val="uk-UA"/>
        </w:rPr>
        <w:t>:</w:t>
      </w:r>
      <w:proofErr w:type="spellStart"/>
      <w:r w:rsidRPr="00975E5F">
        <w:rPr>
          <w:rFonts w:ascii="SchoolBook" w:eastAsia="Times New Roman" w:hAnsi="SchoolBook" w:cs="Times New Roman"/>
          <w:snapToGrid w:val="0"/>
          <w:sz w:val="28"/>
          <w:szCs w:val="28"/>
          <w:lang w:val="uk-UA"/>
        </w:rPr>
        <w:t>ситуации</w:t>
      </w:r>
      <w:proofErr w:type="spellEnd"/>
      <w:r w:rsidRPr="00975E5F">
        <w:rPr>
          <w:rFonts w:ascii="SchoolBook" w:eastAsia="Times New Roman" w:hAnsi="SchoolBook" w:cs="Times New Roman"/>
          <w:snapToGrid w:val="0"/>
          <w:sz w:val="28"/>
          <w:szCs w:val="28"/>
          <w:lang w:val="uk-UA"/>
        </w:rPr>
        <w:t xml:space="preserve"> и </w:t>
      </w:r>
      <w:proofErr w:type="spellStart"/>
      <w:r w:rsidRPr="00975E5F">
        <w:rPr>
          <w:rFonts w:ascii="SchoolBook" w:eastAsia="Times New Roman" w:hAnsi="SchoolBook" w:cs="Times New Roman"/>
          <w:snapToGrid w:val="0"/>
          <w:sz w:val="28"/>
          <w:szCs w:val="28"/>
          <w:lang w:val="uk-UA"/>
        </w:rPr>
        <w:t>примеры</w:t>
      </w:r>
      <w:proofErr w:type="spellEnd"/>
      <w:r w:rsidRPr="00975E5F">
        <w:rPr>
          <w:rFonts w:ascii="SchoolBook" w:eastAsia="Times New Roman" w:hAnsi="SchoolBook" w:cs="Times New Roman"/>
          <w:snapToGrid w:val="0"/>
          <w:sz w:val="28"/>
          <w:szCs w:val="28"/>
          <w:lang w:val="uk-UA"/>
        </w:rPr>
        <w:t xml:space="preserve">. — М.: </w:t>
      </w:r>
      <w:proofErr w:type="spellStart"/>
      <w:r w:rsidRPr="00975E5F">
        <w:rPr>
          <w:rFonts w:ascii="SchoolBook" w:eastAsia="Times New Roman" w:hAnsi="SchoolBook" w:cs="Times New Roman"/>
          <w:snapToGrid w:val="0"/>
          <w:sz w:val="28"/>
          <w:szCs w:val="28"/>
          <w:lang w:val="uk-UA"/>
        </w:rPr>
        <w:t>Финансы</w:t>
      </w:r>
      <w:proofErr w:type="spellEnd"/>
      <w:r w:rsidRPr="00975E5F">
        <w:rPr>
          <w:rFonts w:ascii="SchoolBook" w:eastAsia="Times New Roman" w:hAnsi="SchoolBook" w:cs="Times New Roman"/>
          <w:snapToGrid w:val="0"/>
          <w:sz w:val="28"/>
          <w:szCs w:val="28"/>
          <w:lang w:val="uk-UA"/>
        </w:rPr>
        <w:t xml:space="preserve"> и статистика, 2001.- С.561.</w:t>
      </w:r>
    </w:p>
    <w:p w:rsidR="00D4245C" w:rsidRPr="00975E5F" w:rsidRDefault="00975E5F" w:rsidP="00975E5F">
      <w:pPr>
        <w:spacing w:after="0" w:line="240" w:lineRule="auto"/>
        <w:jc w:val="right"/>
        <w:rPr>
          <w:sz w:val="28"/>
          <w:szCs w:val="28"/>
        </w:rPr>
      </w:pPr>
      <w:proofErr w:type="spellStart"/>
      <w:r w:rsidRPr="00975E5F">
        <w:rPr>
          <w:rFonts w:ascii="SchoolBook" w:eastAsia="Times New Roman" w:hAnsi="SchoolBook" w:cs="Times New Roman"/>
          <w:i/>
          <w:sz w:val="28"/>
          <w:szCs w:val="28"/>
        </w:rPr>
        <w:t>Надійшла</w:t>
      </w:r>
      <w:proofErr w:type="spellEnd"/>
      <w:r w:rsidRPr="00975E5F">
        <w:rPr>
          <w:rFonts w:ascii="SchoolBook" w:eastAsia="Times New Roman" w:hAnsi="SchoolBook" w:cs="Times New Roman"/>
          <w:i/>
          <w:sz w:val="28"/>
          <w:szCs w:val="28"/>
        </w:rPr>
        <w:t xml:space="preserve"> до </w:t>
      </w:r>
      <w:proofErr w:type="spellStart"/>
      <w:r w:rsidRPr="00975E5F">
        <w:rPr>
          <w:rFonts w:ascii="SchoolBook" w:eastAsia="Times New Roman" w:hAnsi="SchoolBook" w:cs="Times New Roman"/>
          <w:i/>
          <w:sz w:val="28"/>
          <w:szCs w:val="28"/>
        </w:rPr>
        <w:t>редколегії</w:t>
      </w:r>
      <w:proofErr w:type="spellEnd"/>
      <w:r w:rsidRPr="00975E5F">
        <w:rPr>
          <w:rFonts w:ascii="SchoolBook" w:eastAsia="Times New Roman" w:hAnsi="SchoolBook" w:cs="Times New Roman"/>
          <w:i/>
          <w:sz w:val="28"/>
          <w:szCs w:val="28"/>
        </w:rPr>
        <w:t xml:space="preserve"> 28 </w:t>
      </w:r>
      <w:proofErr w:type="spellStart"/>
      <w:r w:rsidRPr="00975E5F">
        <w:rPr>
          <w:rFonts w:ascii="SchoolBook" w:eastAsia="Times New Roman" w:hAnsi="SchoolBook" w:cs="Times New Roman"/>
          <w:i/>
          <w:sz w:val="28"/>
          <w:szCs w:val="28"/>
        </w:rPr>
        <w:t>січня</w:t>
      </w:r>
      <w:proofErr w:type="spellEnd"/>
      <w:r w:rsidRPr="00975E5F">
        <w:rPr>
          <w:rFonts w:ascii="SchoolBook" w:eastAsia="Times New Roman" w:hAnsi="SchoolBook" w:cs="Times New Roman"/>
          <w:i/>
          <w:sz w:val="28"/>
          <w:szCs w:val="28"/>
        </w:rPr>
        <w:t xml:space="preserve"> 2003р.</w:t>
      </w:r>
    </w:p>
    <w:sectPr w:rsidR="00D4245C" w:rsidRPr="00975E5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choolBook">
    <w:altName w:val="Times New Roman"/>
    <w:charset w:val="00"/>
    <w:family w:val="auto"/>
    <w:pitch w:val="variable"/>
    <w:sig w:usb0="00000001" w:usb1="00000000" w:usb2="00000000" w:usb3="00000000" w:csb0="00000005"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DF7A99"/>
    <w:multiLevelType w:val="singleLevel"/>
    <w:tmpl w:val="657A72CA"/>
    <w:lvl w:ilvl="0">
      <w:start w:val="4"/>
      <w:numFmt w:val="bullet"/>
      <w:lvlText w:val=""/>
      <w:lvlJc w:val="left"/>
      <w:pPr>
        <w:tabs>
          <w:tab w:val="num" w:pos="644"/>
        </w:tabs>
        <w:ind w:left="644" w:hanging="360"/>
      </w:pPr>
      <w:rPr>
        <w:rFonts w:ascii="Symbol" w:hAnsi="Symbol" w:hint="default"/>
      </w:rPr>
    </w:lvl>
  </w:abstractNum>
  <w:abstractNum w:abstractNumId="1">
    <w:nsid w:val="7FA06209"/>
    <w:multiLevelType w:val="singleLevel"/>
    <w:tmpl w:val="A2F8B092"/>
    <w:lvl w:ilvl="0">
      <w:start w:val="1"/>
      <w:numFmt w:val="decimal"/>
      <w:pStyle w:val="a"/>
      <w:lvlText w:val="%1."/>
      <w:legacy w:legacy="1" w:legacySpace="0" w:legacyIndent="283"/>
      <w:lvlJc w:val="left"/>
      <w:pPr>
        <w:ind w:left="283" w:hanging="283"/>
      </w:pPr>
    </w:lvl>
  </w:abstractNum>
  <w:num w:numId="1">
    <w:abstractNumId w:val="1"/>
  </w:num>
  <w:num w:numId="2">
    <w:abstractNumId w:val="0"/>
  </w:num>
  <w:num w:numId="3">
    <w:abstractNumId w:val="1"/>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975E5F"/>
    <w:rsid w:val="00975E5F"/>
    <w:rsid w:val="00D4245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0"/>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
    <w:name w:val="Bibliography"/>
    <w:basedOn w:val="a0"/>
    <w:rsid w:val="00975E5F"/>
    <w:pPr>
      <w:widowControl w:val="0"/>
      <w:numPr>
        <w:numId w:val="1"/>
      </w:numPr>
      <w:spacing w:after="0" w:line="240" w:lineRule="auto"/>
      <w:jc w:val="both"/>
    </w:pPr>
    <w:rPr>
      <w:rFonts w:ascii="SchoolBook" w:eastAsia="Times New Roman" w:hAnsi="SchoolBook" w:cs="Times New Roman"/>
      <w:snapToGrid w:val="0"/>
      <w:sz w:val="16"/>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2490</Words>
  <Characters>14196</Characters>
  <Application>Microsoft Office Word</Application>
  <DocSecurity>0</DocSecurity>
  <Lines>118</Lines>
  <Paragraphs>33</Paragraphs>
  <ScaleCrop>false</ScaleCrop>
  <Company>library</Company>
  <LinksUpToDate>false</LinksUpToDate>
  <CharactersWithSpaces>16653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2</cp:revision>
  <dcterms:created xsi:type="dcterms:W3CDTF">2010-12-24T12:25:00Z</dcterms:created>
  <dcterms:modified xsi:type="dcterms:W3CDTF">2010-12-24T12:25:00Z</dcterms:modified>
</cp:coreProperties>
</file>